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504825</wp:posOffset>
            </wp:positionH>
            <wp:positionV relativeFrom="page">
              <wp:posOffset>619760</wp:posOffset>
            </wp:positionV>
            <wp:extent cx="6899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9275" cy="8255"/>
                    </a:xfrm>
                    <a:prstGeom prst="rect">
                      <a:avLst/>
                    </a:prstGeom>
                    <a:noFill/>
                  </pic:spPr>
                </pic:pic>
              </a:graphicData>
            </a:graphic>
          </wp:anchor>
        </w:drawing>
        <w:drawing>
          <wp:anchor simplePos="0" relativeHeight="251657728" behindDoc="1" locked="0" layoutInCell="0" allowOverlap="1">
            <wp:simplePos x="0" y="0"/>
            <wp:positionH relativeFrom="page">
              <wp:posOffset>504825</wp:posOffset>
            </wp:positionH>
            <wp:positionV relativeFrom="page">
              <wp:posOffset>586740</wp:posOffset>
            </wp:positionV>
            <wp:extent cx="68992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9275" cy="8255"/>
                    </a:xfrm>
                    <a:prstGeom prst="rect">
                      <a:avLst/>
                    </a:prstGeom>
                    <a:noFill/>
                  </pic:spPr>
                </pic:pic>
              </a:graphicData>
            </a:graphic>
          </wp:anchor>
        </w:drawing>
        <w:t>UNITED STATES</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2160270</wp:posOffset>
            </wp:positionH>
            <wp:positionV relativeFrom="paragraph">
              <wp:posOffset>95250</wp:posOffset>
            </wp:positionV>
            <wp:extent cx="28460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94"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2160270</wp:posOffset>
            </wp:positionH>
            <wp:positionV relativeFrom="paragraph">
              <wp:posOffset>89535</wp:posOffset>
            </wp:positionV>
            <wp:extent cx="28460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56" w:lineRule="exact"/>
        <w:rPr>
          <w:sz w:val="24"/>
          <w:szCs w:val="24"/>
          <w:color w:val="auto"/>
        </w:rPr>
      </w:pPr>
    </w:p>
    <w:p>
      <w:pPr>
        <w:ind w:left="660"/>
        <w:spacing w:after="0"/>
        <w:rPr>
          <w:sz w:val="20"/>
          <w:szCs w:val="20"/>
          <w:color w:val="auto"/>
        </w:rPr>
      </w:pPr>
      <w:r>
        <w:rPr>
          <w:rFonts w:ascii="Arial" w:cs="Arial" w:eastAsia="Arial" w:hAnsi="Arial"/>
          <w:sz w:val="10"/>
          <w:szCs w:val="10"/>
          <w:color w:val="auto"/>
        </w:rPr>
        <w:t>(Mark One)</w:t>
      </w:r>
    </w:p>
    <w:p>
      <w:pPr>
        <w:spacing w:after="0" w:line="46" w:lineRule="exact"/>
        <w:rPr>
          <w:sz w:val="24"/>
          <w:szCs w:val="24"/>
          <w:color w:val="auto"/>
        </w:rPr>
      </w:pPr>
    </w:p>
    <w:p>
      <w:pPr>
        <w:ind w:left="1860" w:hanging="993"/>
        <w:spacing w:after="0"/>
        <w:tabs>
          <w:tab w:leader="none" w:pos="1860" w:val="left"/>
        </w:tabs>
        <w:numPr>
          <w:ilvl w:val="0"/>
          <w:numId w:val="1"/>
        </w:numPr>
        <w:rPr>
          <w:rFonts w:ascii="MS PGothic" w:cs="MS PGothic" w:eastAsia="MS PGothic" w:hAnsi="MS PGothic"/>
          <w:sz w:val="13"/>
          <w:szCs w:val="13"/>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June 30, 2024</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40" w:lineRule="exact"/>
        <w:rPr>
          <w:sz w:val="24"/>
          <w:szCs w:val="24"/>
          <w:color w:val="auto"/>
        </w:rPr>
      </w:pPr>
    </w:p>
    <w:p>
      <w:pPr>
        <w:ind w:left="1860" w:hanging="993"/>
        <w:spacing w:after="0"/>
        <w:tabs>
          <w:tab w:leader="none" w:pos="1860" w:val="left"/>
        </w:tabs>
        <w:numPr>
          <w:ilvl w:val="0"/>
          <w:numId w:val="2"/>
        </w:numPr>
        <w:rPr>
          <w:rFonts w:ascii="MS PGothic" w:cs="MS PGothic" w:eastAsia="MS PGothic" w:hAnsi="MS PGothic"/>
          <w:sz w:val="13"/>
          <w:szCs w:val="13"/>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00" w:lineRule="exact"/>
        <w:rPr>
          <w:sz w:val="24"/>
          <w:szCs w:val="24"/>
          <w:color w:val="auto"/>
        </w:rPr>
      </w:pPr>
    </w:p>
    <w:p>
      <w:pPr>
        <w:ind w:left="4060"/>
        <w:spacing w:after="0"/>
        <w:tabs>
          <w:tab w:leader="none" w:pos="65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001-35480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2152015</wp:posOffset>
            </wp:positionH>
            <wp:positionV relativeFrom="paragraph">
              <wp:posOffset>53340</wp:posOffset>
            </wp:positionV>
            <wp:extent cx="28460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2633345</wp:posOffset>
            </wp:positionH>
            <wp:positionV relativeFrom="paragraph">
              <wp:posOffset>202565</wp:posOffset>
            </wp:positionV>
            <wp:extent cx="1875155" cy="315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5155" cy="315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Enphase Energy,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2152015</wp:posOffset>
            </wp:positionH>
            <wp:positionV relativeFrom="paragraph">
              <wp:posOffset>111760</wp:posOffset>
            </wp:positionV>
            <wp:extent cx="28460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90"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3680" w:type="dxa"/>
            <w:vAlign w:val="bottom"/>
            <w:gridSpan w:val="2"/>
          </w:tcPr>
          <w:p>
            <w:pPr>
              <w:jc w:val="center"/>
              <w:ind w:left="2676"/>
              <w:spacing w:after="0"/>
              <w:rPr>
                <w:sz w:val="20"/>
                <w:szCs w:val="20"/>
                <w:color w:val="auto"/>
              </w:rPr>
            </w:pPr>
            <w:r>
              <w:rPr>
                <w:rFonts w:ascii="Arial" w:cs="Arial" w:eastAsia="Arial" w:hAnsi="Arial"/>
                <w:sz w:val="14"/>
                <w:szCs w:val="14"/>
                <w:b w:val="1"/>
                <w:bCs w:val="1"/>
                <w:color w:val="auto"/>
              </w:rPr>
              <w:t>Delaware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560" w:type="dxa"/>
            <w:vAlign w:val="bottom"/>
            <w:gridSpan w:val="2"/>
          </w:tcPr>
          <w:p>
            <w:pPr>
              <w:jc w:val="right"/>
              <w:ind w:right="1841"/>
              <w:spacing w:after="0"/>
              <w:rPr>
                <w:sz w:val="20"/>
                <w:szCs w:val="20"/>
                <w:color w:val="auto"/>
              </w:rPr>
            </w:pPr>
            <w:r>
              <w:rPr>
                <w:rFonts w:ascii="Arial" w:cs="Arial" w:eastAsia="Arial" w:hAnsi="Arial"/>
                <w:sz w:val="14"/>
                <w:szCs w:val="14"/>
                <w:b w:val="1"/>
                <w:bCs w:val="1"/>
                <w:color w:val="auto"/>
              </w:rPr>
              <w:t>20-4645388</w:t>
            </w:r>
          </w:p>
        </w:tc>
      </w:tr>
      <w:tr>
        <w:trPr>
          <w:trHeight w:val="137"/>
        </w:trPr>
        <w:tc>
          <w:tcPr>
            <w:tcW w:w="7680" w:type="dxa"/>
            <w:vAlign w:val="bottom"/>
            <w:gridSpan w:val="7"/>
          </w:tcPr>
          <w:p>
            <w:pPr>
              <w:jc w:val="center"/>
              <w:ind w:right="1260"/>
              <w:spacing w:after="0"/>
              <w:rPr>
                <w:sz w:val="20"/>
                <w:szCs w:val="20"/>
                <w:color w:val="auto"/>
              </w:rPr>
            </w:pPr>
            <w:r>
              <w:rPr>
                <w:rFonts w:ascii="Arial" w:cs="Arial" w:eastAsia="Arial" w:hAnsi="Arial"/>
                <w:sz w:val="10"/>
                <w:szCs w:val="10"/>
                <w:color w:val="auto"/>
              </w:rPr>
              <w:t>(State or other jurisdiction of incorporation or organization)</w:t>
            </w:r>
          </w:p>
        </w:tc>
        <w:tc>
          <w:tcPr>
            <w:tcW w:w="200" w:type="dxa"/>
            <w:vAlign w:val="bottom"/>
          </w:tcPr>
          <w:p>
            <w:pPr>
              <w:spacing w:after="0"/>
              <w:rPr>
                <w:sz w:val="11"/>
                <w:szCs w:val="11"/>
                <w:color w:val="auto"/>
              </w:rPr>
            </w:pPr>
          </w:p>
        </w:tc>
        <w:tc>
          <w:tcPr>
            <w:tcW w:w="3360" w:type="dxa"/>
            <w:vAlign w:val="bottom"/>
          </w:tcPr>
          <w:p>
            <w:pPr>
              <w:jc w:val="center"/>
              <w:ind w:right="1101"/>
              <w:spacing w:after="0"/>
              <w:rPr>
                <w:sz w:val="20"/>
                <w:szCs w:val="20"/>
                <w:color w:val="auto"/>
              </w:rPr>
            </w:pPr>
            <w:r>
              <w:rPr>
                <w:rFonts w:ascii="Arial" w:cs="Arial" w:eastAsia="Arial" w:hAnsi="Arial"/>
                <w:sz w:val="10"/>
                <w:szCs w:val="10"/>
                <w:color w:val="auto"/>
              </w:rPr>
              <w:t>(I.R.S. Employer Identification No.)</w:t>
            </w:r>
          </w:p>
        </w:tc>
      </w:tr>
      <w:tr>
        <w:trPr>
          <w:trHeight w:val="272"/>
        </w:trPr>
        <w:tc>
          <w:tcPr>
            <w:tcW w:w="3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16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99"/>
              </w:rPr>
              <w:t>47281 Bayside Parkway</w:t>
            </w:r>
          </w:p>
        </w:tc>
        <w:tc>
          <w:tcPr>
            <w:tcW w:w="200" w:type="dxa"/>
            <w:vAlign w:val="bottom"/>
          </w:tcPr>
          <w:p>
            <w:pPr>
              <w:spacing w:after="0"/>
              <w:rPr>
                <w:sz w:val="23"/>
                <w:szCs w:val="23"/>
                <w:color w:val="auto"/>
              </w:rPr>
            </w:pPr>
          </w:p>
        </w:tc>
        <w:tc>
          <w:tcPr>
            <w:tcW w:w="3360" w:type="dxa"/>
            <w:vAlign w:val="bottom"/>
          </w:tcPr>
          <w:p>
            <w:pPr>
              <w:spacing w:after="0"/>
              <w:rPr>
                <w:sz w:val="23"/>
                <w:szCs w:val="23"/>
                <w:color w:val="auto"/>
              </w:rPr>
            </w:pPr>
          </w:p>
        </w:tc>
      </w:tr>
      <w:tr>
        <w:trPr>
          <w:trHeight w:val="153"/>
        </w:trPr>
        <w:tc>
          <w:tcPr>
            <w:tcW w:w="3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60" w:type="dxa"/>
            <w:vAlign w:val="bottom"/>
            <w:gridSpan w:val="3"/>
          </w:tcPr>
          <w:p>
            <w:pPr>
              <w:jc w:val="center"/>
              <w:ind w:right="940"/>
              <w:spacing w:after="0" w:line="153" w:lineRule="exact"/>
              <w:rPr>
                <w:sz w:val="20"/>
                <w:szCs w:val="20"/>
                <w:color w:val="auto"/>
              </w:rPr>
            </w:pPr>
            <w:r>
              <w:rPr>
                <w:rFonts w:ascii="Arial" w:cs="Arial" w:eastAsia="Arial" w:hAnsi="Arial"/>
                <w:sz w:val="14"/>
                <w:szCs w:val="14"/>
                <w:b w:val="1"/>
                <w:bCs w:val="1"/>
                <w:color w:val="auto"/>
                <w:w w:val="99"/>
              </w:rPr>
              <w:t>Fremont, CA 94538</w:t>
            </w:r>
          </w:p>
        </w:tc>
        <w:tc>
          <w:tcPr>
            <w:tcW w:w="200" w:type="dxa"/>
            <w:vAlign w:val="bottom"/>
          </w:tcPr>
          <w:p>
            <w:pPr>
              <w:spacing w:after="0"/>
              <w:rPr>
                <w:sz w:val="13"/>
                <w:szCs w:val="13"/>
                <w:color w:val="auto"/>
              </w:rPr>
            </w:pPr>
          </w:p>
        </w:tc>
        <w:tc>
          <w:tcPr>
            <w:tcW w:w="3360" w:type="dxa"/>
            <w:vAlign w:val="bottom"/>
          </w:tcPr>
          <w:p>
            <w:pPr>
              <w:spacing w:after="0"/>
              <w:rPr>
                <w:sz w:val="13"/>
                <w:szCs w:val="13"/>
                <w:color w:val="auto"/>
              </w:rPr>
            </w:pPr>
          </w:p>
        </w:tc>
      </w:tr>
      <w:tr>
        <w:trPr>
          <w:trHeight w:val="137"/>
        </w:trPr>
        <w:tc>
          <w:tcPr>
            <w:tcW w:w="3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0" w:type="dxa"/>
            <w:vAlign w:val="bottom"/>
            <w:gridSpan w:val="5"/>
          </w:tcPr>
          <w:p>
            <w:pPr>
              <w:jc w:val="center"/>
              <w:ind w:right="120"/>
              <w:spacing w:after="0"/>
              <w:rPr>
                <w:sz w:val="20"/>
                <w:szCs w:val="20"/>
                <w:color w:val="auto"/>
              </w:rPr>
            </w:pPr>
            <w:r>
              <w:rPr>
                <w:rFonts w:ascii="Arial" w:cs="Arial" w:eastAsia="Arial" w:hAnsi="Arial"/>
                <w:sz w:val="10"/>
                <w:szCs w:val="10"/>
                <w:color w:val="auto"/>
              </w:rPr>
              <w:t>(Address of principal executive offices, including zip code)</w:t>
            </w:r>
          </w:p>
        </w:tc>
        <w:tc>
          <w:tcPr>
            <w:tcW w:w="200" w:type="dxa"/>
            <w:vAlign w:val="bottom"/>
          </w:tcPr>
          <w:p>
            <w:pPr>
              <w:spacing w:after="0"/>
              <w:rPr>
                <w:sz w:val="11"/>
                <w:szCs w:val="11"/>
                <w:color w:val="auto"/>
              </w:rPr>
            </w:pPr>
          </w:p>
        </w:tc>
        <w:tc>
          <w:tcPr>
            <w:tcW w:w="3360" w:type="dxa"/>
            <w:vAlign w:val="bottom"/>
          </w:tcPr>
          <w:p>
            <w:pPr>
              <w:spacing w:after="0"/>
              <w:rPr>
                <w:sz w:val="11"/>
                <w:szCs w:val="11"/>
                <w:color w:val="auto"/>
              </w:rPr>
            </w:pPr>
          </w:p>
        </w:tc>
      </w:tr>
      <w:tr>
        <w:trPr>
          <w:trHeight w:val="282"/>
        </w:trPr>
        <w:tc>
          <w:tcPr>
            <w:tcW w:w="3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20" w:type="dxa"/>
            <w:vAlign w:val="bottom"/>
            <w:gridSpan w:val="3"/>
          </w:tcPr>
          <w:p>
            <w:pPr>
              <w:jc w:val="center"/>
              <w:ind w:left="801"/>
              <w:spacing w:after="0"/>
              <w:rPr>
                <w:sz w:val="20"/>
                <w:szCs w:val="20"/>
                <w:color w:val="auto"/>
              </w:rPr>
            </w:pPr>
            <w:r>
              <w:rPr>
                <w:rFonts w:ascii="Arial" w:cs="Arial" w:eastAsia="Arial" w:hAnsi="Arial"/>
                <w:sz w:val="16"/>
                <w:szCs w:val="16"/>
                <w:b w:val="1"/>
                <w:bCs w:val="1"/>
                <w:color w:val="auto"/>
                <w:w w:val="98"/>
              </w:rPr>
              <w:t>(707) 774-7000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137"/>
        </w:trPr>
        <w:tc>
          <w:tcPr>
            <w:tcW w:w="3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0" w:type="dxa"/>
            <w:vAlign w:val="bottom"/>
            <w:gridSpan w:val="5"/>
          </w:tcPr>
          <w:p>
            <w:pPr>
              <w:jc w:val="center"/>
              <w:ind w:right="120"/>
              <w:spacing w:after="0"/>
              <w:rPr>
                <w:sz w:val="20"/>
                <w:szCs w:val="20"/>
                <w:color w:val="auto"/>
              </w:rPr>
            </w:pPr>
            <w:r>
              <w:rPr>
                <w:rFonts w:ascii="Arial" w:cs="Arial" w:eastAsia="Arial" w:hAnsi="Arial"/>
                <w:sz w:val="10"/>
                <w:szCs w:val="10"/>
                <w:color w:val="auto"/>
              </w:rPr>
              <w:t>(Registrant’s telephone number, including area code)</w:t>
            </w:r>
          </w:p>
        </w:tc>
        <w:tc>
          <w:tcPr>
            <w:tcW w:w="200" w:type="dxa"/>
            <w:vAlign w:val="bottom"/>
          </w:tcPr>
          <w:p>
            <w:pPr>
              <w:spacing w:after="0"/>
              <w:rPr>
                <w:sz w:val="11"/>
                <w:szCs w:val="11"/>
                <w:color w:val="auto"/>
              </w:rPr>
            </w:pPr>
          </w:p>
        </w:tc>
        <w:tc>
          <w:tcPr>
            <w:tcW w:w="3360" w:type="dxa"/>
            <w:vAlign w:val="bottom"/>
          </w:tcPr>
          <w:p>
            <w:pPr>
              <w:spacing w:after="0"/>
              <w:rPr>
                <w:sz w:val="11"/>
                <w:szCs w:val="11"/>
                <w:color w:val="auto"/>
              </w:rPr>
            </w:pPr>
          </w:p>
        </w:tc>
      </w:tr>
      <w:tr>
        <w:trPr>
          <w:trHeight w:val="229"/>
        </w:trPr>
        <w:tc>
          <w:tcPr>
            <w:tcW w:w="3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60" w:type="dxa"/>
            <w:vAlign w:val="bottom"/>
            <w:gridSpan w:val="3"/>
          </w:tcPr>
          <w:p>
            <w:pPr>
              <w:jc w:val="center"/>
              <w:ind w:right="940"/>
              <w:spacing w:after="0"/>
              <w:rPr>
                <w:sz w:val="20"/>
                <w:szCs w:val="20"/>
                <w:color w:val="auto"/>
              </w:rPr>
            </w:pPr>
            <w:r>
              <w:rPr>
                <w:rFonts w:ascii="Arial" w:cs="Arial" w:eastAsia="Arial" w:hAnsi="Arial"/>
                <w:sz w:val="16"/>
                <w:szCs w:val="16"/>
                <w:b w:val="1"/>
                <w:bCs w:val="1"/>
                <w:color w:val="auto"/>
                <w:w w:val="98"/>
              </w:rPr>
              <w:t>Not Applicable</w:t>
            </w:r>
          </w:p>
        </w:tc>
        <w:tc>
          <w:tcPr>
            <w:tcW w:w="20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137"/>
        </w:trPr>
        <w:tc>
          <w:tcPr>
            <w:tcW w:w="3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0" w:type="dxa"/>
            <w:vAlign w:val="bottom"/>
            <w:gridSpan w:val="5"/>
          </w:tcPr>
          <w:p>
            <w:pPr>
              <w:jc w:val="center"/>
              <w:ind w:right="120"/>
              <w:spacing w:after="0"/>
              <w:rPr>
                <w:sz w:val="20"/>
                <w:szCs w:val="20"/>
                <w:color w:val="auto"/>
              </w:rPr>
            </w:pPr>
            <w:r>
              <w:rPr>
                <w:rFonts w:ascii="Arial" w:cs="Arial" w:eastAsia="Arial" w:hAnsi="Arial"/>
                <w:sz w:val="10"/>
                <w:szCs w:val="10"/>
                <w:color w:val="auto"/>
              </w:rPr>
              <w:t>(Former name, former address and former fiscal year, if changed since last report)</w:t>
            </w:r>
          </w:p>
        </w:tc>
        <w:tc>
          <w:tcPr>
            <w:tcW w:w="200" w:type="dxa"/>
            <w:vAlign w:val="bottom"/>
          </w:tcPr>
          <w:p>
            <w:pPr>
              <w:spacing w:after="0"/>
              <w:rPr>
                <w:sz w:val="11"/>
                <w:szCs w:val="11"/>
                <w:color w:val="auto"/>
              </w:rPr>
            </w:pPr>
          </w:p>
        </w:tc>
        <w:tc>
          <w:tcPr>
            <w:tcW w:w="3360" w:type="dxa"/>
            <w:vAlign w:val="bottom"/>
          </w:tcPr>
          <w:p>
            <w:pPr>
              <w:spacing w:after="0"/>
              <w:rPr>
                <w:sz w:val="11"/>
                <w:szCs w:val="11"/>
                <w:color w:val="auto"/>
              </w:rPr>
            </w:pPr>
          </w:p>
        </w:tc>
      </w:tr>
      <w:tr>
        <w:trPr>
          <w:trHeight w:val="125"/>
        </w:trPr>
        <w:tc>
          <w:tcPr>
            <w:tcW w:w="33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360" w:type="dxa"/>
            <w:vAlign w:val="bottom"/>
          </w:tcPr>
          <w:p>
            <w:pPr>
              <w:spacing w:after="0"/>
              <w:rPr>
                <w:sz w:val="10"/>
                <w:szCs w:val="10"/>
                <w:color w:val="auto"/>
              </w:rPr>
            </w:pPr>
          </w:p>
        </w:tc>
      </w:tr>
      <w:tr>
        <w:trPr>
          <w:trHeight w:val="285"/>
        </w:trPr>
        <w:tc>
          <w:tcPr>
            <w:tcW w:w="368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76"/>
        </w:trPr>
        <w:tc>
          <w:tcPr>
            <w:tcW w:w="3680" w:type="dxa"/>
            <w:vAlign w:val="bottom"/>
            <w:tcBorders>
              <w:bottom w:val="single" w:sz="8" w:color="auto"/>
            </w:tcBorders>
            <w:gridSpan w:val="2"/>
          </w:tcPr>
          <w:p>
            <w:pPr>
              <w:jc w:val="center"/>
              <w:ind w:left="676"/>
              <w:spacing w:after="0"/>
              <w:rPr>
                <w:sz w:val="20"/>
                <w:szCs w:val="20"/>
                <w:color w:val="auto"/>
              </w:rPr>
            </w:pPr>
            <w:r>
              <w:rPr>
                <w:rFonts w:ascii="Arial" w:cs="Arial" w:eastAsia="Arial" w:hAnsi="Arial"/>
                <w:sz w:val="12"/>
                <w:szCs w:val="12"/>
                <w:color w:val="auto"/>
              </w:rPr>
              <w:t>Title of each class</w:t>
            </w:r>
          </w:p>
        </w:tc>
        <w:tc>
          <w:tcPr>
            <w:tcW w:w="7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Trading Symbol(s)</w:t>
            </w:r>
          </w:p>
        </w:tc>
        <w:tc>
          <w:tcPr>
            <w:tcW w:w="120" w:type="dxa"/>
            <w:vAlign w:val="bottom"/>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3560" w:type="dxa"/>
            <w:vAlign w:val="bottom"/>
            <w:tcBorders>
              <w:bottom w:val="single" w:sz="8" w:color="auto"/>
            </w:tcBorders>
            <w:gridSpan w:val="2"/>
          </w:tcPr>
          <w:p>
            <w:pPr>
              <w:jc w:val="center"/>
              <w:ind w:right="801"/>
              <w:spacing w:after="0"/>
              <w:rPr>
                <w:sz w:val="20"/>
                <w:szCs w:val="20"/>
                <w:color w:val="auto"/>
              </w:rPr>
            </w:pPr>
            <w:r>
              <w:rPr>
                <w:rFonts w:ascii="Arial" w:cs="Arial" w:eastAsia="Arial" w:hAnsi="Arial"/>
                <w:sz w:val="12"/>
                <w:szCs w:val="12"/>
                <w:color w:val="auto"/>
              </w:rPr>
              <w:t>Name of each exchange on which registered</w:t>
            </w:r>
          </w:p>
        </w:tc>
      </w:tr>
      <w:tr>
        <w:trPr>
          <w:trHeight w:val="179"/>
        </w:trPr>
        <w:tc>
          <w:tcPr>
            <w:tcW w:w="3680" w:type="dxa"/>
            <w:vAlign w:val="bottom"/>
            <w:gridSpan w:val="2"/>
          </w:tcPr>
          <w:p>
            <w:pPr>
              <w:jc w:val="center"/>
              <w:ind w:left="676"/>
              <w:spacing w:after="0"/>
              <w:rPr>
                <w:sz w:val="20"/>
                <w:szCs w:val="20"/>
                <w:color w:val="auto"/>
              </w:rPr>
            </w:pPr>
            <w:r>
              <w:rPr>
                <w:rFonts w:ascii="Arial" w:cs="Arial" w:eastAsia="Arial" w:hAnsi="Arial"/>
                <w:sz w:val="13"/>
                <w:szCs w:val="13"/>
                <w:b w:val="1"/>
                <w:bCs w:val="1"/>
                <w:color w:val="auto"/>
              </w:rPr>
              <w:t>Common Stock, $0.00001 par value per share</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60" w:type="dxa"/>
            <w:vAlign w:val="bottom"/>
            <w:gridSpan w:val="3"/>
          </w:tcPr>
          <w:p>
            <w:pPr>
              <w:jc w:val="center"/>
              <w:ind w:right="960"/>
              <w:spacing w:after="0"/>
              <w:rPr>
                <w:sz w:val="20"/>
                <w:szCs w:val="20"/>
                <w:color w:val="auto"/>
              </w:rPr>
            </w:pPr>
            <w:r>
              <w:rPr>
                <w:rFonts w:ascii="Arial" w:cs="Arial" w:eastAsia="Arial" w:hAnsi="Arial"/>
                <w:sz w:val="13"/>
                <w:szCs w:val="13"/>
                <w:b w:val="1"/>
                <w:bCs w:val="1"/>
                <w:color w:val="auto"/>
                <w:w w:val="99"/>
              </w:rPr>
              <w:t>ENPH</w:t>
            </w:r>
          </w:p>
        </w:tc>
        <w:tc>
          <w:tcPr>
            <w:tcW w:w="200" w:type="dxa"/>
            <w:vAlign w:val="bottom"/>
          </w:tcPr>
          <w:p>
            <w:pPr>
              <w:spacing w:after="0"/>
              <w:rPr>
                <w:sz w:val="15"/>
                <w:szCs w:val="15"/>
                <w:color w:val="auto"/>
              </w:rPr>
            </w:pPr>
          </w:p>
        </w:tc>
        <w:tc>
          <w:tcPr>
            <w:tcW w:w="3360" w:type="dxa"/>
            <w:vAlign w:val="bottom"/>
          </w:tcPr>
          <w:p>
            <w:pPr>
              <w:jc w:val="center"/>
              <w:ind w:right="1001"/>
              <w:spacing w:after="0"/>
              <w:rPr>
                <w:sz w:val="20"/>
                <w:szCs w:val="20"/>
                <w:color w:val="auto"/>
              </w:rPr>
            </w:pPr>
            <w:r>
              <w:rPr>
                <w:rFonts w:ascii="Arial" w:cs="Arial" w:eastAsia="Arial" w:hAnsi="Arial"/>
                <w:sz w:val="13"/>
                <w:szCs w:val="13"/>
                <w:b w:val="1"/>
                <w:bCs w:val="1"/>
                <w:color w:val="auto"/>
              </w:rPr>
              <w:t>Nasdaq Global Market</w:t>
            </w:r>
          </w:p>
        </w:tc>
      </w:tr>
    </w:tbl>
    <w:p>
      <w:pPr>
        <w:spacing w:after="0" w:line="178" w:lineRule="exact"/>
        <w:rPr>
          <w:sz w:val="24"/>
          <w:szCs w:val="24"/>
          <w:color w:val="auto"/>
        </w:rPr>
      </w:pPr>
    </w:p>
    <w:p>
      <w:pPr>
        <w:ind w:right="400"/>
        <w:spacing w:after="0" w:line="18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23" w:lineRule="exact"/>
        <w:rPr>
          <w:sz w:val="24"/>
          <w:szCs w:val="24"/>
          <w:color w:val="auto"/>
        </w:rPr>
      </w:pPr>
    </w:p>
    <w:p>
      <w:pPr>
        <w:ind w:right="200"/>
        <w:spacing w:after="0" w:line="185"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23"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34"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80" w:lineRule="exact"/>
        <w:rPr>
          <w:sz w:val="24"/>
          <w:szCs w:val="24"/>
          <w:color w:val="auto"/>
        </w:rPr>
      </w:pPr>
    </w:p>
    <w:tbl>
      <w:tblPr>
        <w:tblLayout w:type="fixed"/>
        <w:tblInd w:w="20" w:type="dxa"/>
        <w:tblCellMar>
          <w:top w:w="0" w:type="dxa"/>
          <w:left w:w="0" w:type="dxa"/>
          <w:bottom w:w="0" w:type="dxa"/>
          <w:right w:w="0" w:type="dxa"/>
        </w:tblCellMar>
      </w:tblPr>
      <w:tr>
        <w:trPr>
          <w:trHeight w:val="159"/>
        </w:trPr>
        <w:tc>
          <w:tcPr>
            <w:tcW w:w="5540" w:type="dxa"/>
            <w:vAlign w:val="bottom"/>
          </w:tcPr>
          <w:p>
            <w:pPr>
              <w:ind w:left="3100"/>
              <w:spacing w:after="0" w:line="131" w:lineRule="exact"/>
              <w:rPr>
                <w:sz w:val="20"/>
                <w:szCs w:val="20"/>
                <w:color w:val="auto"/>
              </w:rPr>
            </w:pPr>
            <w:r>
              <w:rPr>
                <w:rFonts w:ascii="MS PGothic" w:cs="MS PGothic" w:eastAsia="MS PGothic" w:hAnsi="MS PGothic"/>
                <w:sz w:val="13"/>
                <w:szCs w:val="13"/>
                <w:color w:val="auto"/>
              </w:rPr>
              <w:t>☒</w:t>
            </w:r>
          </w:p>
        </w:tc>
        <w:tc>
          <w:tcPr>
            <w:tcW w:w="4640" w:type="dxa"/>
            <w:vAlign w:val="bottom"/>
            <w:vMerge w:val="restart"/>
          </w:tcPr>
          <w:p>
            <w:pPr>
              <w:ind w:left="2300"/>
              <w:spacing w:after="0"/>
              <w:rPr>
                <w:sz w:val="20"/>
                <w:szCs w:val="20"/>
                <w:color w:val="auto"/>
              </w:rPr>
            </w:pPr>
            <w:r>
              <w:rPr>
                <w:rFonts w:ascii="Arial" w:cs="Arial" w:eastAsia="Arial" w:hAnsi="Arial"/>
                <w:sz w:val="13"/>
                <w:szCs w:val="13"/>
                <w:color w:val="auto"/>
              </w:rPr>
              <w:t>Accelerated filer</w:t>
            </w:r>
          </w:p>
        </w:tc>
        <w:tc>
          <w:tcPr>
            <w:tcW w:w="880" w:type="dxa"/>
            <w:vAlign w:val="bottom"/>
          </w:tcPr>
          <w:p>
            <w:pPr>
              <w:ind w:left="76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464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540" w:type="dxa"/>
            <w:vAlign w:val="bottom"/>
          </w:tcPr>
          <w:p>
            <w:pPr>
              <w:ind w:left="3100"/>
              <w:spacing w:after="0" w:line="131" w:lineRule="exact"/>
              <w:rPr>
                <w:sz w:val="20"/>
                <w:szCs w:val="20"/>
                <w:color w:val="auto"/>
              </w:rPr>
            </w:pPr>
            <w:r>
              <w:rPr>
                <w:rFonts w:ascii="MS PGothic" w:cs="MS PGothic" w:eastAsia="MS PGothic" w:hAnsi="MS PGothic"/>
                <w:sz w:val="13"/>
                <w:szCs w:val="13"/>
                <w:color w:val="auto"/>
              </w:rPr>
              <w:t>☐</w:t>
            </w:r>
          </w:p>
        </w:tc>
        <w:tc>
          <w:tcPr>
            <w:tcW w:w="4640" w:type="dxa"/>
            <w:vAlign w:val="bottom"/>
            <w:vMerge w:val="restart"/>
          </w:tcPr>
          <w:p>
            <w:pPr>
              <w:ind w:left="2300"/>
              <w:spacing w:after="0"/>
              <w:rPr>
                <w:sz w:val="20"/>
                <w:szCs w:val="20"/>
                <w:color w:val="auto"/>
              </w:rPr>
            </w:pPr>
            <w:r>
              <w:rPr>
                <w:rFonts w:ascii="Arial" w:cs="Arial" w:eastAsia="Arial" w:hAnsi="Arial"/>
                <w:sz w:val="13"/>
                <w:szCs w:val="13"/>
                <w:color w:val="auto"/>
              </w:rPr>
              <w:t>Smaller reporting company</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Arial" w:cs="Arial" w:eastAsia="Arial" w:hAnsi="Arial"/>
                <w:sz w:val="13"/>
                <w:szCs w:val="13"/>
                <w:color w:val="auto"/>
              </w:rPr>
              <w:t>Non-accelerated filer</w:t>
            </w:r>
          </w:p>
        </w:tc>
        <w:tc>
          <w:tcPr>
            <w:tcW w:w="4640" w:type="dxa"/>
            <w:vAlign w:val="bottom"/>
            <w:vMerge w:val="continue"/>
          </w:tcPr>
          <w:p>
            <w:pPr>
              <w:spacing w:after="0"/>
              <w:rPr>
                <w:sz w:val="14"/>
                <w:szCs w:val="14"/>
                <w:color w:val="auto"/>
              </w:rPr>
            </w:pPr>
          </w:p>
        </w:tc>
        <w:tc>
          <w:tcPr>
            <w:tcW w:w="880" w:type="dxa"/>
            <w:vAlign w:val="bottom"/>
            <w:vMerge w:val="restart"/>
          </w:tcPr>
          <w:p>
            <w:pPr>
              <w:ind w:left="76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r>
        <w:trPr>
          <w:trHeight w:val="87"/>
        </w:trPr>
        <w:tc>
          <w:tcPr>
            <w:tcW w:w="5540" w:type="dxa"/>
            <w:vAlign w:val="bottom"/>
          </w:tcPr>
          <w:p>
            <w:pPr>
              <w:spacing w:after="0"/>
              <w:rPr>
                <w:sz w:val="7"/>
                <w:szCs w:val="7"/>
                <w:color w:val="auto"/>
              </w:rPr>
            </w:pPr>
          </w:p>
        </w:tc>
        <w:tc>
          <w:tcPr>
            <w:tcW w:w="46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5540" w:type="dxa"/>
            <w:vAlign w:val="bottom"/>
          </w:tcPr>
          <w:p>
            <w:pPr>
              <w:spacing w:after="0"/>
              <w:rPr>
                <w:sz w:val="19"/>
                <w:szCs w:val="19"/>
                <w:color w:val="auto"/>
              </w:rPr>
            </w:pPr>
          </w:p>
        </w:tc>
        <w:tc>
          <w:tcPr>
            <w:tcW w:w="4640" w:type="dxa"/>
            <w:vAlign w:val="bottom"/>
          </w:tcPr>
          <w:p>
            <w:pPr>
              <w:ind w:left="2300"/>
              <w:spacing w:after="0"/>
              <w:rPr>
                <w:sz w:val="20"/>
                <w:szCs w:val="20"/>
                <w:color w:val="auto"/>
              </w:rPr>
            </w:pPr>
            <w:r>
              <w:rPr>
                <w:rFonts w:ascii="Arial" w:cs="Arial" w:eastAsia="Arial" w:hAnsi="Arial"/>
                <w:sz w:val="13"/>
                <w:szCs w:val="13"/>
                <w:color w:val="auto"/>
              </w:rPr>
              <w:t>Emerging growth company</w:t>
            </w:r>
          </w:p>
        </w:tc>
        <w:tc>
          <w:tcPr>
            <w:tcW w:w="880" w:type="dxa"/>
            <w:vAlign w:val="bottom"/>
          </w:tcPr>
          <w:p>
            <w:pPr>
              <w:ind w:left="76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bl>
    <w:p>
      <w:pPr>
        <w:spacing w:after="0" w:line="127" w:lineRule="exact"/>
        <w:rPr>
          <w:sz w:val="24"/>
          <w:szCs w:val="24"/>
          <w:color w:val="auto"/>
        </w:rPr>
      </w:pPr>
    </w:p>
    <w:p>
      <w:pPr>
        <w:ind w:right="660"/>
        <w:spacing w:after="0" w:line="18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 w:lineRule="exact"/>
        <w:rPr>
          <w:sz w:val="24"/>
          <w:szCs w:val="24"/>
          <w:color w:val="auto"/>
        </w:rPr>
      </w:pPr>
    </w:p>
    <w:p>
      <w:pPr>
        <w:jc w:val="both"/>
        <w:ind w:right="3320"/>
        <w:spacing w:after="0" w:line="213"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3"/>
          <w:szCs w:val="13"/>
          <w:color w:val="auto"/>
        </w:rPr>
        <w:t xml:space="preserve"> No </w:t>
      </w:r>
      <w:r>
        <w:rPr>
          <w:rFonts w:ascii="MS PGothic" w:cs="MS PGothic" w:eastAsia="MS PGothic" w:hAnsi="MS PGothic"/>
          <w:sz w:val="12"/>
          <w:szCs w:val="12"/>
          <w:color w:val="auto"/>
        </w:rPr>
        <w:t>☒</w:t>
      </w:r>
      <w:r>
        <w:rPr>
          <w:rFonts w:ascii="Arial" w:cs="Arial" w:eastAsia="Arial" w:hAnsi="Arial"/>
          <w:sz w:val="13"/>
          <w:szCs w:val="13"/>
          <w:color w:val="auto"/>
        </w:rPr>
        <w:t xml:space="preserve"> As of July 19, 2024, there were 135,422,159 shares of the registrant’s common stock outstanding,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97155</wp:posOffset>
            </wp:positionV>
            <wp:extent cx="7120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0255"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63500</wp:posOffset>
            </wp:positionV>
            <wp:extent cx="7120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02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10"/>
          <w:szCs w:val="10"/>
          <w:color w:val="828282"/>
        </w:rPr>
        <w:t>Enphase Energy, Inc. | 2024 Form 10-Q |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7"/>
          <w:szCs w:val="17"/>
          <w:b w:val="1"/>
          <w:bCs w:val="1"/>
          <w:color w:val="auto"/>
        </w:rPr>
        <w:t>ENPHASE ENERGY, INC.</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FORM 10-Q FOR THE QUARTERLY PERIOD ENDED JUNE 30, 2024</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TABLE OF CONTENTS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5940" w:type="dxa"/>
            <w:vAlign w:val="bottom"/>
            <w:gridSpan w:val="4"/>
            <w:vMerge w:val="restart"/>
          </w:tcPr>
          <w:p>
            <w:pPr>
              <w:jc w:val="center"/>
              <w:ind w:right="3380"/>
              <w:spacing w:after="0"/>
              <w:rPr>
                <w:sz w:val="20"/>
                <w:szCs w:val="20"/>
                <w:color w:val="auto"/>
              </w:rPr>
            </w:pPr>
            <w:r>
              <w:rPr>
                <w:rFonts w:ascii="Arial" w:cs="Arial" w:eastAsia="Arial" w:hAnsi="Arial"/>
                <w:sz w:val="16"/>
                <w:szCs w:val="16"/>
                <w:b w:val="1"/>
                <w:bCs w:val="1"/>
                <w:color w:val="0000FF"/>
                <w:w w:val="96"/>
              </w:rPr>
              <w:t>PART I. FINANCIAL INFORMATION</w:t>
            </w:r>
          </w:p>
        </w:tc>
        <w:tc>
          <w:tcPr>
            <w:tcW w:w="88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50"/>
        </w:trPr>
        <w:tc>
          <w:tcPr>
            <w:tcW w:w="8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5940" w:type="dxa"/>
            <w:vAlign w:val="bottom"/>
            <w:gridSpan w:val="4"/>
            <w:vMerge w:val="continue"/>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5"/>
        </w:trPr>
        <w:tc>
          <w:tcPr>
            <w:tcW w:w="800" w:type="dxa"/>
            <w:vAlign w:val="bottom"/>
          </w:tcPr>
          <w:p>
            <w:pPr>
              <w:spacing w:after="0"/>
              <w:rPr>
                <w:sz w:val="20"/>
                <w:szCs w:val="20"/>
                <w:color w:val="auto"/>
              </w:rPr>
            </w:pPr>
            <w:r>
              <w:rPr>
                <w:rFonts w:ascii="Arial" w:cs="Arial" w:eastAsia="Arial" w:hAnsi="Arial"/>
                <w:sz w:val="16"/>
                <w:szCs w:val="16"/>
                <w:color w:val="0000FF"/>
              </w:rPr>
              <w:t>Item 1.</w:t>
            </w:r>
          </w:p>
        </w:tc>
        <w:tc>
          <w:tcPr>
            <w:tcW w:w="3580" w:type="dxa"/>
            <w:vAlign w:val="bottom"/>
          </w:tcPr>
          <w:p>
            <w:pPr>
              <w:ind w:left="220"/>
              <w:spacing w:after="0"/>
              <w:rPr>
                <w:sz w:val="20"/>
                <w:szCs w:val="20"/>
                <w:color w:val="auto"/>
              </w:rPr>
            </w:pPr>
            <w:r>
              <w:rPr>
                <w:rFonts w:ascii="Arial" w:cs="Arial" w:eastAsia="Arial" w:hAnsi="Arial"/>
                <w:sz w:val="16"/>
                <w:szCs w:val="16"/>
                <w:color w:val="0000FF"/>
              </w:rPr>
              <w:t>Financial Statements (unaudited)</w:t>
            </w:r>
          </w:p>
        </w:tc>
        <w:tc>
          <w:tcPr>
            <w:tcW w:w="2560" w:type="dxa"/>
            <w:vAlign w:val="bottom"/>
            <w:tcBorders>
              <w:top w:val="single" w:sz="8" w:color="0000FF"/>
            </w:tcBorders>
            <w:gridSpan w:val="3"/>
          </w:tcPr>
          <w:p>
            <w:pPr>
              <w:spacing w:after="0"/>
              <w:rPr>
                <w:sz w:val="24"/>
                <w:szCs w:val="24"/>
                <w:color w:val="auto"/>
              </w:rPr>
            </w:pPr>
          </w:p>
        </w:tc>
        <w:tc>
          <w:tcPr>
            <w:tcW w:w="33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0000FF"/>
              </w:rPr>
              <w:t>3</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9520" w:type="dxa"/>
            <w:vAlign w:val="bottom"/>
            <w:gridSpan w:val="5"/>
          </w:tcPr>
          <w:p>
            <w:pPr>
              <w:ind w:left="220"/>
              <w:spacing w:after="0"/>
              <w:rPr>
                <w:sz w:val="20"/>
                <w:szCs w:val="20"/>
                <w:color w:val="auto"/>
              </w:rPr>
            </w:pPr>
            <w:r>
              <w:rPr>
                <w:rFonts w:ascii="Arial" w:cs="Arial" w:eastAsia="Arial" w:hAnsi="Arial"/>
                <w:sz w:val="16"/>
                <w:szCs w:val="16"/>
                <w:color w:val="0000FF"/>
              </w:rPr>
              <w:t>Condensed Consolidated Balance Sheets</w:t>
            </w:r>
          </w:p>
        </w:tc>
        <w:tc>
          <w:tcPr>
            <w:tcW w:w="880" w:type="dxa"/>
            <w:vAlign w:val="bottom"/>
          </w:tcPr>
          <w:p>
            <w:pPr>
              <w:jc w:val="center"/>
              <w:spacing w:after="0"/>
              <w:rPr>
                <w:sz w:val="20"/>
                <w:szCs w:val="20"/>
                <w:color w:val="auto"/>
              </w:rPr>
            </w:pPr>
            <w:r>
              <w:rPr>
                <w:rFonts w:ascii="Arial" w:cs="Arial" w:eastAsia="Arial" w:hAnsi="Arial"/>
                <w:sz w:val="16"/>
                <w:szCs w:val="16"/>
                <w:color w:val="0000FF"/>
              </w:rPr>
              <w:t>3</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9520" w:type="dxa"/>
            <w:vAlign w:val="bottom"/>
            <w:gridSpan w:val="5"/>
          </w:tcPr>
          <w:p>
            <w:pPr>
              <w:ind w:left="220"/>
              <w:spacing w:after="0"/>
              <w:rPr>
                <w:sz w:val="20"/>
                <w:szCs w:val="20"/>
                <w:color w:val="auto"/>
              </w:rPr>
            </w:pPr>
            <w:r>
              <w:rPr>
                <w:rFonts w:ascii="Arial" w:cs="Arial" w:eastAsia="Arial" w:hAnsi="Arial"/>
                <w:sz w:val="16"/>
                <w:szCs w:val="16"/>
                <w:color w:val="0000FF"/>
              </w:rPr>
              <w:t>Condensed Consolidated Statements of Operations</w:t>
            </w:r>
          </w:p>
        </w:tc>
        <w:tc>
          <w:tcPr>
            <w:tcW w:w="880" w:type="dxa"/>
            <w:vAlign w:val="bottom"/>
          </w:tcPr>
          <w:p>
            <w:pPr>
              <w:jc w:val="center"/>
              <w:spacing w:after="0"/>
              <w:rPr>
                <w:sz w:val="20"/>
                <w:szCs w:val="20"/>
                <w:color w:val="auto"/>
              </w:rPr>
            </w:pPr>
            <w:r>
              <w:rPr>
                <w:rFonts w:ascii="Arial" w:cs="Arial" w:eastAsia="Arial" w:hAnsi="Arial"/>
                <w:sz w:val="16"/>
                <w:szCs w:val="16"/>
                <w:color w:val="0000FF"/>
              </w:rPr>
              <w:t>4</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9520" w:type="dxa"/>
            <w:vAlign w:val="bottom"/>
            <w:gridSpan w:val="5"/>
          </w:tcPr>
          <w:p>
            <w:pPr>
              <w:ind w:left="220"/>
              <w:spacing w:after="0"/>
              <w:rPr>
                <w:sz w:val="20"/>
                <w:szCs w:val="20"/>
                <w:color w:val="auto"/>
              </w:rPr>
            </w:pPr>
            <w:r>
              <w:rPr>
                <w:rFonts w:ascii="Arial" w:cs="Arial" w:eastAsia="Arial" w:hAnsi="Arial"/>
                <w:sz w:val="16"/>
                <w:szCs w:val="16"/>
                <w:color w:val="0000FF"/>
              </w:rPr>
              <w:t>Condensed Consolidated Statements of Comprehensive (Loss) Income</w:t>
            </w:r>
          </w:p>
        </w:tc>
        <w:tc>
          <w:tcPr>
            <w:tcW w:w="880" w:type="dxa"/>
            <w:vAlign w:val="bottom"/>
          </w:tcPr>
          <w:p>
            <w:pPr>
              <w:jc w:val="center"/>
              <w:spacing w:after="0"/>
              <w:rPr>
                <w:sz w:val="20"/>
                <w:szCs w:val="20"/>
                <w:color w:val="auto"/>
              </w:rPr>
            </w:pPr>
            <w:r>
              <w:rPr>
                <w:rFonts w:ascii="Arial" w:cs="Arial" w:eastAsia="Arial" w:hAnsi="Arial"/>
                <w:sz w:val="16"/>
                <w:szCs w:val="16"/>
                <w:color w:val="0000FF"/>
              </w:rPr>
              <w:t>5</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9520" w:type="dxa"/>
            <w:vAlign w:val="bottom"/>
            <w:gridSpan w:val="5"/>
          </w:tcPr>
          <w:p>
            <w:pPr>
              <w:ind w:left="220"/>
              <w:spacing w:after="0"/>
              <w:rPr>
                <w:sz w:val="20"/>
                <w:szCs w:val="20"/>
                <w:color w:val="auto"/>
              </w:rPr>
            </w:pPr>
            <w:r>
              <w:rPr>
                <w:rFonts w:ascii="Arial" w:cs="Arial" w:eastAsia="Arial" w:hAnsi="Arial"/>
                <w:sz w:val="16"/>
                <w:szCs w:val="16"/>
                <w:color w:val="0000FF"/>
              </w:rPr>
              <w:t>Condensed Consolidated Statements of Stockholders' Equity</w:t>
            </w:r>
          </w:p>
        </w:tc>
        <w:tc>
          <w:tcPr>
            <w:tcW w:w="880" w:type="dxa"/>
            <w:vAlign w:val="bottom"/>
          </w:tcPr>
          <w:p>
            <w:pPr>
              <w:jc w:val="center"/>
              <w:spacing w:after="0"/>
              <w:rPr>
                <w:sz w:val="20"/>
                <w:szCs w:val="20"/>
                <w:color w:val="auto"/>
              </w:rPr>
            </w:pPr>
            <w:r>
              <w:rPr>
                <w:rFonts w:ascii="Arial" w:cs="Arial" w:eastAsia="Arial" w:hAnsi="Arial"/>
                <w:sz w:val="16"/>
                <w:szCs w:val="16"/>
                <w:color w:val="0000FF"/>
              </w:rPr>
              <w:t>6</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9520" w:type="dxa"/>
            <w:vAlign w:val="bottom"/>
            <w:gridSpan w:val="5"/>
          </w:tcPr>
          <w:p>
            <w:pPr>
              <w:ind w:left="220"/>
              <w:spacing w:after="0"/>
              <w:rPr>
                <w:sz w:val="20"/>
                <w:szCs w:val="20"/>
                <w:color w:val="auto"/>
              </w:rPr>
            </w:pPr>
            <w:r>
              <w:rPr>
                <w:rFonts w:ascii="Arial" w:cs="Arial" w:eastAsia="Arial" w:hAnsi="Arial"/>
                <w:sz w:val="16"/>
                <w:szCs w:val="16"/>
                <w:color w:val="0000FF"/>
              </w:rPr>
              <w:t>Condensed Consolidated Statements of Cash Flows</w:t>
            </w:r>
          </w:p>
        </w:tc>
        <w:tc>
          <w:tcPr>
            <w:tcW w:w="880" w:type="dxa"/>
            <w:vAlign w:val="bottom"/>
          </w:tcPr>
          <w:p>
            <w:pPr>
              <w:jc w:val="center"/>
              <w:spacing w:after="0"/>
              <w:rPr>
                <w:sz w:val="20"/>
                <w:szCs w:val="20"/>
                <w:color w:val="auto"/>
              </w:rPr>
            </w:pPr>
            <w:r>
              <w:rPr>
                <w:rFonts w:ascii="Arial" w:cs="Arial" w:eastAsia="Arial" w:hAnsi="Arial"/>
                <w:sz w:val="16"/>
                <w:szCs w:val="16"/>
                <w:color w:val="0000FF"/>
              </w:rPr>
              <w:t>7</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9520" w:type="dxa"/>
            <w:vAlign w:val="bottom"/>
            <w:gridSpan w:val="5"/>
          </w:tcPr>
          <w:p>
            <w:pPr>
              <w:ind w:left="220"/>
              <w:spacing w:after="0"/>
              <w:rPr>
                <w:sz w:val="20"/>
                <w:szCs w:val="20"/>
                <w:color w:val="auto"/>
              </w:rPr>
            </w:pPr>
            <w:r>
              <w:rPr>
                <w:rFonts w:ascii="Arial" w:cs="Arial" w:eastAsia="Arial" w:hAnsi="Arial"/>
                <w:sz w:val="16"/>
                <w:szCs w:val="16"/>
                <w:color w:val="0000FF"/>
              </w:rPr>
              <w:t>Notes to Condensed Consolidated Financial Statements</w:t>
            </w:r>
          </w:p>
        </w:tc>
        <w:tc>
          <w:tcPr>
            <w:tcW w:w="880" w:type="dxa"/>
            <w:vAlign w:val="bottom"/>
          </w:tcPr>
          <w:p>
            <w:pPr>
              <w:jc w:val="center"/>
              <w:spacing w:after="0"/>
              <w:rPr>
                <w:sz w:val="20"/>
                <w:szCs w:val="20"/>
                <w:color w:val="auto"/>
              </w:rPr>
            </w:pPr>
            <w:r>
              <w:rPr>
                <w:rFonts w:ascii="Arial" w:cs="Arial" w:eastAsia="Arial" w:hAnsi="Arial"/>
                <w:sz w:val="16"/>
                <w:szCs w:val="16"/>
                <w:color w:val="0000FF"/>
              </w:rPr>
              <w:t>8</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20"/>
                <w:szCs w:val="20"/>
                <w:color w:val="auto"/>
              </w:rPr>
            </w:pPr>
            <w:r>
              <w:rPr>
                <w:rFonts w:ascii="Arial" w:cs="Arial" w:eastAsia="Arial" w:hAnsi="Arial"/>
                <w:sz w:val="16"/>
                <w:szCs w:val="16"/>
                <w:color w:val="0000FF"/>
              </w:rPr>
              <w:t>Item 2.</w:t>
            </w:r>
          </w:p>
        </w:tc>
        <w:tc>
          <w:tcPr>
            <w:tcW w:w="9520" w:type="dxa"/>
            <w:vAlign w:val="bottom"/>
            <w:gridSpan w:val="5"/>
          </w:tcPr>
          <w:p>
            <w:pPr>
              <w:ind w:left="220"/>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880" w:type="dxa"/>
            <w:vAlign w:val="bottom"/>
          </w:tcPr>
          <w:p>
            <w:pPr>
              <w:jc w:val="center"/>
              <w:spacing w:after="0"/>
              <w:rPr>
                <w:sz w:val="20"/>
                <w:szCs w:val="20"/>
                <w:color w:val="auto"/>
              </w:rPr>
            </w:pPr>
            <w:r>
              <w:rPr>
                <w:rFonts w:ascii="Arial" w:cs="Arial" w:eastAsia="Arial" w:hAnsi="Arial"/>
                <w:sz w:val="16"/>
                <w:szCs w:val="16"/>
                <w:color w:val="0000FF"/>
              </w:rPr>
              <w:t>33</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20"/>
                <w:szCs w:val="20"/>
                <w:color w:val="auto"/>
              </w:rPr>
            </w:pPr>
            <w:r>
              <w:rPr>
                <w:rFonts w:ascii="Arial" w:cs="Arial" w:eastAsia="Arial" w:hAnsi="Arial"/>
                <w:sz w:val="16"/>
                <w:szCs w:val="16"/>
                <w:color w:val="0000FF"/>
              </w:rPr>
              <w:t>Item 3.</w:t>
            </w:r>
          </w:p>
        </w:tc>
        <w:tc>
          <w:tcPr>
            <w:tcW w:w="9520" w:type="dxa"/>
            <w:vAlign w:val="bottom"/>
            <w:gridSpan w:val="5"/>
          </w:tcPr>
          <w:p>
            <w:pPr>
              <w:ind w:left="220"/>
              <w:spacing w:after="0"/>
              <w:rPr>
                <w:sz w:val="20"/>
                <w:szCs w:val="20"/>
                <w:color w:val="auto"/>
              </w:rPr>
            </w:pPr>
            <w:r>
              <w:rPr>
                <w:rFonts w:ascii="Arial" w:cs="Arial" w:eastAsia="Arial" w:hAnsi="Arial"/>
                <w:sz w:val="16"/>
                <w:szCs w:val="16"/>
                <w:color w:val="0000FF"/>
              </w:rPr>
              <w:t>Quantitative and Qualitative Disclosures About Market Risk</w:t>
            </w:r>
          </w:p>
        </w:tc>
        <w:tc>
          <w:tcPr>
            <w:tcW w:w="880" w:type="dxa"/>
            <w:vAlign w:val="bottom"/>
          </w:tcPr>
          <w:p>
            <w:pPr>
              <w:jc w:val="center"/>
              <w:spacing w:after="0"/>
              <w:rPr>
                <w:sz w:val="20"/>
                <w:szCs w:val="20"/>
                <w:color w:val="auto"/>
              </w:rPr>
            </w:pPr>
            <w:r>
              <w:rPr>
                <w:rFonts w:ascii="Arial" w:cs="Arial" w:eastAsia="Arial" w:hAnsi="Arial"/>
                <w:sz w:val="16"/>
                <w:szCs w:val="16"/>
                <w:color w:val="0000FF"/>
              </w:rPr>
              <w:t>42</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20"/>
                <w:szCs w:val="20"/>
                <w:color w:val="auto"/>
              </w:rPr>
            </w:pPr>
            <w:r>
              <w:rPr>
                <w:rFonts w:ascii="Arial" w:cs="Arial" w:eastAsia="Arial" w:hAnsi="Arial"/>
                <w:sz w:val="16"/>
                <w:szCs w:val="16"/>
                <w:color w:val="0000FF"/>
              </w:rPr>
              <w:t>Item 4.</w:t>
            </w:r>
          </w:p>
        </w:tc>
        <w:tc>
          <w:tcPr>
            <w:tcW w:w="9520" w:type="dxa"/>
            <w:vAlign w:val="bottom"/>
            <w:gridSpan w:val="5"/>
          </w:tcPr>
          <w:p>
            <w:pPr>
              <w:ind w:left="220"/>
              <w:spacing w:after="0"/>
              <w:rPr>
                <w:sz w:val="20"/>
                <w:szCs w:val="20"/>
                <w:color w:val="auto"/>
              </w:rPr>
            </w:pPr>
            <w:r>
              <w:rPr>
                <w:rFonts w:ascii="Arial" w:cs="Arial" w:eastAsia="Arial" w:hAnsi="Arial"/>
                <w:sz w:val="16"/>
                <w:szCs w:val="16"/>
                <w:color w:val="0000FF"/>
              </w:rPr>
              <w:t>Controls and Procedures</w:t>
            </w:r>
          </w:p>
        </w:tc>
        <w:tc>
          <w:tcPr>
            <w:tcW w:w="880" w:type="dxa"/>
            <w:vAlign w:val="bottom"/>
          </w:tcPr>
          <w:p>
            <w:pPr>
              <w:jc w:val="center"/>
              <w:spacing w:after="0"/>
              <w:rPr>
                <w:sz w:val="20"/>
                <w:szCs w:val="20"/>
                <w:color w:val="auto"/>
              </w:rPr>
            </w:pPr>
            <w:r>
              <w:rPr>
                <w:rFonts w:ascii="Arial" w:cs="Arial" w:eastAsia="Arial" w:hAnsi="Arial"/>
                <w:sz w:val="16"/>
                <w:szCs w:val="16"/>
                <w:color w:val="0000FF"/>
              </w:rPr>
              <w:t>42</w:t>
            </w:r>
          </w:p>
        </w:tc>
        <w:tc>
          <w:tcPr>
            <w:tcW w:w="0" w:type="dxa"/>
            <w:vAlign w:val="bottom"/>
          </w:tcPr>
          <w:p>
            <w:pPr>
              <w:spacing w:after="0"/>
              <w:rPr>
                <w:sz w:val="1"/>
                <w:szCs w:val="1"/>
                <w:color w:val="auto"/>
              </w:rPr>
            </w:pPr>
          </w:p>
        </w:tc>
      </w:tr>
      <w:tr>
        <w:trPr>
          <w:trHeight w:val="381"/>
        </w:trPr>
        <w:tc>
          <w:tcPr>
            <w:tcW w:w="8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20" w:type="dxa"/>
            <w:vAlign w:val="bottom"/>
            <w:gridSpan w:val="3"/>
          </w:tcPr>
          <w:p>
            <w:pPr>
              <w:jc w:val="center"/>
              <w:ind w:right="3500"/>
              <w:spacing w:after="0"/>
              <w:rPr>
                <w:sz w:val="20"/>
                <w:szCs w:val="20"/>
                <w:color w:val="auto"/>
              </w:rPr>
            </w:pPr>
            <w:r>
              <w:rPr>
                <w:rFonts w:ascii="Arial" w:cs="Arial" w:eastAsia="Arial" w:hAnsi="Arial"/>
                <w:sz w:val="16"/>
                <w:szCs w:val="16"/>
                <w:b w:val="1"/>
                <w:bCs w:val="1"/>
                <w:color w:val="0000FF"/>
                <w:w w:val="97"/>
              </w:rPr>
              <w:t>PART II. OTHER INFORMATION</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800" w:type="dxa"/>
            <w:vAlign w:val="bottom"/>
          </w:tcPr>
          <w:p>
            <w:pPr>
              <w:spacing w:after="0"/>
              <w:rPr>
                <w:sz w:val="20"/>
                <w:szCs w:val="20"/>
                <w:color w:val="auto"/>
              </w:rPr>
            </w:pPr>
            <w:r>
              <w:rPr>
                <w:rFonts w:ascii="Arial" w:cs="Arial" w:eastAsia="Arial" w:hAnsi="Arial"/>
                <w:sz w:val="16"/>
                <w:szCs w:val="16"/>
                <w:color w:val="0000FF"/>
              </w:rPr>
              <w:t>Item 1.</w:t>
            </w:r>
          </w:p>
        </w:tc>
        <w:tc>
          <w:tcPr>
            <w:tcW w:w="3700" w:type="dxa"/>
            <w:vAlign w:val="bottom"/>
            <w:gridSpan w:val="2"/>
          </w:tcPr>
          <w:p>
            <w:pPr>
              <w:ind w:left="220"/>
              <w:spacing w:after="0"/>
              <w:rPr>
                <w:sz w:val="20"/>
                <w:szCs w:val="20"/>
                <w:color w:val="auto"/>
              </w:rPr>
            </w:pPr>
            <w:r>
              <w:rPr>
                <w:rFonts w:ascii="Arial" w:cs="Arial" w:eastAsia="Arial" w:hAnsi="Arial"/>
                <w:sz w:val="16"/>
                <w:szCs w:val="16"/>
                <w:color w:val="0000FF"/>
              </w:rPr>
              <w:t>Legal Proceedings</w:t>
            </w:r>
          </w:p>
        </w:tc>
        <w:tc>
          <w:tcPr>
            <w:tcW w:w="2320" w:type="dxa"/>
            <w:vAlign w:val="bottom"/>
            <w:tcBorders>
              <w:top w:val="single" w:sz="8" w:color="0000FF"/>
            </w:tcBorders>
          </w:tcPr>
          <w:p>
            <w:pPr>
              <w:spacing w:after="0"/>
              <w:rPr>
                <w:sz w:val="24"/>
                <w:szCs w:val="24"/>
                <w:color w:val="auto"/>
              </w:rPr>
            </w:pPr>
          </w:p>
        </w:tc>
        <w:tc>
          <w:tcPr>
            <w:tcW w:w="3500" w:type="dxa"/>
            <w:vAlign w:val="bottom"/>
            <w:gridSpan w:val="2"/>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0000FF"/>
              </w:rPr>
              <w:t>43</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20"/>
                <w:szCs w:val="20"/>
                <w:color w:val="auto"/>
              </w:rPr>
            </w:pPr>
            <w:r>
              <w:rPr>
                <w:rFonts w:ascii="Arial" w:cs="Arial" w:eastAsia="Arial" w:hAnsi="Arial"/>
                <w:sz w:val="16"/>
                <w:szCs w:val="16"/>
                <w:color w:val="0000FF"/>
              </w:rPr>
              <w:t>Item 1A.</w:t>
            </w:r>
          </w:p>
        </w:tc>
        <w:tc>
          <w:tcPr>
            <w:tcW w:w="9520" w:type="dxa"/>
            <w:vAlign w:val="bottom"/>
            <w:gridSpan w:val="5"/>
          </w:tcPr>
          <w:p>
            <w:pPr>
              <w:ind w:left="220"/>
              <w:spacing w:after="0"/>
              <w:rPr>
                <w:sz w:val="20"/>
                <w:szCs w:val="20"/>
                <w:color w:val="auto"/>
              </w:rPr>
            </w:pPr>
            <w:r>
              <w:rPr>
                <w:rFonts w:ascii="Arial" w:cs="Arial" w:eastAsia="Arial" w:hAnsi="Arial"/>
                <w:sz w:val="16"/>
                <w:szCs w:val="16"/>
                <w:color w:val="0000FF"/>
              </w:rPr>
              <w:t>Risk Factors</w:t>
            </w:r>
          </w:p>
        </w:tc>
        <w:tc>
          <w:tcPr>
            <w:tcW w:w="880" w:type="dxa"/>
            <w:vAlign w:val="bottom"/>
          </w:tcPr>
          <w:p>
            <w:pPr>
              <w:jc w:val="center"/>
              <w:spacing w:after="0"/>
              <w:rPr>
                <w:sz w:val="20"/>
                <w:szCs w:val="20"/>
                <w:color w:val="auto"/>
              </w:rPr>
            </w:pPr>
            <w:r>
              <w:rPr>
                <w:rFonts w:ascii="Arial" w:cs="Arial" w:eastAsia="Arial" w:hAnsi="Arial"/>
                <w:sz w:val="16"/>
                <w:szCs w:val="16"/>
                <w:color w:val="0000FF"/>
              </w:rPr>
              <w:t>44</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20"/>
                <w:szCs w:val="20"/>
                <w:color w:val="auto"/>
              </w:rPr>
            </w:pPr>
            <w:r>
              <w:rPr>
                <w:rFonts w:ascii="Arial" w:cs="Arial" w:eastAsia="Arial" w:hAnsi="Arial"/>
                <w:sz w:val="16"/>
                <w:szCs w:val="16"/>
                <w:color w:val="0000FF"/>
              </w:rPr>
              <w:t>Item 2.</w:t>
            </w:r>
          </w:p>
        </w:tc>
        <w:tc>
          <w:tcPr>
            <w:tcW w:w="9520" w:type="dxa"/>
            <w:vAlign w:val="bottom"/>
            <w:gridSpan w:val="5"/>
          </w:tcPr>
          <w:p>
            <w:pPr>
              <w:ind w:left="220"/>
              <w:spacing w:after="0"/>
              <w:rPr>
                <w:sz w:val="20"/>
                <w:szCs w:val="20"/>
                <w:color w:val="auto"/>
              </w:rPr>
            </w:pPr>
            <w:r>
              <w:rPr>
                <w:rFonts w:ascii="Arial" w:cs="Arial" w:eastAsia="Arial" w:hAnsi="Arial"/>
                <w:sz w:val="16"/>
                <w:szCs w:val="16"/>
                <w:color w:val="0000FF"/>
              </w:rPr>
              <w:t>Unregistered Sales of Equity Securities and Use of Proceeds</w:t>
            </w:r>
          </w:p>
        </w:tc>
        <w:tc>
          <w:tcPr>
            <w:tcW w:w="880" w:type="dxa"/>
            <w:vAlign w:val="bottom"/>
          </w:tcPr>
          <w:p>
            <w:pPr>
              <w:jc w:val="center"/>
              <w:spacing w:after="0"/>
              <w:rPr>
                <w:sz w:val="20"/>
                <w:szCs w:val="20"/>
                <w:color w:val="auto"/>
              </w:rPr>
            </w:pPr>
            <w:r>
              <w:rPr>
                <w:rFonts w:ascii="Arial" w:cs="Arial" w:eastAsia="Arial" w:hAnsi="Arial"/>
                <w:sz w:val="16"/>
                <w:szCs w:val="16"/>
                <w:color w:val="0000FF"/>
              </w:rPr>
              <w:t>45</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20"/>
                <w:szCs w:val="20"/>
                <w:color w:val="auto"/>
              </w:rPr>
            </w:pPr>
            <w:r>
              <w:rPr>
                <w:rFonts w:ascii="Arial" w:cs="Arial" w:eastAsia="Arial" w:hAnsi="Arial"/>
                <w:sz w:val="16"/>
                <w:szCs w:val="16"/>
                <w:color w:val="0000FF"/>
              </w:rPr>
              <w:t>Item 3.</w:t>
            </w:r>
          </w:p>
        </w:tc>
        <w:tc>
          <w:tcPr>
            <w:tcW w:w="9520" w:type="dxa"/>
            <w:vAlign w:val="bottom"/>
            <w:gridSpan w:val="5"/>
          </w:tcPr>
          <w:p>
            <w:pPr>
              <w:ind w:left="220"/>
              <w:spacing w:after="0"/>
              <w:rPr>
                <w:sz w:val="20"/>
                <w:szCs w:val="20"/>
                <w:color w:val="auto"/>
              </w:rPr>
            </w:pPr>
            <w:r>
              <w:rPr>
                <w:rFonts w:ascii="Arial" w:cs="Arial" w:eastAsia="Arial" w:hAnsi="Arial"/>
                <w:sz w:val="16"/>
                <w:szCs w:val="16"/>
                <w:color w:val="0000FF"/>
              </w:rPr>
              <w:t>Defaults Upon Senior Securities</w:t>
            </w:r>
          </w:p>
        </w:tc>
        <w:tc>
          <w:tcPr>
            <w:tcW w:w="880" w:type="dxa"/>
            <w:vAlign w:val="bottom"/>
          </w:tcPr>
          <w:p>
            <w:pPr>
              <w:jc w:val="center"/>
              <w:spacing w:after="0"/>
              <w:rPr>
                <w:sz w:val="20"/>
                <w:szCs w:val="20"/>
                <w:color w:val="auto"/>
              </w:rPr>
            </w:pPr>
            <w:r>
              <w:rPr>
                <w:rFonts w:ascii="Arial" w:cs="Arial" w:eastAsia="Arial" w:hAnsi="Arial"/>
                <w:sz w:val="16"/>
                <w:szCs w:val="16"/>
                <w:color w:val="0000FF"/>
              </w:rPr>
              <w:t>46</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20"/>
                <w:szCs w:val="20"/>
                <w:color w:val="auto"/>
              </w:rPr>
            </w:pPr>
            <w:r>
              <w:rPr>
                <w:rFonts w:ascii="Arial" w:cs="Arial" w:eastAsia="Arial" w:hAnsi="Arial"/>
                <w:sz w:val="16"/>
                <w:szCs w:val="16"/>
                <w:color w:val="0000FF"/>
              </w:rPr>
              <w:t>Item 4.</w:t>
            </w:r>
          </w:p>
        </w:tc>
        <w:tc>
          <w:tcPr>
            <w:tcW w:w="9520" w:type="dxa"/>
            <w:vAlign w:val="bottom"/>
            <w:gridSpan w:val="5"/>
          </w:tcPr>
          <w:p>
            <w:pPr>
              <w:ind w:left="220"/>
              <w:spacing w:after="0"/>
              <w:rPr>
                <w:sz w:val="20"/>
                <w:szCs w:val="20"/>
                <w:color w:val="auto"/>
              </w:rPr>
            </w:pPr>
            <w:r>
              <w:rPr>
                <w:rFonts w:ascii="Arial" w:cs="Arial" w:eastAsia="Arial" w:hAnsi="Arial"/>
                <w:sz w:val="16"/>
                <w:szCs w:val="16"/>
                <w:color w:val="0000FF"/>
              </w:rPr>
              <w:t>Mine Safety Disclosures</w:t>
            </w:r>
          </w:p>
        </w:tc>
        <w:tc>
          <w:tcPr>
            <w:tcW w:w="880" w:type="dxa"/>
            <w:vAlign w:val="bottom"/>
          </w:tcPr>
          <w:p>
            <w:pPr>
              <w:jc w:val="center"/>
              <w:spacing w:after="0"/>
              <w:rPr>
                <w:sz w:val="20"/>
                <w:szCs w:val="20"/>
                <w:color w:val="auto"/>
              </w:rPr>
            </w:pPr>
            <w:r>
              <w:rPr>
                <w:rFonts w:ascii="Arial" w:cs="Arial" w:eastAsia="Arial" w:hAnsi="Arial"/>
                <w:sz w:val="16"/>
                <w:szCs w:val="16"/>
                <w:color w:val="0000FF"/>
              </w:rPr>
              <w:t>46</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20"/>
                <w:szCs w:val="20"/>
                <w:color w:val="auto"/>
              </w:rPr>
            </w:pPr>
            <w:r>
              <w:rPr>
                <w:rFonts w:ascii="Arial" w:cs="Arial" w:eastAsia="Arial" w:hAnsi="Arial"/>
                <w:sz w:val="16"/>
                <w:szCs w:val="16"/>
                <w:color w:val="0000FF"/>
              </w:rPr>
              <w:t>Item 5.</w:t>
            </w:r>
          </w:p>
        </w:tc>
        <w:tc>
          <w:tcPr>
            <w:tcW w:w="9520" w:type="dxa"/>
            <w:vAlign w:val="bottom"/>
            <w:gridSpan w:val="5"/>
          </w:tcPr>
          <w:p>
            <w:pPr>
              <w:ind w:left="220"/>
              <w:spacing w:after="0"/>
              <w:rPr>
                <w:sz w:val="20"/>
                <w:szCs w:val="20"/>
                <w:color w:val="auto"/>
              </w:rPr>
            </w:pPr>
            <w:r>
              <w:rPr>
                <w:rFonts w:ascii="Arial" w:cs="Arial" w:eastAsia="Arial" w:hAnsi="Arial"/>
                <w:sz w:val="16"/>
                <w:szCs w:val="16"/>
                <w:color w:val="0000FF"/>
              </w:rPr>
              <w:t>Other Information</w:t>
            </w:r>
          </w:p>
        </w:tc>
        <w:tc>
          <w:tcPr>
            <w:tcW w:w="880" w:type="dxa"/>
            <w:vAlign w:val="bottom"/>
          </w:tcPr>
          <w:p>
            <w:pPr>
              <w:jc w:val="center"/>
              <w:spacing w:after="0"/>
              <w:rPr>
                <w:sz w:val="20"/>
                <w:szCs w:val="20"/>
                <w:color w:val="auto"/>
              </w:rPr>
            </w:pPr>
            <w:r>
              <w:rPr>
                <w:rFonts w:ascii="Arial" w:cs="Arial" w:eastAsia="Arial" w:hAnsi="Arial"/>
                <w:sz w:val="16"/>
                <w:szCs w:val="16"/>
                <w:color w:val="0000FF"/>
              </w:rPr>
              <w:t>46</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20"/>
                <w:szCs w:val="20"/>
                <w:color w:val="auto"/>
              </w:rPr>
            </w:pPr>
            <w:r>
              <w:rPr>
                <w:rFonts w:ascii="Arial" w:cs="Arial" w:eastAsia="Arial" w:hAnsi="Arial"/>
                <w:sz w:val="16"/>
                <w:szCs w:val="16"/>
                <w:color w:val="0000FF"/>
              </w:rPr>
              <w:t>Item 6.</w:t>
            </w:r>
          </w:p>
        </w:tc>
        <w:tc>
          <w:tcPr>
            <w:tcW w:w="9520" w:type="dxa"/>
            <w:vAlign w:val="bottom"/>
            <w:gridSpan w:val="5"/>
          </w:tcPr>
          <w:p>
            <w:pPr>
              <w:ind w:left="220"/>
              <w:spacing w:after="0"/>
              <w:rPr>
                <w:sz w:val="20"/>
                <w:szCs w:val="20"/>
                <w:color w:val="auto"/>
              </w:rPr>
            </w:pPr>
            <w:r>
              <w:rPr>
                <w:rFonts w:ascii="Arial" w:cs="Arial" w:eastAsia="Arial" w:hAnsi="Arial"/>
                <w:sz w:val="16"/>
                <w:szCs w:val="16"/>
                <w:color w:val="0000FF"/>
              </w:rPr>
              <w:t>Exhibits</w:t>
            </w:r>
          </w:p>
        </w:tc>
        <w:tc>
          <w:tcPr>
            <w:tcW w:w="880" w:type="dxa"/>
            <w:vAlign w:val="bottom"/>
          </w:tcPr>
          <w:p>
            <w:pPr>
              <w:jc w:val="center"/>
              <w:spacing w:after="0"/>
              <w:rPr>
                <w:sz w:val="20"/>
                <w:szCs w:val="20"/>
                <w:color w:val="auto"/>
              </w:rPr>
            </w:pPr>
            <w:r>
              <w:rPr>
                <w:rFonts w:ascii="Arial" w:cs="Arial" w:eastAsia="Arial" w:hAnsi="Arial"/>
                <w:sz w:val="16"/>
                <w:szCs w:val="16"/>
                <w:color w:val="0000FF"/>
              </w:rPr>
              <w:t>46</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9520" w:type="dxa"/>
            <w:vAlign w:val="bottom"/>
            <w:gridSpan w:val="5"/>
          </w:tcPr>
          <w:p>
            <w:pPr>
              <w:ind w:left="220"/>
              <w:spacing w:after="0"/>
              <w:rPr>
                <w:sz w:val="20"/>
                <w:szCs w:val="20"/>
                <w:color w:val="auto"/>
              </w:rPr>
            </w:pPr>
            <w:r>
              <w:rPr>
                <w:rFonts w:ascii="Arial" w:cs="Arial" w:eastAsia="Arial" w:hAnsi="Arial"/>
                <w:sz w:val="16"/>
                <w:szCs w:val="16"/>
                <w:color w:val="0000FF"/>
              </w:rPr>
              <w:t>Signature</w:t>
            </w:r>
          </w:p>
        </w:tc>
        <w:tc>
          <w:tcPr>
            <w:tcW w:w="880" w:type="dxa"/>
            <w:vAlign w:val="bottom"/>
          </w:tcPr>
          <w:p>
            <w:pPr>
              <w:jc w:val="center"/>
              <w:spacing w:after="0"/>
              <w:rPr>
                <w:sz w:val="20"/>
                <w:szCs w:val="20"/>
                <w:color w:val="auto"/>
              </w:rPr>
            </w:pPr>
            <w:r>
              <w:rPr>
                <w:rFonts w:ascii="Arial" w:cs="Arial" w:eastAsia="Arial" w:hAnsi="Arial"/>
                <w:sz w:val="16"/>
                <w:szCs w:val="16"/>
                <w:color w:val="0000FF"/>
              </w:rPr>
              <w:t>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40"/>
        <w:spacing w:after="0"/>
        <w:rPr>
          <w:sz w:val="20"/>
          <w:szCs w:val="20"/>
          <w:color w:val="auto"/>
        </w:rPr>
      </w:pPr>
      <w:r>
        <w:rPr>
          <w:rFonts w:ascii="Arial" w:cs="Arial" w:eastAsia="Arial" w:hAnsi="Arial"/>
          <w:sz w:val="10"/>
          <w:szCs w:val="10"/>
          <w:color w:val="828282"/>
        </w:rPr>
        <w:t>Enphase Energy, Inc. | 2024 Form 10-Q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71755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60" w:top="1218"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 FINANCIAL INFORMATION</w:t>
      </w:r>
    </w:p>
    <w:p>
      <w:pPr>
        <w:spacing w:after="0" w:line="118"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1.</w:t>
        <w:tab/>
        <w:t>Financial Statements (unaudited)</w:t>
      </w:r>
    </w:p>
    <w:p>
      <w:pPr>
        <w:spacing w:after="0" w:line="170"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par value)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4"/>
                <w:szCs w:val="14"/>
                <w:b w:val="1"/>
                <w:bCs w:val="1"/>
                <w:color w:val="auto"/>
              </w:rPr>
              <w:t>As of</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8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60"/>
              <w:spacing w:after="0" w:line="141"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2"/>
                <w:szCs w:val="12"/>
                <w:color w:val="auto"/>
              </w:rPr>
            </w:pPr>
          </w:p>
        </w:tc>
        <w:tc>
          <w:tcPr>
            <w:tcW w:w="1240" w:type="dxa"/>
            <w:vAlign w:val="bottom"/>
          </w:tcPr>
          <w:p>
            <w:pPr>
              <w:jc w:val="right"/>
              <w:ind w:right="182"/>
              <w:spacing w:after="0" w:line="141"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9"/>
        </w:trPr>
        <w:tc>
          <w:tcPr>
            <w:tcW w:w="82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38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252,102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288,748</w:t>
            </w: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Marketable securities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1,394,302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1,406,286</w:t>
            </w:r>
          </w:p>
        </w:tc>
        <w:tc>
          <w:tcPr>
            <w:tcW w:w="0" w:type="dxa"/>
            <w:vAlign w:val="bottom"/>
          </w:tcPr>
          <w:p>
            <w:pPr>
              <w:spacing w:after="0"/>
              <w:rPr>
                <w:sz w:val="1"/>
                <w:szCs w:val="1"/>
                <w:color w:val="auto"/>
              </w:rPr>
            </w:pPr>
          </w:p>
        </w:tc>
      </w:tr>
      <w:tr>
        <w:trPr>
          <w:trHeight w:val="159"/>
        </w:trPr>
        <w:tc>
          <w:tcPr>
            <w:tcW w:w="8260" w:type="dxa"/>
            <w:vAlign w:val="bottom"/>
            <w:shd w:val="clear" w:color="auto" w:fill="CCEEFF"/>
          </w:tcPr>
          <w:p>
            <w:pPr>
              <w:ind w:left="340"/>
              <w:spacing w:after="0" w:line="159" w:lineRule="exact"/>
              <w:rPr>
                <w:sz w:val="20"/>
                <w:szCs w:val="20"/>
                <w:color w:val="auto"/>
              </w:rPr>
            </w:pPr>
            <w:r>
              <w:rPr>
                <w:rFonts w:ascii="Arial" w:cs="Arial" w:eastAsia="Arial" w:hAnsi="Arial"/>
                <w:sz w:val="16"/>
                <w:szCs w:val="16"/>
                <w:color w:val="auto"/>
              </w:rPr>
              <w:t>Accounts receivable, net of allowances of $3,307 and $2,502 at June 30, 2024 and December 31, 2023,</w:t>
            </w:r>
          </w:p>
        </w:tc>
        <w:tc>
          <w:tcPr>
            <w:tcW w:w="2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277,475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445,959</w:t>
            </w:r>
          </w:p>
        </w:tc>
        <w:tc>
          <w:tcPr>
            <w:tcW w:w="0" w:type="dxa"/>
            <w:vAlign w:val="bottom"/>
          </w:tcPr>
          <w:p>
            <w:pPr>
              <w:spacing w:after="0"/>
              <w:rPr>
                <w:sz w:val="1"/>
                <w:szCs w:val="1"/>
                <w:color w:val="auto"/>
              </w:rPr>
            </w:pPr>
          </w:p>
        </w:tc>
      </w:tr>
      <w:tr>
        <w:trPr>
          <w:trHeight w:val="208"/>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respectively</w:t>
            </w:r>
          </w:p>
        </w:tc>
        <w:tc>
          <w:tcPr>
            <w:tcW w:w="28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Inventory</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176,068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213,595</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141,702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88,930</w:t>
            </w:r>
          </w:p>
        </w:tc>
        <w:tc>
          <w:tcPr>
            <w:tcW w:w="0" w:type="dxa"/>
            <w:vAlign w:val="bottom"/>
          </w:tcPr>
          <w:p>
            <w:pPr>
              <w:spacing w:after="0"/>
              <w:rPr>
                <w:sz w:val="1"/>
                <w:szCs w:val="1"/>
                <w:color w:val="auto"/>
              </w:rPr>
            </w:pPr>
          </w:p>
        </w:tc>
      </w:tr>
      <w:tr>
        <w:trPr>
          <w:trHeight w:val="201"/>
        </w:trPr>
        <w:tc>
          <w:tcPr>
            <w:tcW w:w="8260" w:type="dxa"/>
            <w:vAlign w:val="bottom"/>
          </w:tcPr>
          <w:p>
            <w:pPr>
              <w:ind w:left="640"/>
              <w:spacing w:after="0"/>
              <w:rPr>
                <w:sz w:val="20"/>
                <w:szCs w:val="20"/>
                <w:color w:val="auto"/>
              </w:rPr>
            </w:pPr>
            <w:r>
              <w:rPr>
                <w:rFonts w:ascii="Arial" w:cs="Arial" w:eastAsia="Arial" w:hAnsi="Arial"/>
                <w:sz w:val="16"/>
                <w:szCs w:val="16"/>
                <w:color w:val="auto"/>
              </w:rPr>
              <w:t>Total current assets</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2,241,649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2,443,518</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152,070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168,244</w:t>
            </w:r>
          </w:p>
        </w:tc>
        <w:tc>
          <w:tcPr>
            <w:tcW w:w="0" w:type="dxa"/>
            <w:vAlign w:val="bottom"/>
          </w:tcPr>
          <w:p>
            <w:pPr>
              <w:spacing w:after="0"/>
              <w:rPr>
                <w:sz w:val="1"/>
                <w:szCs w:val="1"/>
                <w:color w:val="auto"/>
              </w:rPr>
            </w:pP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Operating lease, right of use asset, net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19,394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19,887</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68,536</w:t>
            </w:r>
          </w:p>
        </w:tc>
        <w:tc>
          <w:tcPr>
            <w:tcW w:w="0" w:type="dxa"/>
            <w:vAlign w:val="bottom"/>
          </w:tcPr>
          <w:p>
            <w:pPr>
              <w:spacing w:after="0"/>
              <w:rPr>
                <w:sz w:val="1"/>
                <w:szCs w:val="1"/>
                <w:color w:val="auto"/>
              </w:rPr>
            </w:pP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213,239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214,562</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215,895</w:t>
            </w:r>
          </w:p>
        </w:tc>
        <w:tc>
          <w:tcPr>
            <w:tcW w:w="0" w:type="dxa"/>
            <w:vAlign w:val="bottom"/>
          </w:tcPr>
          <w:p>
            <w:pPr>
              <w:spacing w:after="0"/>
              <w:rPr>
                <w:sz w:val="1"/>
                <w:szCs w:val="1"/>
                <w:color w:val="auto"/>
              </w:rPr>
            </w:pPr>
          </w:p>
        </w:tc>
      </w:tr>
      <w:tr>
        <w:trPr>
          <w:trHeight w:val="208"/>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tax assets, net</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279,307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252,370</w:t>
            </w:r>
          </w:p>
        </w:tc>
        <w:tc>
          <w:tcPr>
            <w:tcW w:w="0" w:type="dxa"/>
            <w:vAlign w:val="bottom"/>
          </w:tcPr>
          <w:p>
            <w:pPr>
              <w:spacing w:after="0"/>
              <w:rPr>
                <w:sz w:val="1"/>
                <w:szCs w:val="1"/>
                <w:color w:val="auto"/>
              </w:rPr>
            </w:pPr>
          </w:p>
        </w:tc>
      </w:tr>
      <w:tr>
        <w:trPr>
          <w:trHeight w:val="227"/>
        </w:trPr>
        <w:tc>
          <w:tcPr>
            <w:tcW w:w="82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3,166,576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3,383,012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48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79,646</w:t>
            </w:r>
          </w:p>
        </w:tc>
        <w:tc>
          <w:tcPr>
            <w:tcW w:w="100" w:type="dxa"/>
            <w:vAlign w:val="bottom"/>
          </w:tcPr>
          <w:p>
            <w:pPr>
              <w:spacing w:after="0"/>
              <w:rPr>
                <w:sz w:val="18"/>
                <w:szCs w:val="18"/>
                <w:color w:val="auto"/>
              </w:rPr>
            </w:pP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116,164</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liabilities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197,556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261,919</w:t>
            </w: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Deferred revenues, current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123,577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118,300</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Warranty obligations, current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36,066</w:t>
            </w:r>
          </w:p>
        </w:tc>
        <w:tc>
          <w:tcPr>
            <w:tcW w:w="0" w:type="dxa"/>
            <w:vAlign w:val="bottom"/>
          </w:tcPr>
          <w:p>
            <w:pPr>
              <w:spacing w:after="0"/>
              <w:rPr>
                <w:sz w:val="1"/>
                <w:szCs w:val="1"/>
                <w:color w:val="auto"/>
              </w:rPr>
            </w:pPr>
          </w:p>
        </w:tc>
      </w:tr>
      <w:tr>
        <w:trPr>
          <w:trHeight w:val="208"/>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Debt, current</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98,592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current liabilities</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529,632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532,449</w:t>
            </w:r>
          </w:p>
        </w:tc>
        <w:tc>
          <w:tcPr>
            <w:tcW w:w="0" w:type="dxa"/>
            <w:vAlign w:val="bottom"/>
          </w:tcPr>
          <w:p>
            <w:pPr>
              <w:spacing w:after="0"/>
              <w:rPr>
                <w:sz w:val="1"/>
                <w:szCs w:val="1"/>
                <w:color w:val="auto"/>
              </w:rPr>
            </w:pP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revenues, non-current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353,199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369,172</w:t>
            </w: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Warranty obligations, non-current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146,918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153,021</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liabilities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51,008</w:t>
            </w:r>
          </w:p>
        </w:tc>
        <w:tc>
          <w:tcPr>
            <w:tcW w:w="0" w:type="dxa"/>
            <w:vAlign w:val="bottom"/>
          </w:tcPr>
          <w:p>
            <w:pPr>
              <w:spacing w:after="0"/>
              <w:rPr>
                <w:sz w:val="1"/>
                <w:szCs w:val="1"/>
                <w:color w:val="auto"/>
              </w:rPr>
            </w:pPr>
          </w:p>
        </w:tc>
      </w:tr>
      <w:tr>
        <w:trPr>
          <w:trHeight w:val="208"/>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Debt, non-current</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1,199,432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1,293,738</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2,282,053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2,399,388</w:t>
            </w:r>
          </w:p>
        </w:tc>
        <w:tc>
          <w:tcPr>
            <w:tcW w:w="0" w:type="dxa"/>
            <w:vAlign w:val="bottom"/>
          </w:tcPr>
          <w:p>
            <w:pPr>
              <w:spacing w:after="0"/>
              <w:rPr>
                <w:sz w:val="1"/>
                <w:szCs w:val="1"/>
                <w:color w:val="auto"/>
              </w:rPr>
            </w:pPr>
          </w:p>
        </w:tc>
      </w:tr>
      <w:tr>
        <w:trPr>
          <w:trHeight w:val="188"/>
        </w:trPr>
        <w:tc>
          <w:tcPr>
            <w:tcW w:w="826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8260" w:type="dxa"/>
            <w:vAlign w:val="bottom"/>
          </w:tcPr>
          <w:p>
            <w:pPr>
              <w:ind w:left="340"/>
              <w:spacing w:after="0" w:line="158" w:lineRule="exact"/>
              <w:rPr>
                <w:sz w:val="20"/>
                <w:szCs w:val="20"/>
                <w:color w:val="auto"/>
              </w:rPr>
            </w:pPr>
            <w:r>
              <w:rPr>
                <w:rFonts w:ascii="Arial" w:cs="Arial" w:eastAsia="Arial" w:hAnsi="Arial"/>
                <w:sz w:val="16"/>
                <w:szCs w:val="16"/>
                <w:color w:val="auto"/>
                <w:w w:val="99"/>
              </w:rPr>
              <w:t>Common stock, $0.00001 par value, 300,000 shares authorized; and 135,396 shares and 135,722 shares issued</w:t>
            </w:r>
          </w:p>
        </w:tc>
        <w:tc>
          <w:tcPr>
            <w:tcW w:w="2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7"/>
        </w:trPr>
        <w:tc>
          <w:tcPr>
            <w:tcW w:w="8260" w:type="dxa"/>
            <w:vAlign w:val="bottom"/>
          </w:tcPr>
          <w:p>
            <w:pPr>
              <w:ind w:left="340"/>
              <w:spacing w:after="0"/>
              <w:rPr>
                <w:sz w:val="20"/>
                <w:szCs w:val="20"/>
                <w:color w:val="auto"/>
              </w:rPr>
            </w:pPr>
            <w:r>
              <w:rPr>
                <w:rFonts w:ascii="Arial" w:cs="Arial" w:eastAsia="Arial" w:hAnsi="Arial"/>
                <w:sz w:val="16"/>
                <w:szCs w:val="16"/>
                <w:color w:val="auto"/>
              </w:rPr>
              <w:t>and outstanding at June 30, 2024 and December 31, 2023, respectively</w:t>
            </w:r>
          </w:p>
        </w:tc>
        <w:tc>
          <w:tcPr>
            <w:tcW w:w="2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Additional paid-in capital</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993,368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939,338</w:t>
            </w: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Accumulated earnings (deficit)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(100,895)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46,273</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(1,988)</w:t>
            </w:r>
          </w:p>
        </w:tc>
        <w:tc>
          <w:tcPr>
            <w:tcW w:w="0" w:type="dxa"/>
            <w:vAlign w:val="bottom"/>
          </w:tcPr>
          <w:p>
            <w:pPr>
              <w:spacing w:after="0"/>
              <w:rPr>
                <w:sz w:val="1"/>
                <w:szCs w:val="1"/>
                <w:color w:val="auto"/>
              </w:rPr>
            </w:pPr>
          </w:p>
        </w:tc>
      </w:tr>
      <w:tr>
        <w:trPr>
          <w:trHeight w:val="201"/>
        </w:trPr>
        <w:tc>
          <w:tcPr>
            <w:tcW w:w="826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884,523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983,624</w:t>
            </w:r>
          </w:p>
        </w:tc>
        <w:tc>
          <w:tcPr>
            <w:tcW w:w="0" w:type="dxa"/>
            <w:vAlign w:val="bottom"/>
          </w:tcPr>
          <w:p>
            <w:pPr>
              <w:spacing w:after="0"/>
              <w:rPr>
                <w:sz w:val="1"/>
                <w:szCs w:val="1"/>
                <w:color w:val="auto"/>
              </w:rPr>
            </w:pPr>
          </w:p>
        </w:tc>
      </w:tr>
      <w:tr>
        <w:trPr>
          <w:trHeight w:val="22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3,166,576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3,383,012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Consolidated Financial Statements.</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828282"/>
        </w:rPr>
        <w:t>Enphase Energy, Inc. | 2024 Form 10-Q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66"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82"/>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w w:val="96"/>
              </w:rPr>
              <w:t>2023</w:t>
            </w:r>
          </w:p>
        </w:tc>
        <w:tc>
          <w:tcPr>
            <w:tcW w:w="0" w:type="dxa"/>
            <w:vAlign w:val="bottom"/>
          </w:tcPr>
          <w:p>
            <w:pPr>
              <w:spacing w:after="0"/>
              <w:rPr>
                <w:sz w:val="1"/>
                <w:szCs w:val="1"/>
                <w:color w:val="auto"/>
              </w:rPr>
            </w:pPr>
          </w:p>
        </w:tc>
      </w:tr>
      <w:tr>
        <w:trPr>
          <w:trHeight w:val="202"/>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303,458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711,118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566,797</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1,437,134</w:t>
            </w:r>
          </w:p>
        </w:tc>
        <w:tc>
          <w:tcPr>
            <w:tcW w:w="0" w:type="dxa"/>
            <w:vAlign w:val="bottom"/>
          </w:tcPr>
          <w:p>
            <w:pPr>
              <w:spacing w:after="0"/>
              <w:rPr>
                <w:sz w:val="1"/>
                <w:szCs w:val="1"/>
                <w:color w:val="auto"/>
              </w:rPr>
            </w:pPr>
          </w:p>
        </w:tc>
      </w:tr>
      <w:tr>
        <w:trPr>
          <w:trHeight w:val="208"/>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166,292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387,776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314,123</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787,421</w:t>
            </w:r>
          </w:p>
        </w:tc>
        <w:tc>
          <w:tcPr>
            <w:tcW w:w="0" w:type="dxa"/>
            <w:vAlign w:val="bottom"/>
          </w:tcPr>
          <w:p>
            <w:pPr>
              <w:spacing w:after="0"/>
              <w:rPr>
                <w:sz w:val="1"/>
                <w:szCs w:val="1"/>
                <w:color w:val="auto"/>
              </w:rPr>
            </w:pPr>
          </w:p>
        </w:tc>
      </w:tr>
      <w:tr>
        <w:trPr>
          <w:trHeight w:val="203"/>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137,166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323,342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252,674</w:t>
            </w:r>
          </w:p>
        </w:tc>
        <w:tc>
          <w:tcPr>
            <w:tcW w:w="1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649,713</w:t>
            </w:r>
          </w:p>
        </w:tc>
        <w:tc>
          <w:tcPr>
            <w:tcW w:w="0" w:type="dxa"/>
            <w:vAlign w:val="bottom"/>
          </w:tcPr>
          <w:p>
            <w:pPr>
              <w:spacing w:after="0"/>
              <w:rPr>
                <w:sz w:val="1"/>
                <w:szCs w:val="1"/>
                <w:color w:val="auto"/>
              </w:rPr>
            </w:pPr>
          </w:p>
        </w:tc>
      </w:tr>
      <w:tr>
        <w:trPr>
          <w:trHeight w:val="188"/>
        </w:trPr>
        <w:tc>
          <w:tcPr>
            <w:tcW w:w="51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48,871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60,043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103,082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117,172</w:t>
            </w:r>
          </w:p>
        </w:tc>
        <w:tc>
          <w:tcPr>
            <w:tcW w:w="0" w:type="dxa"/>
            <w:vAlign w:val="bottom"/>
          </w:tcPr>
          <w:p>
            <w:pPr>
              <w:spacing w:after="0"/>
              <w:rPr>
                <w:sz w:val="1"/>
                <w:szCs w:val="1"/>
                <w:color w:val="auto"/>
              </w:rPr>
            </w:pPr>
          </w:p>
        </w:tc>
      </w:tr>
      <w:tr>
        <w:trPr>
          <w:trHeight w:val="208"/>
        </w:trPr>
        <w:tc>
          <w:tcPr>
            <w:tcW w:w="5180" w:type="dxa"/>
            <w:vAlign w:val="bottom"/>
          </w:tcPr>
          <w:p>
            <w:pPr>
              <w:ind w:left="320"/>
              <w:spacing w:after="0"/>
              <w:rPr>
                <w:sz w:val="20"/>
                <w:szCs w:val="20"/>
                <w:color w:val="auto"/>
              </w:rPr>
            </w:pPr>
            <w:r>
              <w:rPr>
                <w:rFonts w:ascii="Arial" w:cs="Arial" w:eastAsia="Arial" w:hAnsi="Arial"/>
                <w:sz w:val="16"/>
                <w:szCs w:val="16"/>
                <w:color w:val="auto"/>
              </w:rPr>
              <w:t>Sales and marketing</w:t>
            </w:r>
          </w:p>
        </w:tc>
        <w:tc>
          <w:tcPr>
            <w:tcW w:w="34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51,775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58,405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105,082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123,026</w:t>
            </w: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General and administrative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33,550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34,397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68,732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70,662</w:t>
            </w:r>
          </w:p>
        </w:tc>
        <w:tc>
          <w:tcPr>
            <w:tcW w:w="0" w:type="dxa"/>
            <w:vAlign w:val="bottom"/>
          </w:tcPr>
          <w:p>
            <w:pPr>
              <w:spacing w:after="0"/>
              <w:rPr>
                <w:sz w:val="1"/>
                <w:szCs w:val="1"/>
                <w:color w:val="auto"/>
              </w:rPr>
            </w:pPr>
          </w:p>
        </w:tc>
      </w:tr>
      <w:tr>
        <w:trPr>
          <w:trHeight w:val="208"/>
        </w:trPr>
        <w:tc>
          <w:tcPr>
            <w:tcW w:w="518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Restructuring and asset impairment charges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1,171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3,078</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870</w:t>
            </w:r>
          </w:p>
        </w:tc>
        <w:tc>
          <w:tcPr>
            <w:tcW w:w="0" w:type="dxa"/>
            <w:vAlign w:val="bottom"/>
          </w:tcPr>
          <w:p>
            <w:pPr>
              <w:spacing w:after="0"/>
              <w:rPr>
                <w:sz w:val="1"/>
                <w:szCs w:val="1"/>
                <w:color w:val="auto"/>
              </w:rPr>
            </w:pPr>
          </w:p>
        </w:tc>
      </w:tr>
      <w:tr>
        <w:trPr>
          <w:trHeight w:val="203"/>
        </w:trPr>
        <w:tc>
          <w:tcPr>
            <w:tcW w:w="51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135,367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153,022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279,974</w:t>
            </w:r>
          </w:p>
        </w:tc>
        <w:tc>
          <w:tcPr>
            <w:tcW w:w="1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311,730</w:t>
            </w:r>
          </w:p>
        </w:tc>
        <w:tc>
          <w:tcPr>
            <w:tcW w:w="0" w:type="dxa"/>
            <w:vAlign w:val="bottom"/>
          </w:tcPr>
          <w:p>
            <w:pPr>
              <w:spacing w:after="0"/>
              <w:rPr>
                <w:sz w:val="1"/>
                <w:szCs w:val="1"/>
                <w:color w:val="auto"/>
              </w:rPr>
            </w:pPr>
          </w:p>
        </w:tc>
      </w:tr>
      <w:tr>
        <w:trPr>
          <w:trHeight w:val="201"/>
        </w:trPr>
        <w:tc>
          <w:tcPr>
            <w:tcW w:w="5180" w:type="dxa"/>
            <w:vAlign w:val="bottom"/>
          </w:tcPr>
          <w:p>
            <w:pPr>
              <w:ind w:left="20"/>
              <w:spacing w:after="0"/>
              <w:rPr>
                <w:sz w:val="20"/>
                <w:szCs w:val="20"/>
                <w:color w:val="auto"/>
              </w:rPr>
            </w:pPr>
            <w:r>
              <w:rPr>
                <w:rFonts w:ascii="Arial" w:cs="Arial" w:eastAsia="Arial" w:hAnsi="Arial"/>
                <w:sz w:val="16"/>
                <w:szCs w:val="16"/>
                <w:color w:val="auto"/>
              </w:rPr>
              <w:t>Income (loss) from operations</w:t>
            </w: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1,799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170,320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(27,300)</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337,983</w:t>
            </w: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80" w:type="dxa"/>
            <w:vAlign w:val="bottom"/>
          </w:tcPr>
          <w:p>
            <w:pPr>
              <w:ind w:left="320"/>
              <w:spacing w:after="0"/>
              <w:rPr>
                <w:sz w:val="20"/>
                <w:szCs w:val="20"/>
                <w:color w:val="auto"/>
              </w:rPr>
            </w:pPr>
            <w:r>
              <w:rPr>
                <w:rFonts w:ascii="Arial" w:cs="Arial" w:eastAsia="Arial" w:hAnsi="Arial"/>
                <w:sz w:val="16"/>
                <w:szCs w:val="16"/>
                <w:color w:val="auto"/>
              </w:rPr>
              <w:t>Interest income</w:t>
            </w:r>
          </w:p>
        </w:tc>
        <w:tc>
          <w:tcPr>
            <w:tcW w:w="34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19,203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16,526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38,912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29,566</w:t>
            </w: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(4,375)</w:t>
            </w:r>
          </w:p>
        </w:tc>
        <w:tc>
          <w:tcPr>
            <w:tcW w:w="0" w:type="dxa"/>
            <w:vAlign w:val="bottom"/>
          </w:tcPr>
          <w:p>
            <w:pPr>
              <w:spacing w:after="0"/>
              <w:rPr>
                <w:sz w:val="1"/>
                <w:szCs w:val="1"/>
                <w:color w:val="auto"/>
              </w:rPr>
            </w:pPr>
          </w:p>
        </w:tc>
      </w:tr>
      <w:tr>
        <w:trPr>
          <w:trHeight w:val="208"/>
        </w:trPr>
        <w:tc>
          <w:tcPr>
            <w:tcW w:w="518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Other income (expense), net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(7,479)</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203"/>
        </w:trPr>
        <w:tc>
          <w:tcPr>
            <w:tcW w:w="51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other income, net</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9,417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14,274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27,017</w:t>
            </w:r>
          </w:p>
        </w:tc>
        <w:tc>
          <w:tcPr>
            <w:tcW w:w="1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25,584</w:t>
            </w:r>
          </w:p>
        </w:tc>
        <w:tc>
          <w:tcPr>
            <w:tcW w:w="0" w:type="dxa"/>
            <w:vAlign w:val="bottom"/>
          </w:tcPr>
          <w:p>
            <w:pPr>
              <w:spacing w:after="0"/>
              <w:rPr>
                <w:sz w:val="1"/>
                <w:szCs w:val="1"/>
                <w:color w:val="auto"/>
              </w:rPr>
            </w:pPr>
          </w:p>
        </w:tc>
      </w:tr>
      <w:tr>
        <w:trPr>
          <w:trHeight w:val="201"/>
        </w:trPr>
        <w:tc>
          <w:tcPr>
            <w:tcW w:w="518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11,216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184,594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363,567</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(27,403)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(4,981)</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(59,503)</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10,833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157,191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(5,264)</w:t>
            </w:r>
          </w:p>
        </w:tc>
        <w:tc>
          <w:tcPr>
            <w:tcW w:w="120" w:type="dxa"/>
            <w:vAlign w:val="bottom"/>
          </w:tcPr>
          <w:p>
            <w:pPr>
              <w:spacing w:after="0"/>
              <w:rPr>
                <w:sz w:val="17"/>
                <w:szCs w:val="17"/>
                <w:color w:val="auto"/>
              </w:rPr>
            </w:pPr>
          </w:p>
        </w:tc>
        <w:tc>
          <w:tcPr>
            <w:tcW w:w="54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304,064</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1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Net income (loss) per share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80" w:type="dxa"/>
            <w:vAlign w:val="bottom"/>
          </w:tcPr>
          <w:p>
            <w:pPr>
              <w:ind w:left="32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18"/>
                <w:szCs w:val="18"/>
                <w:color w:val="auto"/>
              </w:rPr>
            </w:pPr>
          </w:p>
        </w:tc>
        <w:tc>
          <w:tcPr>
            <w:tcW w:w="54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Shares used in per share calculation: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1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5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135,646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136,607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135,768</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136,650</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180" w:type="dxa"/>
            <w:vAlign w:val="bottom"/>
          </w:tcPr>
          <w:p>
            <w:pPr>
              <w:ind w:left="320"/>
              <w:spacing w:after="0" w:line="181" w:lineRule="exact"/>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
              <w:spacing w:after="0" w:line="181" w:lineRule="exact"/>
              <w:rPr>
                <w:sz w:val="20"/>
                <w:szCs w:val="20"/>
                <w:color w:val="auto"/>
              </w:rPr>
            </w:pPr>
            <w:r>
              <w:rPr>
                <w:rFonts w:ascii="Arial" w:cs="Arial" w:eastAsia="Arial" w:hAnsi="Arial"/>
                <w:sz w:val="16"/>
                <w:szCs w:val="16"/>
                <w:color w:val="auto"/>
              </w:rPr>
              <w:t>136,123</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145,098</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135,768</w:t>
            </w:r>
          </w:p>
        </w:tc>
        <w:tc>
          <w:tcPr>
            <w:tcW w:w="1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color w:val="auto"/>
              </w:rPr>
              <w:t>145,608</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66" w:lineRule="exact"/>
        <w:rPr>
          <w:sz w:val="20"/>
          <w:szCs w:val="20"/>
          <w:color w:val="auto"/>
        </w:rPr>
      </w:pPr>
    </w:p>
    <w:p>
      <w:pPr>
        <w:jc w:val="right"/>
        <w:ind w:right="2120"/>
        <w:spacing w:after="0"/>
        <w:rPr>
          <w:sz w:val="20"/>
          <w:szCs w:val="20"/>
          <w:color w:val="auto"/>
        </w:rPr>
      </w:pPr>
      <w:r>
        <w:rPr>
          <w:rFonts w:ascii="Arial" w:cs="Arial" w:eastAsia="Arial" w:hAnsi="Arial"/>
          <w:sz w:val="17"/>
          <w:szCs w:val="17"/>
          <w:b w:val="1"/>
          <w:bCs w:val="1"/>
          <w:color w:val="auto"/>
        </w:rPr>
        <w:t>CONDENSED CONSOLIDATED STATEMENTS OF COMPREHENSIVE (LOSS) INCOME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tabs>
          <w:tab w:leader="none" w:pos="5220" w:val="left"/>
        </w:tabs>
        <w:rPr>
          <w:sz w:val="20"/>
          <w:szCs w:val="20"/>
          <w:color w:val="auto"/>
        </w:rPr>
      </w:pPr>
      <w:r>
        <w:rPr>
          <w:rFonts w:ascii="Arial" w:cs="Arial" w:eastAsia="Arial" w:hAnsi="Arial"/>
          <w:sz w:val="16"/>
          <w:szCs w:val="16"/>
          <w:color w:val="auto"/>
        </w:rPr>
        <w:t>Net income (loss)</w:t>
      </w:r>
      <w:r>
        <w:rPr>
          <w:sz w:val="20"/>
          <w:szCs w:val="20"/>
          <w:color w:val="auto"/>
        </w:rPr>
        <w:tab/>
      </w:r>
      <w:r>
        <w:rPr>
          <w:rFonts w:ascii="Arial" w:cs="Arial" w:eastAsia="Arial" w:hAnsi="Arial"/>
          <w:sz w:val="16"/>
          <w:szCs w:val="16"/>
          <w:color w:val="auto"/>
        </w:rPr>
        <w:t>$</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income (loss):</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Foreign currency translation adjustments</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Marketable securities</w:t>
      </w:r>
    </w:p>
    <w:p>
      <w:pPr>
        <w:spacing w:after="0" w:line="25" w:lineRule="exact"/>
        <w:rPr>
          <w:sz w:val="20"/>
          <w:szCs w:val="20"/>
          <w:color w:val="auto"/>
        </w:rPr>
      </w:pPr>
    </w:p>
    <w:p>
      <w:pPr>
        <w:ind w:left="460" w:right="140"/>
        <w:spacing w:after="0" w:line="220" w:lineRule="auto"/>
        <w:rPr>
          <w:sz w:val="20"/>
          <w:szCs w:val="20"/>
          <w:color w:val="auto"/>
        </w:rPr>
      </w:pPr>
      <w:r>
        <w:rPr>
          <w:rFonts w:ascii="Arial" w:cs="Arial" w:eastAsia="Arial" w:hAnsi="Arial"/>
          <w:sz w:val="16"/>
          <w:szCs w:val="16"/>
          <w:color w:val="auto"/>
        </w:rPr>
        <w:t>Change in net unrealized gain (loss), net of income tax benefit (provision) of $(165) and $(769) for the three and six months ended June 30, 2024, respectively, and $(193) and $(475) for the three and six months ended June 30, 2023, respectively.</w:t>
      </w:r>
    </w:p>
    <w:p>
      <w:pPr>
        <w:spacing w:after="0" w:line="5" w:lineRule="exact"/>
        <w:rPr>
          <w:sz w:val="20"/>
          <w:szCs w:val="20"/>
          <w:color w:val="auto"/>
        </w:rPr>
      </w:pPr>
    </w:p>
    <w:p>
      <w:pPr>
        <w:ind w:left="40"/>
        <w:spacing w:after="0"/>
        <w:tabs>
          <w:tab w:leader="none" w:pos="5220" w:val="left"/>
        </w:tabs>
        <w:rPr>
          <w:sz w:val="20"/>
          <w:szCs w:val="20"/>
          <w:color w:val="auto"/>
        </w:rPr>
      </w:pPr>
      <w:r>
        <w:rPr>
          <w:rFonts w:ascii="Arial" w:cs="Arial" w:eastAsia="Arial" w:hAnsi="Arial"/>
          <w:sz w:val="16"/>
          <w:szCs w:val="16"/>
          <w:color w:val="auto"/>
        </w:rPr>
        <w:t>Comprehensive income (loss)</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8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36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June 30,</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60" w:type="dxa"/>
            <w:vAlign w:val="bottom"/>
          </w:tcPr>
          <w:p>
            <w:pPr>
              <w:jc w:val="right"/>
              <w:ind w:right="565"/>
              <w:spacing w:after="0"/>
              <w:rPr>
                <w:sz w:val="20"/>
                <w:szCs w:val="20"/>
                <w:color w:val="auto"/>
              </w:rPr>
            </w:pPr>
            <w:r>
              <w:rPr>
                <w:rFonts w:ascii="Arial" w:cs="Arial" w:eastAsia="Arial" w:hAnsi="Arial"/>
                <w:sz w:val="14"/>
                <w:szCs w:val="14"/>
                <w:b w:val="1"/>
                <w:bCs w:val="1"/>
                <w:color w:val="auto"/>
                <w:w w:val="96"/>
              </w:rPr>
              <w:t>2024</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w w:val="96"/>
              </w:rPr>
              <w:t>2023</w:t>
            </w:r>
          </w:p>
        </w:tc>
        <w:tc>
          <w:tcPr>
            <w:tcW w:w="0" w:type="dxa"/>
            <w:vAlign w:val="bottom"/>
          </w:tcPr>
          <w:p>
            <w:pPr>
              <w:spacing w:after="0"/>
              <w:rPr>
                <w:sz w:val="1"/>
                <w:szCs w:val="1"/>
                <w:color w:val="auto"/>
              </w:rPr>
            </w:pPr>
          </w:p>
        </w:tc>
      </w:tr>
      <w:tr>
        <w:trPr>
          <w:trHeight w:val="200"/>
        </w:trPr>
        <w:tc>
          <w:tcPr>
            <w:tcW w:w="960" w:type="dxa"/>
            <w:vAlign w:val="bottom"/>
          </w:tcPr>
          <w:p>
            <w:pPr>
              <w:jc w:val="right"/>
              <w:ind w:right="85"/>
              <w:spacing w:after="0"/>
              <w:rPr>
                <w:sz w:val="20"/>
                <w:szCs w:val="20"/>
                <w:color w:val="auto"/>
              </w:rPr>
            </w:pPr>
            <w:r>
              <w:rPr>
                <w:rFonts w:ascii="Arial" w:cs="Arial" w:eastAsia="Arial" w:hAnsi="Arial"/>
                <w:sz w:val="16"/>
                <w:szCs w:val="16"/>
                <w:color w:val="auto"/>
              </w:rPr>
              <w:t>10,833</w:t>
            </w:r>
          </w:p>
        </w:tc>
        <w:tc>
          <w:tcPr>
            <w:tcW w:w="4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157,191</w:t>
            </w:r>
          </w:p>
        </w:tc>
        <w:tc>
          <w:tcPr>
            <w:tcW w:w="8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(5,264)</w:t>
            </w:r>
          </w:p>
        </w:tc>
        <w:tc>
          <w:tcPr>
            <w:tcW w:w="120" w:type="dxa"/>
            <w:vAlign w:val="bottom"/>
          </w:tcPr>
          <w:p>
            <w:pPr>
              <w:spacing w:after="0"/>
              <w:rPr>
                <w:sz w:val="17"/>
                <w:szCs w:val="17"/>
                <w:color w:val="auto"/>
              </w:rPr>
            </w:pPr>
          </w:p>
        </w:tc>
        <w:tc>
          <w:tcPr>
            <w:tcW w:w="540" w:type="dxa"/>
            <w:vAlign w:val="bottom"/>
          </w:tcPr>
          <w:p>
            <w:pPr>
              <w:jc w:val="right"/>
              <w:ind w:right="36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304,064</w:t>
            </w:r>
          </w:p>
        </w:tc>
        <w:tc>
          <w:tcPr>
            <w:tcW w:w="0" w:type="dxa"/>
            <w:vAlign w:val="bottom"/>
          </w:tcPr>
          <w:p>
            <w:pPr>
              <w:spacing w:after="0"/>
              <w:rPr>
                <w:sz w:val="1"/>
                <w:szCs w:val="1"/>
                <w:color w:val="auto"/>
              </w:rPr>
            </w:pPr>
          </w:p>
        </w:tc>
      </w:tr>
      <w:tr>
        <w:trPr>
          <w:trHeight w:val="418"/>
        </w:trPr>
        <w:tc>
          <w:tcPr>
            <w:tcW w:w="960" w:type="dxa"/>
            <w:vAlign w:val="bottom"/>
          </w:tcPr>
          <w:p>
            <w:pPr>
              <w:jc w:val="right"/>
              <w:ind w:right="25"/>
              <w:spacing w:after="0"/>
              <w:rPr>
                <w:sz w:val="20"/>
                <w:szCs w:val="20"/>
                <w:color w:val="auto"/>
              </w:rPr>
            </w:pPr>
            <w:r>
              <w:rPr>
                <w:rFonts w:ascii="Arial" w:cs="Arial" w:eastAsia="Arial" w:hAnsi="Arial"/>
                <w:sz w:val="16"/>
                <w:szCs w:val="16"/>
                <w:color w:val="auto"/>
              </w:rPr>
              <w:t>(684)</w:t>
            </w:r>
          </w:p>
        </w:tc>
        <w:tc>
          <w:tcPr>
            <w:tcW w:w="400" w:type="dxa"/>
            <w:vAlign w:val="bottom"/>
          </w:tcPr>
          <w:p>
            <w:pPr>
              <w:spacing w:after="0"/>
              <w:rPr>
                <w:sz w:val="24"/>
                <w:szCs w:val="24"/>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431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(3,658)</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1,508</w:t>
            </w:r>
          </w:p>
        </w:tc>
        <w:tc>
          <w:tcPr>
            <w:tcW w:w="0" w:type="dxa"/>
            <w:vAlign w:val="bottom"/>
          </w:tcPr>
          <w:p>
            <w:pPr>
              <w:spacing w:after="0"/>
              <w:rPr>
                <w:sz w:val="1"/>
                <w:szCs w:val="1"/>
                <w:color w:val="auto"/>
              </w:rPr>
            </w:pPr>
          </w:p>
        </w:tc>
      </w:tr>
      <w:tr>
        <w:trPr>
          <w:trHeight w:val="211"/>
        </w:trPr>
        <w:tc>
          <w:tcPr>
            <w:tcW w:w="9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2"/>
        </w:trPr>
        <w:tc>
          <w:tcPr>
            <w:tcW w:w="960" w:type="dxa"/>
            <w:vAlign w:val="bottom"/>
          </w:tcPr>
          <w:p>
            <w:pPr>
              <w:jc w:val="right"/>
              <w:ind w:right="25"/>
              <w:spacing w:after="0"/>
              <w:rPr>
                <w:sz w:val="20"/>
                <w:szCs w:val="20"/>
                <w:color w:val="auto"/>
              </w:rPr>
            </w:pPr>
            <w:r>
              <w:rPr>
                <w:rFonts w:ascii="Arial" w:cs="Arial" w:eastAsia="Arial" w:hAnsi="Arial"/>
                <w:sz w:val="16"/>
                <w:szCs w:val="16"/>
                <w:color w:val="auto"/>
              </w:rPr>
              <w:t>(494)</w:t>
            </w: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(2,305)</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2,522</w:t>
            </w:r>
          </w:p>
        </w:tc>
        <w:tc>
          <w:tcPr>
            <w:tcW w:w="0" w:type="dxa"/>
            <w:vAlign w:val="bottom"/>
          </w:tcPr>
          <w:p>
            <w:pPr>
              <w:spacing w:after="0"/>
              <w:rPr>
                <w:sz w:val="1"/>
                <w:szCs w:val="1"/>
                <w:color w:val="auto"/>
              </w:rPr>
            </w:pPr>
          </w:p>
        </w:tc>
      </w:tr>
      <w:tr>
        <w:trPr>
          <w:trHeight w:val="238"/>
        </w:trPr>
        <w:tc>
          <w:tcPr>
            <w:tcW w:w="960" w:type="dxa"/>
            <w:vAlign w:val="bottom"/>
            <w:vMerge w:val="restart"/>
          </w:tcPr>
          <w:p>
            <w:pPr>
              <w:jc w:val="right"/>
              <w:ind w:right="85"/>
              <w:spacing w:after="0"/>
              <w:rPr>
                <w:sz w:val="20"/>
                <w:szCs w:val="20"/>
                <w:color w:val="auto"/>
              </w:rPr>
            </w:pPr>
            <w:r>
              <w:rPr>
                <w:rFonts w:ascii="Arial" w:cs="Arial" w:eastAsia="Arial" w:hAnsi="Arial"/>
                <w:sz w:val="16"/>
                <w:szCs w:val="16"/>
                <w:color w:val="auto"/>
              </w:rPr>
              <w:t>9,655</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960" w:type="dxa"/>
            <w:vAlign w:val="bottom"/>
            <w:vMerge w:val="continue"/>
          </w:tcPr>
          <w:p>
            <w:pPr>
              <w:spacing w:after="0"/>
              <w:rPr>
                <w:sz w:val="17"/>
                <w:szCs w:val="17"/>
                <w:color w:val="auto"/>
              </w:rPr>
            </w:pPr>
          </w:p>
        </w:tc>
        <w:tc>
          <w:tcPr>
            <w:tcW w:w="4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157,073</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(11,227)</w:t>
            </w:r>
          </w:p>
        </w:tc>
        <w:tc>
          <w:tcPr>
            <w:tcW w:w="120" w:type="dxa"/>
            <w:vAlign w:val="bottom"/>
          </w:tcPr>
          <w:p>
            <w:pPr>
              <w:spacing w:after="0"/>
              <w:rPr>
                <w:sz w:val="17"/>
                <w:szCs w:val="17"/>
                <w:color w:val="auto"/>
              </w:rPr>
            </w:pPr>
          </w:p>
        </w:tc>
        <w:tc>
          <w:tcPr>
            <w:tcW w:w="54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308,094</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-870585</wp:posOffset>
            </wp:positionV>
            <wp:extent cx="7120255" cy="132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0255" cy="13271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-32385</wp:posOffset>
            </wp:positionV>
            <wp:extent cx="18669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66900" cy="825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-7620</wp:posOffset>
            </wp:positionV>
            <wp:extent cx="18669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6690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-605155</wp:posOffset>
            </wp:positionV>
            <wp:extent cx="7120255" cy="4400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0255" cy="4400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-1144270</wp:posOffset>
            </wp:positionV>
            <wp:extent cx="7120255" cy="1409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0255" cy="140970"/>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-1277620</wp:posOffset>
            </wp:positionV>
            <wp:extent cx="18669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669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440"/>
            <w:col w:w="5460"/>
          </w:cols>
          <w:pgMar w:left="320" w:top="279" w:right="339" w:bottom="1440" w:gutter="0" w:footer="0" w:header="0"/>
          <w:type w:val="continuous"/>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828282"/>
        </w:rPr>
        <w:t>Enphase Energy, Inc. | 2024 Form 10-Q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66" w:lineRule="exact"/>
        <w:rPr>
          <w:sz w:val="20"/>
          <w:szCs w:val="20"/>
          <w:color w:val="auto"/>
        </w:rPr>
      </w:pPr>
    </w:p>
    <w:p>
      <w:pPr>
        <w:ind w:left="2480"/>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5" w:lineRule="exact"/>
        <w:rPr>
          <w:sz w:val="20"/>
          <w:szCs w:val="20"/>
          <w:color w:val="auto"/>
        </w:rPr>
      </w:pPr>
    </w:p>
    <w:tbl>
      <w:tblPr>
        <w:tblLayout w:type="fixed"/>
        <w:tblInd w:w="5200" w:type="dxa"/>
        <w:tblCellMar>
          <w:top w:w="0" w:type="dxa"/>
          <w:left w:w="0" w:type="dxa"/>
          <w:bottom w:w="0" w:type="dxa"/>
          <w:right w:w="0" w:type="dxa"/>
        </w:tblCellMar>
      </w:tblPr>
      <w:tr>
        <w:trPr>
          <w:trHeight w:val="161"/>
        </w:trPr>
        <w:tc>
          <w:tcPr>
            <w:tcW w:w="3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9"/>
              </w:rPr>
              <w:t>Three Months Ended</w:t>
            </w:r>
          </w:p>
        </w:tc>
        <w:tc>
          <w:tcPr>
            <w:tcW w:w="2100" w:type="dxa"/>
            <w:vAlign w:val="bottom"/>
          </w:tcPr>
          <w:p>
            <w:pPr>
              <w:jc w:val="center"/>
              <w:ind w:left="790"/>
              <w:spacing w:after="0"/>
              <w:rPr>
                <w:sz w:val="20"/>
                <w:szCs w:val="20"/>
                <w:color w:val="auto"/>
              </w:rPr>
            </w:pPr>
            <w:r>
              <w:rPr>
                <w:rFonts w:ascii="Arial" w:cs="Arial" w:eastAsia="Arial" w:hAnsi="Arial"/>
                <w:sz w:val="14"/>
                <w:szCs w:val="14"/>
                <w:b w:val="1"/>
                <w:bCs w:val="1"/>
                <w:color w:val="auto"/>
                <w:w w:val="98"/>
              </w:rPr>
              <w:t>Six Months Ended</w:t>
            </w:r>
          </w:p>
        </w:tc>
        <w:tc>
          <w:tcPr>
            <w:tcW w:w="880" w:type="dxa"/>
            <w:vAlign w:val="bottom"/>
          </w:tcPr>
          <w:p>
            <w:pPr>
              <w:spacing w:after="0"/>
              <w:rPr>
                <w:sz w:val="14"/>
                <w:szCs w:val="14"/>
                <w:color w:val="auto"/>
              </w:rPr>
            </w:pPr>
          </w:p>
        </w:tc>
      </w:tr>
      <w:tr>
        <w:trPr>
          <w:trHeight w:val="183"/>
        </w:trPr>
        <w:tc>
          <w:tcPr>
            <w:tcW w:w="1040" w:type="dxa"/>
            <w:vAlign w:val="bottom"/>
          </w:tcPr>
          <w:p>
            <w:pPr>
              <w:spacing w:after="0"/>
              <w:rPr>
                <w:sz w:val="15"/>
                <w:szCs w:val="15"/>
                <w:color w:val="auto"/>
              </w:rPr>
            </w:pPr>
          </w:p>
        </w:tc>
        <w:tc>
          <w:tcPr>
            <w:tcW w:w="202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6"/>
              </w:rPr>
              <w:t>June 30,</w:t>
            </w:r>
          </w:p>
        </w:tc>
        <w:tc>
          <w:tcPr>
            <w:tcW w:w="2100" w:type="dxa"/>
            <w:vAlign w:val="bottom"/>
          </w:tcPr>
          <w:p>
            <w:pPr>
              <w:jc w:val="center"/>
              <w:ind w:left="830"/>
              <w:spacing w:after="0"/>
              <w:rPr>
                <w:sz w:val="20"/>
                <w:szCs w:val="20"/>
                <w:color w:val="auto"/>
              </w:rPr>
            </w:pPr>
            <w:r>
              <w:rPr>
                <w:rFonts w:ascii="Arial" w:cs="Arial" w:eastAsia="Arial" w:hAnsi="Arial"/>
                <w:sz w:val="14"/>
                <w:szCs w:val="14"/>
                <w:b w:val="1"/>
                <w:bCs w:val="1"/>
                <w:color w:val="auto"/>
                <w:w w:val="99"/>
              </w:rPr>
              <w:t>June 30,</w:t>
            </w:r>
          </w:p>
        </w:tc>
        <w:tc>
          <w:tcPr>
            <w:tcW w:w="880" w:type="dxa"/>
            <w:vAlign w:val="bottom"/>
          </w:tcPr>
          <w:p>
            <w:pPr>
              <w:spacing w:after="0"/>
              <w:rPr>
                <w:sz w:val="15"/>
                <w:szCs w:val="15"/>
                <w:color w:val="auto"/>
              </w:rPr>
            </w:pPr>
          </w:p>
        </w:tc>
      </w:tr>
      <w:tr>
        <w:trPr>
          <w:trHeight w:val="189"/>
        </w:trPr>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2024</w:t>
            </w:r>
          </w:p>
        </w:tc>
        <w:tc>
          <w:tcPr>
            <w:tcW w:w="1940" w:type="dxa"/>
            <w:vAlign w:val="bottom"/>
            <w:tcBorders>
              <w:top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2100" w:type="dxa"/>
            <w:vAlign w:val="bottom"/>
            <w:tcBorders>
              <w:top w:val="single" w:sz="8" w:color="auto"/>
            </w:tcBorders>
          </w:tcPr>
          <w:p>
            <w:pPr>
              <w:jc w:val="right"/>
              <w:ind w:right="1150"/>
              <w:spacing w:after="0"/>
              <w:rPr>
                <w:sz w:val="20"/>
                <w:szCs w:val="20"/>
                <w:color w:val="auto"/>
              </w:rPr>
            </w:pPr>
            <w:r>
              <w:rPr>
                <w:rFonts w:ascii="Arial" w:cs="Arial" w:eastAsia="Arial" w:hAnsi="Arial"/>
                <w:sz w:val="14"/>
                <w:szCs w:val="14"/>
                <w:b w:val="1"/>
                <w:bCs w:val="1"/>
                <w:color w:val="auto"/>
              </w:rPr>
              <w:t>2024</w:t>
            </w:r>
          </w:p>
        </w:tc>
        <w:tc>
          <w:tcPr>
            <w:tcW w:w="880" w:type="dxa"/>
            <w:vAlign w:val="bottom"/>
            <w:tcBorders>
              <w:top w:val="single" w:sz="8" w:color="auto"/>
            </w:tcBorders>
          </w:tcPr>
          <w:p>
            <w:pPr>
              <w:jc w:val="right"/>
              <w:ind w:right="490"/>
              <w:spacing w:after="0"/>
              <w:rPr>
                <w:sz w:val="20"/>
                <w:szCs w:val="20"/>
                <w:color w:val="auto"/>
              </w:rPr>
            </w:pPr>
            <w:r>
              <w:rPr>
                <w:rFonts w:ascii="Arial" w:cs="Arial" w:eastAsia="Arial" w:hAnsi="Arial"/>
                <w:sz w:val="14"/>
                <w:szCs w:val="14"/>
                <w:b w:val="1"/>
                <w:bCs w:val="1"/>
                <w:color w:val="auto"/>
                <w:w w:val="96"/>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7136765" cy="1492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765" cy="14922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i w:val="1"/>
          <w:iCs w:val="1"/>
          <w:color w:val="auto"/>
        </w:rPr>
        <w:t>Common stock and paid-in capital</w:t>
      </w:r>
    </w:p>
    <w:p>
      <w:pPr>
        <w:sectPr>
          <w:pgSz w:w="11900" w:h="16838" w:orient="portrait"/>
          <w:cols w:equalWidth="0" w:num="1">
            <w:col w:w="11240"/>
          </w:cols>
          <w:pgMar w:left="320" w:top="279" w:right="339" w:bottom="1440" w:gutter="0" w:footer="0" w:header="0"/>
        </w:sectPr>
      </w:pPr>
    </w:p>
    <w:p>
      <w:pPr>
        <w:spacing w:after="0" w:line="51" w:lineRule="exact"/>
        <w:rPr>
          <w:sz w:val="20"/>
          <w:szCs w:val="20"/>
          <w:color w:val="auto"/>
        </w:rPr>
      </w:pPr>
    </w:p>
    <w:p>
      <w:pPr>
        <w:ind w:left="80"/>
        <w:spacing w:after="0"/>
        <w:tabs>
          <w:tab w:leader="none" w:pos="5200" w:val="left"/>
        </w:tabs>
        <w:rPr>
          <w:sz w:val="20"/>
          <w:szCs w:val="20"/>
          <w:color w:val="auto"/>
        </w:rPr>
      </w:pPr>
      <w:r>
        <w:rPr>
          <w:rFonts w:ascii="Arial" w:cs="Arial" w:eastAsia="Arial" w:hAnsi="Arial"/>
          <w:sz w:val="16"/>
          <w:szCs w:val="16"/>
          <w:color w:val="auto"/>
        </w:rPr>
        <w:t>Balance, beginning of period</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7136765" cy="1492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765" cy="149225"/>
                    </a:xfrm>
                    <a:prstGeom prst="rect">
                      <a:avLst/>
                    </a:prstGeom>
                    <a:noFill/>
                  </pic:spPr>
                </pic:pic>
              </a:graphicData>
            </a:graphic>
          </wp:anchor>
        </w:drawing>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Issuance of common stock from exercise of equity awards</w:t>
      </w:r>
    </w:p>
    <w:p>
      <w:pPr>
        <w:spacing w:after="0" w:line="51" w:lineRule="exact"/>
        <w:rPr>
          <w:sz w:val="20"/>
          <w:szCs w:val="20"/>
          <w:color w:val="auto"/>
        </w:rPr>
      </w:pPr>
    </w:p>
    <w:p>
      <w:pPr>
        <w:ind w:left="260" w:right="1020"/>
        <w:spacing w:after="0" w:line="267" w:lineRule="auto"/>
        <w:rPr>
          <w:sz w:val="20"/>
          <w:szCs w:val="20"/>
          <w:color w:val="auto"/>
        </w:rPr>
      </w:pPr>
      <w:r>
        <w:rPr>
          <w:rFonts w:ascii="Arial" w:cs="Arial" w:eastAsia="Arial" w:hAnsi="Arial"/>
          <w:sz w:val="16"/>
          <w:szCs w:val="16"/>
          <w:color w:val="auto"/>
        </w:rPr>
        <w:t>Issuance of common stock related to 365 Pronto, Inc. post combination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36765" cy="273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765" cy="273685"/>
                    </a:xfrm>
                    <a:prstGeom prst="rect">
                      <a:avLst/>
                    </a:prstGeom>
                    <a:noFill/>
                  </pic:spPr>
                </pic:pic>
              </a:graphicData>
            </a:graphic>
          </wp:anchor>
        </w:drawing>
      </w:r>
    </w:p>
    <w:p>
      <w:pPr>
        <w:spacing w:after="0" w:line="2" w:lineRule="exact"/>
        <w:rPr>
          <w:sz w:val="20"/>
          <w:szCs w:val="20"/>
          <w:color w:val="auto"/>
        </w:rPr>
      </w:pPr>
    </w:p>
    <w:p>
      <w:pPr>
        <w:ind w:left="260" w:right="220"/>
        <w:spacing w:after="0" w:line="267" w:lineRule="auto"/>
        <w:rPr>
          <w:sz w:val="20"/>
          <w:szCs w:val="20"/>
          <w:color w:val="auto"/>
        </w:rPr>
      </w:pPr>
      <w:r>
        <w:rPr>
          <w:rFonts w:ascii="Arial" w:cs="Arial" w:eastAsia="Arial" w:hAnsi="Arial"/>
          <w:sz w:val="16"/>
          <w:szCs w:val="16"/>
          <w:color w:val="auto"/>
        </w:rPr>
        <w:t>Payment of withholding taxes related to net share settlement of equity awards</w:t>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7136765" cy="149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765" cy="149225"/>
                    </a:xfrm>
                    <a:prstGeom prst="rect">
                      <a:avLst/>
                    </a:prstGeom>
                    <a:noFill/>
                  </pic:spPr>
                </pic:pic>
              </a:graphicData>
            </a:graphic>
          </wp:anchor>
        </w:drawing>
      </w:r>
    </w:p>
    <w:p>
      <w:pPr>
        <w:spacing w:after="0" w:line="31" w:lineRule="exact"/>
        <w:rPr>
          <w:sz w:val="20"/>
          <w:szCs w:val="20"/>
          <w:color w:val="auto"/>
        </w:rPr>
      </w:pPr>
    </w:p>
    <w:p>
      <w:pPr>
        <w:ind w:left="80"/>
        <w:spacing w:after="0"/>
        <w:tabs>
          <w:tab w:leader="none" w:pos="5200" w:val="left"/>
        </w:tabs>
        <w:rPr>
          <w:sz w:val="20"/>
          <w:szCs w:val="20"/>
          <w:color w:val="auto"/>
        </w:rPr>
      </w:pPr>
      <w:r>
        <w:rPr>
          <w:rFonts w:ascii="Arial" w:cs="Arial" w:eastAsia="Arial" w:hAnsi="Arial"/>
          <w:sz w:val="16"/>
          <w:szCs w:val="16"/>
          <w:color w:val="auto"/>
        </w:rPr>
        <w:t>Balance, end of period</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136765" cy="1492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765" cy="149225"/>
                    </a:xfrm>
                    <a:prstGeom prst="rect">
                      <a:avLst/>
                    </a:prstGeom>
                    <a:noFill/>
                  </pic:spPr>
                </pic:pic>
              </a:graphicData>
            </a:graphic>
          </wp:anchor>
        </w:drawing>
      </w:r>
    </w:p>
    <w:p>
      <w:pPr>
        <w:spacing w:after="0" w:line="280"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Treasury stock, at cost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740" w:type="dxa"/>
            <w:vAlign w:val="bottom"/>
          </w:tcPr>
          <w:p>
            <w:pPr>
              <w:jc w:val="right"/>
              <w:ind w:right="82"/>
              <w:spacing w:after="0"/>
              <w:rPr>
                <w:sz w:val="20"/>
                <w:szCs w:val="20"/>
                <w:color w:val="auto"/>
              </w:rPr>
            </w:pPr>
            <w:r>
              <w:rPr>
                <w:rFonts w:ascii="Arial" w:cs="Arial" w:eastAsia="Arial" w:hAnsi="Arial"/>
                <w:sz w:val="16"/>
                <w:szCs w:val="16"/>
                <w:color w:val="auto"/>
                <w:w w:val="96"/>
              </w:rPr>
              <w:t>941,316</w:t>
            </w:r>
          </w:p>
        </w:tc>
        <w:tc>
          <w:tcPr>
            <w:tcW w:w="46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812,619</w:t>
            </w:r>
          </w:p>
        </w:tc>
        <w:tc>
          <w:tcPr>
            <w:tcW w:w="80" w:type="dxa"/>
            <w:vAlign w:val="bottom"/>
          </w:tcPr>
          <w:p>
            <w:pPr>
              <w:spacing w:after="0"/>
              <w:rPr>
                <w:sz w:val="17"/>
                <w:szCs w:val="17"/>
                <w:color w:val="auto"/>
              </w:rPr>
            </w:pPr>
          </w:p>
        </w:tc>
        <w:tc>
          <w:tcPr>
            <w:tcW w:w="460" w:type="dxa"/>
            <w:vAlign w:val="bottom"/>
          </w:tcPr>
          <w:p>
            <w:pPr>
              <w:jc w:val="right"/>
              <w:ind w:right="282"/>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939,339</w:t>
            </w:r>
          </w:p>
        </w:tc>
        <w:tc>
          <w:tcPr>
            <w:tcW w:w="100" w:type="dxa"/>
            <w:vAlign w:val="bottom"/>
          </w:tcPr>
          <w:p>
            <w:pPr>
              <w:spacing w:after="0"/>
              <w:rPr>
                <w:sz w:val="17"/>
                <w:szCs w:val="17"/>
                <w:color w:val="auto"/>
              </w:rPr>
            </w:pPr>
          </w:p>
        </w:tc>
        <w:tc>
          <w:tcPr>
            <w:tcW w:w="46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819,120</w:t>
            </w:r>
          </w:p>
        </w:tc>
      </w:tr>
      <w:tr>
        <w:trPr>
          <w:trHeight w:val="235"/>
        </w:trPr>
        <w:tc>
          <w:tcPr>
            <w:tcW w:w="740" w:type="dxa"/>
            <w:vAlign w:val="bottom"/>
          </w:tcPr>
          <w:p>
            <w:pPr>
              <w:jc w:val="right"/>
              <w:ind w:right="82"/>
              <w:spacing w:after="0"/>
              <w:rPr>
                <w:sz w:val="20"/>
                <w:szCs w:val="20"/>
                <w:color w:val="auto"/>
              </w:rPr>
            </w:pPr>
            <w:r>
              <w:rPr>
                <w:rFonts w:ascii="Arial" w:cs="Arial" w:eastAsia="Arial" w:hAnsi="Arial"/>
                <w:sz w:val="16"/>
                <w:szCs w:val="16"/>
                <w:color w:val="auto"/>
              </w:rPr>
              <w:t>6,769</w:t>
            </w:r>
          </w:p>
        </w:tc>
        <w:tc>
          <w:tcPr>
            <w:tcW w:w="460" w:type="dxa"/>
            <w:vAlign w:val="bottom"/>
          </w:tcPr>
          <w:p>
            <w:pPr>
              <w:spacing w:after="0"/>
              <w:rPr>
                <w:sz w:val="20"/>
                <w:szCs w:val="20"/>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556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7,955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596</w:t>
            </w:r>
          </w:p>
        </w:tc>
      </w:tr>
      <w:tr>
        <w:trPr>
          <w:trHeight w:val="431"/>
        </w:trPr>
        <w:tc>
          <w:tcPr>
            <w:tcW w:w="7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4,000</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10,307</w:t>
            </w:r>
          </w:p>
        </w:tc>
      </w:tr>
      <w:tr>
        <w:trPr>
          <w:trHeight w:val="431"/>
        </w:trPr>
        <w:tc>
          <w:tcPr>
            <w:tcW w:w="740" w:type="dxa"/>
            <w:vAlign w:val="bottom"/>
          </w:tcPr>
          <w:p>
            <w:pPr>
              <w:jc w:val="right"/>
              <w:ind w:right="42"/>
              <w:spacing w:after="0"/>
              <w:rPr>
                <w:sz w:val="20"/>
                <w:szCs w:val="20"/>
                <w:color w:val="auto"/>
              </w:rPr>
            </w:pPr>
            <w:r>
              <w:rPr>
                <w:rFonts w:ascii="Arial" w:cs="Arial" w:eastAsia="Arial" w:hAnsi="Arial"/>
                <w:sz w:val="16"/>
                <w:szCs w:val="16"/>
                <w:color w:val="auto"/>
              </w:rPr>
              <w:t>(7,473)</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(12,790)</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(67,515)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(84,635)</w:t>
            </w:r>
          </w:p>
        </w:tc>
      </w:tr>
      <w:tr>
        <w:trPr>
          <w:trHeight w:val="236"/>
        </w:trPr>
        <w:tc>
          <w:tcPr>
            <w:tcW w:w="740" w:type="dxa"/>
            <w:vAlign w:val="bottom"/>
          </w:tcPr>
          <w:p>
            <w:pPr>
              <w:jc w:val="right"/>
              <w:ind w:right="82"/>
              <w:spacing w:after="0"/>
              <w:rPr>
                <w:sz w:val="20"/>
                <w:szCs w:val="20"/>
                <w:color w:val="auto"/>
              </w:rPr>
            </w:pPr>
            <w:r>
              <w:rPr>
                <w:rFonts w:ascii="Arial" w:cs="Arial" w:eastAsia="Arial" w:hAnsi="Arial"/>
                <w:sz w:val="16"/>
                <w:szCs w:val="16"/>
                <w:color w:val="auto"/>
              </w:rPr>
              <w:t>52,757</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53,655</w:t>
            </w: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113,590</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112,652</w:t>
            </w:r>
          </w:p>
        </w:tc>
      </w:tr>
      <w:tr>
        <w:trPr>
          <w:trHeight w:val="215"/>
        </w:trPr>
        <w:tc>
          <w:tcPr>
            <w:tcW w:w="740" w:type="dxa"/>
            <w:vAlign w:val="bottom"/>
          </w:tcPr>
          <w:p>
            <w:pPr>
              <w:jc w:val="right"/>
              <w:ind w:right="82"/>
              <w:spacing w:after="0"/>
              <w:rPr>
                <w:sz w:val="20"/>
                <w:szCs w:val="20"/>
                <w:color w:val="auto"/>
              </w:rPr>
            </w:pPr>
            <w:r>
              <w:rPr>
                <w:rFonts w:ascii="Arial" w:cs="Arial" w:eastAsia="Arial" w:hAnsi="Arial"/>
                <w:sz w:val="16"/>
                <w:szCs w:val="16"/>
                <w:color w:val="auto"/>
                <w:w w:val="96"/>
              </w:rPr>
              <w:t>993,369</w:t>
            </w:r>
          </w:p>
        </w:tc>
        <w:tc>
          <w:tcPr>
            <w:tcW w:w="4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858,040</w:t>
            </w:r>
          </w:p>
        </w:tc>
        <w:tc>
          <w:tcPr>
            <w:tcW w:w="80" w:type="dxa"/>
            <w:vAlign w:val="bottom"/>
          </w:tcPr>
          <w:p>
            <w:pPr>
              <w:spacing w:after="0"/>
              <w:rPr>
                <w:sz w:val="18"/>
                <w:szCs w:val="18"/>
                <w:color w:val="auto"/>
              </w:rPr>
            </w:pPr>
          </w:p>
        </w:tc>
        <w:tc>
          <w:tcPr>
            <w:tcW w:w="46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993,369</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858,040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-7620</wp:posOffset>
            </wp:positionV>
            <wp:extent cx="9131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13130" cy="8255"/>
                    </a:xfrm>
                    <a:prstGeom prst="rect">
                      <a:avLst/>
                    </a:prstGeom>
                    <a:noFill/>
                  </pic:spPr>
                </pic:pic>
              </a:graphicData>
            </a:graphic>
          </wp:anchor>
        </w:drawing>
      </w:r>
    </w:p>
    <w:p>
      <w:pPr>
        <w:spacing w:after="0" w:line="484" w:lineRule="exact"/>
        <w:rPr>
          <w:sz w:val="20"/>
          <w:szCs w:val="20"/>
          <w:color w:val="auto"/>
        </w:rPr>
      </w:pPr>
    </w:p>
    <w:p>
      <w:pPr>
        <w:sectPr>
          <w:pgSz w:w="11900" w:h="16838" w:orient="portrait"/>
          <w:cols w:equalWidth="0" w:num="2">
            <w:col w:w="5320" w:space="680"/>
            <w:col w:w="5240"/>
          </w:cols>
          <w:pgMar w:left="320" w:top="279"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5200" w:type="dxa"/>
            <w:vAlign w:val="bottom"/>
          </w:tcPr>
          <w:p>
            <w:pPr>
              <w:ind w:left="80"/>
              <w:spacing w:after="0"/>
              <w:rPr>
                <w:sz w:val="20"/>
                <w:szCs w:val="20"/>
                <w:color w:val="auto"/>
              </w:rPr>
            </w:pPr>
            <w:r>
              <w:rPr>
                <w:rFonts w:ascii="Arial" w:cs="Arial" w:eastAsia="Arial" w:hAnsi="Arial"/>
                <w:sz w:val="16"/>
                <w:szCs w:val="16"/>
                <w:color w:val="auto"/>
              </w:rPr>
              <w:t>Balance, beginning of period</w:t>
            </w:r>
          </w:p>
        </w:tc>
        <w:tc>
          <w:tcPr>
            <w:tcW w:w="42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5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treasury stock, at cost</w:t>
            </w:r>
          </w:p>
        </w:tc>
        <w:tc>
          <w:tcPr>
            <w:tcW w:w="4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(68,140)</w:t>
            </w:r>
          </w:p>
        </w:tc>
        <w:tc>
          <w:tcPr>
            <w:tcW w:w="8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(68,140)</w:t>
            </w:r>
          </w:p>
        </w:tc>
      </w:tr>
      <w:tr>
        <w:trPr>
          <w:trHeight w:val="201"/>
        </w:trPr>
        <w:tc>
          <w:tcPr>
            <w:tcW w:w="520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42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(68,140)</w:t>
            </w:r>
          </w:p>
        </w:tc>
        <w:tc>
          <w:tcPr>
            <w:tcW w:w="80" w:type="dxa"/>
            <w:vAlign w:val="bottom"/>
          </w:tcPr>
          <w:p>
            <w:pPr>
              <w:spacing w:after="0"/>
              <w:rPr>
                <w:sz w:val="17"/>
                <w:szCs w:val="17"/>
                <w:color w:val="auto"/>
              </w:rPr>
            </w:pP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(68,140)</w:t>
            </w:r>
          </w:p>
        </w:tc>
      </w:tr>
      <w:tr>
        <w:trPr>
          <w:trHeight w:val="229"/>
        </w:trPr>
        <w:tc>
          <w:tcPr>
            <w:tcW w:w="52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r>
      <w:tr>
        <w:trPr>
          <w:trHeight w:val="232"/>
        </w:trPr>
        <w:tc>
          <w:tcPr>
            <w:tcW w:w="52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Accumulated earnings (deficit)</w:t>
            </w: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9"/>
        </w:trPr>
        <w:tc>
          <w:tcPr>
            <w:tcW w:w="5200" w:type="dxa"/>
            <w:vAlign w:val="bottom"/>
            <w:shd w:val="clear" w:color="auto" w:fill="CCEEFF"/>
          </w:tcPr>
          <w:p>
            <w:pPr>
              <w:ind w:left="80"/>
              <w:spacing w:after="0"/>
              <w:rPr>
                <w:sz w:val="20"/>
                <w:szCs w:val="20"/>
                <w:color w:val="auto"/>
              </w:rPr>
            </w:pPr>
            <w:r>
              <w:rPr>
                <w:rFonts w:ascii="Arial" w:cs="Arial" w:eastAsia="Arial" w:hAnsi="Arial"/>
                <w:sz w:val="16"/>
                <w:szCs w:val="16"/>
                <w:color w:val="auto"/>
              </w:rPr>
              <w:t>Balance, beginning of period</w:t>
            </w:r>
          </w:p>
        </w:tc>
        <w:tc>
          <w:tcPr>
            <w:tcW w:w="42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164,208</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46,273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17,335</w:t>
            </w:r>
          </w:p>
        </w:tc>
      </w:tr>
      <w:tr>
        <w:trPr>
          <w:trHeight w:val="234"/>
        </w:trPr>
        <w:tc>
          <w:tcPr>
            <w:tcW w:w="5200" w:type="dxa"/>
            <w:vAlign w:val="bottom"/>
          </w:tcPr>
          <w:p>
            <w:pPr>
              <w:ind w:left="260"/>
              <w:spacing w:after="0"/>
              <w:rPr>
                <w:sz w:val="20"/>
                <w:szCs w:val="20"/>
                <w:color w:val="auto"/>
              </w:rPr>
            </w:pPr>
            <w:r>
              <w:rPr>
                <w:rFonts w:ascii="Arial" w:cs="Arial" w:eastAsia="Arial" w:hAnsi="Arial"/>
                <w:sz w:val="16"/>
                <w:szCs w:val="16"/>
                <w:color w:val="auto"/>
              </w:rPr>
              <w:t>Repurchase of common stock</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(99,908)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(131,860)</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(141,904)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(131,860)</w:t>
            </w:r>
          </w:p>
        </w:tc>
      </w:tr>
      <w:tr>
        <w:trPr>
          <w:trHeight w:val="236"/>
        </w:trPr>
        <w:tc>
          <w:tcPr>
            <w:tcW w:w="5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Net income (loss)</w:t>
            </w:r>
          </w:p>
        </w:tc>
        <w:tc>
          <w:tcPr>
            <w:tcW w:w="4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10,833</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157,191</w:t>
            </w:r>
          </w:p>
        </w:tc>
        <w:tc>
          <w:tcPr>
            <w:tcW w:w="8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(5,264)</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304,064</w:t>
            </w:r>
          </w:p>
        </w:tc>
      </w:tr>
      <w:tr>
        <w:trPr>
          <w:trHeight w:val="214"/>
        </w:trPr>
        <w:tc>
          <w:tcPr>
            <w:tcW w:w="520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Balance, end of period</w:t>
            </w:r>
          </w:p>
        </w:tc>
        <w:tc>
          <w:tcPr>
            <w:tcW w:w="4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(100,895)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189,539</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(100,895)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189,539</w:t>
            </w:r>
          </w:p>
        </w:tc>
      </w:tr>
      <w:tr>
        <w:trPr>
          <w:trHeight w:val="229"/>
        </w:trPr>
        <w:tc>
          <w:tcPr>
            <w:tcW w:w="5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2"/>
        </w:trPr>
        <w:tc>
          <w:tcPr>
            <w:tcW w:w="52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Accumulated other comprehensive loss</w:t>
            </w: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9"/>
        </w:trPr>
        <w:tc>
          <w:tcPr>
            <w:tcW w:w="5200" w:type="dxa"/>
            <w:vAlign w:val="bottom"/>
            <w:shd w:val="clear" w:color="auto" w:fill="CCEEFF"/>
          </w:tcPr>
          <w:p>
            <w:pPr>
              <w:ind w:left="80"/>
              <w:spacing w:after="0"/>
              <w:rPr>
                <w:sz w:val="20"/>
                <w:szCs w:val="20"/>
                <w:color w:val="auto"/>
              </w:rPr>
            </w:pPr>
            <w:r>
              <w:rPr>
                <w:rFonts w:ascii="Arial" w:cs="Arial" w:eastAsia="Arial" w:hAnsi="Arial"/>
                <w:sz w:val="16"/>
                <w:szCs w:val="16"/>
                <w:color w:val="auto"/>
              </w:rPr>
              <w:t>Balance, beginning of period</w:t>
            </w:r>
          </w:p>
        </w:tc>
        <w:tc>
          <w:tcPr>
            <w:tcW w:w="42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(6,734)</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(10,882)</w:t>
            </w:r>
          </w:p>
        </w:tc>
      </w:tr>
      <w:tr>
        <w:trPr>
          <w:trHeight w:val="234"/>
        </w:trPr>
        <w:tc>
          <w:tcPr>
            <w:tcW w:w="5200" w:type="dxa"/>
            <w:vAlign w:val="bottom"/>
          </w:tcPr>
          <w:p>
            <w:pPr>
              <w:ind w:left="260"/>
              <w:spacing w:after="0"/>
              <w:rPr>
                <w:sz w:val="20"/>
                <w:szCs w:val="20"/>
                <w:color w:val="auto"/>
              </w:rPr>
            </w:pPr>
            <w:r>
              <w:rPr>
                <w:rFonts w:ascii="Arial" w:cs="Arial" w:eastAsia="Arial" w:hAnsi="Arial"/>
                <w:sz w:val="16"/>
                <w:szCs w:val="16"/>
                <w:color w:val="auto"/>
              </w:rPr>
              <w:t>Foreign currency translation adjustments</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431</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(3,658)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1,508</w:t>
            </w:r>
          </w:p>
        </w:tc>
      </w:tr>
      <w:tr>
        <w:trPr>
          <w:trHeight w:val="198"/>
        </w:trPr>
        <w:tc>
          <w:tcPr>
            <w:tcW w:w="5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Change in net unrealized gain (loss) on marketable securities, net of</w:t>
            </w: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4"/>
        </w:trPr>
        <w:tc>
          <w:tcPr>
            <w:tcW w:w="5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tax</w:t>
            </w:r>
          </w:p>
        </w:tc>
        <w:tc>
          <w:tcPr>
            <w:tcW w:w="4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8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(2,305)</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2,522</w:t>
            </w:r>
          </w:p>
        </w:tc>
      </w:tr>
      <w:tr>
        <w:trPr>
          <w:trHeight w:val="214"/>
        </w:trPr>
        <w:tc>
          <w:tcPr>
            <w:tcW w:w="520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Balance, end of period</w:t>
            </w:r>
          </w:p>
        </w:tc>
        <w:tc>
          <w:tcPr>
            <w:tcW w:w="4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(6,852)</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(6,852)</w:t>
            </w:r>
          </w:p>
        </w:tc>
      </w:tr>
      <w:tr>
        <w:trPr>
          <w:trHeight w:val="22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stockholders' equity, ending balance</w:t>
            </w:r>
          </w:p>
        </w:tc>
        <w:tc>
          <w:tcPr>
            <w:tcW w:w="42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884,523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972,587</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884,523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972,587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66"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33" w:lineRule="exact"/>
        <w:rPr>
          <w:sz w:val="20"/>
          <w:szCs w:val="20"/>
          <w:color w:val="auto"/>
        </w:rPr>
      </w:pPr>
    </w:p>
    <w:p>
      <w:pPr>
        <w:ind w:left="9040"/>
        <w:spacing w:after="0"/>
        <w:rPr>
          <w:sz w:val="20"/>
          <w:szCs w:val="20"/>
          <w:color w:val="auto"/>
        </w:rPr>
      </w:pPr>
      <w:r>
        <w:rPr>
          <w:rFonts w:ascii="Arial" w:cs="Arial" w:eastAsia="Arial" w:hAnsi="Arial"/>
          <w:sz w:val="16"/>
          <w:szCs w:val="16"/>
          <w:b w:val="1"/>
          <w:bCs w:val="1"/>
          <w:color w:val="auto"/>
        </w:rPr>
        <w:t>Six Months Ended</w:t>
      </w:r>
    </w:p>
    <w:tbl>
      <w:tblPr>
        <w:tblLayout w:type="fixed"/>
        <w:tblInd w:w="20" w:type="dxa"/>
        <w:tblCellMar>
          <w:top w:w="0" w:type="dxa"/>
          <w:left w:w="0" w:type="dxa"/>
          <w:bottom w:w="0" w:type="dxa"/>
          <w:right w:w="0" w:type="dxa"/>
        </w:tblCellMar>
      </w:tblPr>
      <w:tr>
        <w:trPr>
          <w:trHeight w:val="194"/>
        </w:trPr>
        <w:tc>
          <w:tcPr>
            <w:tcW w:w="8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62"/>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6"/>
                <w:szCs w:val="16"/>
                <w:color w:val="auto"/>
              </w:rPr>
            </w:pPr>
          </w:p>
        </w:tc>
      </w:tr>
      <w:tr>
        <w:trPr>
          <w:trHeight w:val="202"/>
        </w:trPr>
        <w:tc>
          <w:tcPr>
            <w:tcW w:w="8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2023</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8"/>
        </w:trPr>
        <w:tc>
          <w:tcPr>
            <w:tcW w:w="8240" w:type="dxa"/>
            <w:vAlign w:val="bottom"/>
          </w:tcPr>
          <w:p>
            <w:pPr>
              <w:ind w:left="140"/>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(5,264)</w:t>
            </w:r>
          </w:p>
        </w:tc>
        <w:tc>
          <w:tcPr>
            <w:tcW w:w="120" w:type="dxa"/>
            <w:vAlign w:val="bottom"/>
          </w:tcPr>
          <w:p>
            <w:pPr>
              <w:spacing w:after="0"/>
              <w:rPr>
                <w:sz w:val="18"/>
                <w:szCs w:val="18"/>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304,064</w:t>
            </w:r>
          </w:p>
        </w:tc>
      </w:tr>
      <w:tr>
        <w:trPr>
          <w:trHeight w:val="210"/>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8"/>
        </w:trPr>
        <w:tc>
          <w:tcPr>
            <w:tcW w:w="82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40,621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34,419</w:t>
            </w:r>
          </w:p>
        </w:tc>
      </w:tr>
      <w:tr>
        <w:trPr>
          <w:trHeight w:val="210"/>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amortization (accretion) of premium (discount) on marketable securities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(17,705)</w:t>
            </w:r>
          </w:p>
        </w:tc>
      </w:tr>
      <w:tr>
        <w:trPr>
          <w:trHeight w:val="208"/>
        </w:trPr>
        <w:tc>
          <w:tcPr>
            <w:tcW w:w="8240" w:type="dxa"/>
            <w:vAlign w:val="bottom"/>
          </w:tcPr>
          <w:p>
            <w:pPr>
              <w:ind w:left="220"/>
              <w:spacing w:after="0"/>
              <w:rPr>
                <w:sz w:val="20"/>
                <w:szCs w:val="20"/>
                <w:color w:val="auto"/>
              </w:rPr>
            </w:pPr>
            <w:r>
              <w:rPr>
                <w:rFonts w:ascii="Arial" w:cs="Arial" w:eastAsia="Arial" w:hAnsi="Arial"/>
                <w:sz w:val="16"/>
                <w:szCs w:val="16"/>
                <w:color w:val="auto"/>
              </w:rPr>
              <w:t>Provision for doubtful accounts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1,767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629</w:t>
            </w:r>
          </w:p>
        </w:tc>
      </w:tr>
      <w:tr>
        <w:trPr>
          <w:trHeight w:val="210"/>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Asset impairment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8"/>
        </w:trPr>
        <w:tc>
          <w:tcPr>
            <w:tcW w:w="8240" w:type="dxa"/>
            <w:vAlign w:val="bottom"/>
          </w:tcPr>
          <w:p>
            <w:pPr>
              <w:ind w:left="220"/>
              <w:spacing w:after="0"/>
              <w:rPr>
                <w:sz w:val="20"/>
                <w:szCs w:val="20"/>
                <w:color w:val="auto"/>
              </w:rPr>
            </w:pPr>
            <w:r>
              <w:rPr>
                <w:rFonts w:ascii="Arial" w:cs="Arial" w:eastAsia="Arial" w:hAnsi="Arial"/>
                <w:sz w:val="16"/>
                <w:szCs w:val="16"/>
                <w:color w:val="auto"/>
              </w:rPr>
              <w:t>Non-cash interest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4,289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4,140</w:t>
            </w:r>
          </w:p>
        </w:tc>
      </w:tr>
      <w:tr>
        <w:trPr>
          <w:trHeight w:val="210"/>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loss (gain) from change in fair value of debt securities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(3,498)</w:t>
            </w:r>
          </w:p>
        </w:tc>
      </w:tr>
      <w:tr>
        <w:trPr>
          <w:trHeight w:val="208"/>
        </w:trPr>
        <w:tc>
          <w:tcPr>
            <w:tcW w:w="824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113,590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113,821</w:t>
            </w:r>
          </w:p>
        </w:tc>
      </w:tr>
      <w:tr>
        <w:trPr>
          <w:trHeight w:val="210"/>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(22,368)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(26,796)</w:t>
            </w:r>
          </w:p>
        </w:tc>
      </w:tr>
      <w:tr>
        <w:trPr>
          <w:trHeight w:val="208"/>
        </w:trPr>
        <w:tc>
          <w:tcPr>
            <w:tcW w:w="824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8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receivable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159,542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(83,497)</w:t>
            </w:r>
          </w:p>
        </w:tc>
      </w:tr>
      <w:tr>
        <w:trPr>
          <w:trHeight w:val="208"/>
        </w:trPr>
        <w:tc>
          <w:tcPr>
            <w:tcW w:w="8240" w:type="dxa"/>
            <w:vAlign w:val="bottom"/>
          </w:tcPr>
          <w:p>
            <w:pPr>
              <w:ind w:left="320"/>
              <w:spacing w:after="0"/>
              <w:rPr>
                <w:sz w:val="20"/>
                <w:szCs w:val="20"/>
                <w:color w:val="auto"/>
              </w:rPr>
            </w:pPr>
            <w:r>
              <w:rPr>
                <w:rFonts w:ascii="Arial" w:cs="Arial" w:eastAsia="Arial" w:hAnsi="Arial"/>
                <w:sz w:val="16"/>
                <w:szCs w:val="16"/>
                <w:color w:val="auto"/>
              </w:rPr>
              <w:t>Inventory</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37,527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(16,403)</w:t>
            </w:r>
          </w:p>
        </w:tc>
      </w:tr>
      <w:tr>
        <w:trPr>
          <w:trHeight w:val="210"/>
        </w:trPr>
        <w:tc>
          <w:tcPr>
            <w:tcW w:w="8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(53,707)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(41,993)</w:t>
            </w:r>
          </w:p>
        </w:tc>
      </w:tr>
      <w:tr>
        <w:trPr>
          <w:trHeight w:val="208"/>
        </w:trPr>
        <w:tc>
          <w:tcPr>
            <w:tcW w:w="8240" w:type="dxa"/>
            <w:vAlign w:val="bottom"/>
          </w:tcPr>
          <w:p>
            <w:pPr>
              <w:ind w:left="320"/>
              <w:spacing w:after="0"/>
              <w:rPr>
                <w:sz w:val="20"/>
                <w:szCs w:val="20"/>
                <w:color w:val="auto"/>
              </w:rPr>
            </w:pPr>
            <w:r>
              <w:rPr>
                <w:rFonts w:ascii="Arial" w:cs="Arial" w:eastAsia="Arial" w:hAnsi="Arial"/>
                <w:sz w:val="16"/>
                <w:szCs w:val="16"/>
                <w:color w:val="auto"/>
              </w:rPr>
              <w:t>Accounts payable, accrued and other liabilities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(90,228)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107,225</w:t>
            </w:r>
          </w:p>
        </w:tc>
      </w:tr>
      <w:tr>
        <w:trPr>
          <w:trHeight w:val="210"/>
        </w:trPr>
        <w:tc>
          <w:tcPr>
            <w:tcW w:w="8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Warranty obligations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49,269</w:t>
            </w:r>
          </w:p>
        </w:tc>
      </w:tr>
      <w:tr>
        <w:trPr>
          <w:trHeight w:val="208"/>
        </w:trPr>
        <w:tc>
          <w:tcPr>
            <w:tcW w:w="82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Deferred revenues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91,800</w:t>
            </w:r>
          </w:p>
        </w:tc>
      </w:tr>
      <w:tr>
        <w:trPr>
          <w:trHeight w:val="203"/>
        </w:trPr>
        <w:tc>
          <w:tcPr>
            <w:tcW w:w="82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176,263</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515,475</w:t>
            </w:r>
          </w:p>
        </w:tc>
      </w:tr>
      <w:tr>
        <w:trPr>
          <w:trHeight w:val="189"/>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(66,478)</w:t>
            </w:r>
          </w:p>
        </w:tc>
      </w:tr>
      <w:tr>
        <w:trPr>
          <w:trHeight w:val="208"/>
        </w:trPr>
        <w:tc>
          <w:tcPr>
            <w:tcW w:w="8240" w:type="dxa"/>
            <w:vAlign w:val="bottom"/>
          </w:tcPr>
          <w:p>
            <w:pPr>
              <w:ind w:left="140"/>
              <w:spacing w:after="0"/>
              <w:rPr>
                <w:sz w:val="20"/>
                <w:szCs w:val="20"/>
                <w:color w:val="auto"/>
              </w:rPr>
            </w:pPr>
            <w:r>
              <w:rPr>
                <w:rFonts w:ascii="Arial" w:cs="Arial" w:eastAsia="Arial" w:hAnsi="Arial"/>
                <w:sz w:val="16"/>
                <w:szCs w:val="16"/>
                <w:color w:val="auto"/>
              </w:rPr>
              <w:t>Purchases of marketable securities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(772,321)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(1,272,908)</w:t>
            </w:r>
          </w:p>
        </w:tc>
      </w:tr>
      <w:tr>
        <w:trPr>
          <w:trHeight w:val="210"/>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Maturities and sale of marketable securities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779,436</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911,804</w:t>
            </w:r>
          </w:p>
        </w:tc>
      </w:tr>
      <w:tr>
        <w:trPr>
          <w:trHeight w:val="201"/>
        </w:trPr>
        <w:tc>
          <w:tcPr>
            <w:tcW w:w="824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(9,892)</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(427,582)</w:t>
            </w:r>
          </w:p>
        </w:tc>
      </w:tr>
      <w:tr>
        <w:trPr>
          <w:trHeight w:val="190"/>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8"/>
        </w:trPr>
        <w:tc>
          <w:tcPr>
            <w:tcW w:w="8240" w:type="dxa"/>
            <w:vAlign w:val="bottom"/>
          </w:tcPr>
          <w:p>
            <w:pPr>
              <w:ind w:left="140"/>
              <w:spacing w:after="0"/>
              <w:rPr>
                <w:sz w:val="20"/>
                <w:szCs w:val="20"/>
                <w:color w:val="auto"/>
              </w:rPr>
            </w:pPr>
            <w:r>
              <w:rPr>
                <w:rFonts w:ascii="Arial" w:cs="Arial" w:eastAsia="Arial" w:hAnsi="Arial"/>
                <w:sz w:val="16"/>
                <w:szCs w:val="16"/>
                <w:color w:val="auto"/>
              </w:rPr>
              <w:t>Partial settlement of convertible notes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10"/>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issuance of common stock under employee equity plans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596</w:t>
            </w:r>
          </w:p>
        </w:tc>
      </w:tr>
      <w:tr>
        <w:trPr>
          <w:trHeight w:val="208"/>
        </w:trPr>
        <w:tc>
          <w:tcPr>
            <w:tcW w:w="8240" w:type="dxa"/>
            <w:vAlign w:val="bottom"/>
          </w:tcPr>
          <w:p>
            <w:pPr>
              <w:ind w:left="140"/>
              <w:spacing w:after="0"/>
              <w:rPr>
                <w:sz w:val="20"/>
                <w:szCs w:val="20"/>
                <w:color w:val="auto"/>
              </w:rPr>
            </w:pPr>
            <w:r>
              <w:rPr>
                <w:rFonts w:ascii="Arial" w:cs="Arial" w:eastAsia="Arial" w:hAnsi="Arial"/>
                <w:sz w:val="16"/>
                <w:szCs w:val="16"/>
                <w:color w:val="auto"/>
              </w:rPr>
              <w:t>Payment of withholding taxes related to net share settlement of equity awards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(67,515)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(84,635)</w:t>
            </w:r>
          </w:p>
        </w:tc>
      </w:tr>
      <w:tr>
        <w:trPr>
          <w:trHeight w:val="210"/>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of common stock</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(141,904)</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(200,000)</w:t>
            </w:r>
          </w:p>
        </w:tc>
      </w:tr>
      <w:tr>
        <w:trPr>
          <w:trHeight w:val="201"/>
        </w:trPr>
        <w:tc>
          <w:tcPr>
            <w:tcW w:w="82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(201,466)</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(284,039)</w:t>
            </w:r>
          </w:p>
        </w:tc>
      </w:tr>
      <w:tr>
        <w:trPr>
          <w:trHeight w:val="203"/>
        </w:trPr>
        <w:tc>
          <w:tcPr>
            <w:tcW w:w="82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(1,551)</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1,578</w:t>
            </w:r>
          </w:p>
        </w:tc>
      </w:tr>
      <w:tr>
        <w:trPr>
          <w:trHeight w:val="201"/>
        </w:trPr>
        <w:tc>
          <w:tcPr>
            <w:tcW w:w="8240" w:type="dxa"/>
            <w:vAlign w:val="bottom"/>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(36,646)</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(194,568)</w:t>
            </w: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288,748</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473,244</w:t>
            </w:r>
          </w:p>
        </w:tc>
      </w:tr>
      <w:tr>
        <w:trPr>
          <w:trHeight w:val="201"/>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equivalents—End of period</w:t>
            </w: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252,102</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278,676</w:t>
            </w:r>
          </w:p>
        </w:tc>
      </w:tr>
      <w:tr>
        <w:trPr>
          <w:trHeight w:val="190"/>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disclosure: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8"/>
        </w:trPr>
        <w:tc>
          <w:tcPr>
            <w:tcW w:w="8240" w:type="dxa"/>
            <w:vAlign w:val="bottom"/>
          </w:tcPr>
          <w:p>
            <w:pPr>
              <w:ind w:left="20"/>
              <w:spacing w:after="0"/>
              <w:rPr>
                <w:sz w:val="20"/>
                <w:szCs w:val="20"/>
                <w:color w:val="auto"/>
              </w:rPr>
            </w:pPr>
            <w:r>
              <w:rPr>
                <w:rFonts w:ascii="Arial" w:cs="Arial" w:eastAsia="Arial" w:hAnsi="Arial"/>
                <w:sz w:val="16"/>
                <w:szCs w:val="16"/>
                <w:color w:val="auto"/>
              </w:rPr>
              <w:t>Supplemental disclosures of non-cash investing activities: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and equipment included in accounts payable</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8,310</w:t>
            </w:r>
          </w:p>
        </w:tc>
      </w:tr>
    </w:tbl>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0" w:hanging="335"/>
        <w:spacing w:after="0"/>
        <w:tabs>
          <w:tab w:leader="none" w:pos="34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BUSINESS AND BASIS OF PRESENTATION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 of Business</w:t>
      </w:r>
    </w:p>
    <w:p>
      <w:pPr>
        <w:spacing w:after="0" w:line="120"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Enphase Energy, Inc. (the “Company”) is a global energy technology company. The Company delivers smart, easy-to-use solutions that manage solar generation, storage and communication on one platform. The Company’s intelligent microinverters work with virtually every solar panel made, and when paired with the Company’s smart technology, results in one of the industry’s best-performing clean energy systems.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 and Consolidation</w:t>
      </w:r>
    </w:p>
    <w:p>
      <w:pPr>
        <w:spacing w:after="0" w:line="120"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The accompanying condensed consolidated financial statements are presented in accordance with accounting principles generally accepted in the United States (“U.S. GAAP”). The condensed consolidated financial statements include the accounts of the Company and its wholly-owned subsidiaries. All intercompany balances and transactions have been eliminated in consolidation.</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Interim Financial Information</w:t>
      </w:r>
    </w:p>
    <w:p>
      <w:pPr>
        <w:spacing w:after="0" w:line="120" w:lineRule="exact"/>
        <w:rPr>
          <w:sz w:val="20"/>
          <w:szCs w:val="20"/>
          <w:color w:val="auto"/>
        </w:rPr>
      </w:pPr>
    </w:p>
    <w:p>
      <w:pPr>
        <w:jc w:val="both"/>
        <w:ind w:firstLine="470"/>
        <w:spacing w:after="0" w:line="266" w:lineRule="auto"/>
        <w:rPr>
          <w:sz w:val="20"/>
          <w:szCs w:val="20"/>
          <w:color w:val="auto"/>
        </w:rPr>
      </w:pPr>
      <w:r>
        <w:rPr>
          <w:rFonts w:ascii="Arial" w:cs="Arial" w:eastAsia="Arial" w:hAnsi="Arial"/>
          <w:sz w:val="17"/>
          <w:szCs w:val="17"/>
          <w:color w:val="auto"/>
        </w:rPr>
        <w:t>These accompanying unaudited condensed consolidated financial statements have been prepared pursuant to the rules and regulations of the U.S. Securities and Exchange Commission (“SEC”) for interim financial reporting. In the opinion of management, these unaudited condensed consolidated financial statements reflect all adjustments, consisting of normal recurring items, considered necessary to present fairly the Company’s financial condition, results of operations, comprehensive income (loss), stockholders’ equity and cash flows for the interim periods indicated. The results of operations for the three and six months ended June 30, 2024 are not necessarily indicative of the operating results for the full year.</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20" w:lineRule="exact"/>
        <w:rPr>
          <w:sz w:val="20"/>
          <w:szCs w:val="20"/>
          <w:color w:val="auto"/>
        </w:rPr>
      </w:pPr>
    </w:p>
    <w:p>
      <w:pPr>
        <w:jc w:val="both"/>
        <w:ind w:firstLine="470"/>
        <w:spacing w:after="0" w:line="262"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amounts of income and expenses during the reporting period. Significant estimates and assumptions reflected in the financial statements include revenue recognition, allowance for doubtful accounts, stock-based compensation, deferred compensation arrangements, income tax provision, inventory valuation, government grants, accrued warranty obligations, fair value of investments, convertible notes, fair value of acquired intangible assets and goodwill, useful lives of acquired intangible assets and property and equipment, incremental borrowing rate for right-of-use assets and lease liability. These estimates are based on information available as of the date of the financial statements; therefore, actual results could differ materially from those estimates due to risks and uncertainties, including uncertainty in the ongoing semiconductor supply and logistic constraints.</w:t>
      </w:r>
    </w:p>
    <w:p>
      <w:pPr>
        <w:spacing w:after="0" w:line="279" w:lineRule="exact"/>
        <w:rPr>
          <w:sz w:val="20"/>
          <w:szCs w:val="20"/>
          <w:color w:val="auto"/>
        </w:rPr>
      </w:pPr>
    </w:p>
    <w:p>
      <w:pPr>
        <w:jc w:val="both"/>
        <w:ind w:firstLine="470"/>
        <w:spacing w:after="0" w:line="220" w:lineRule="exact"/>
        <w:rPr>
          <w:sz w:val="20"/>
          <w:szCs w:val="20"/>
          <w:color w:val="auto"/>
        </w:rPr>
      </w:pPr>
      <w:r>
        <w:rPr>
          <w:rFonts w:ascii="Arial" w:cs="Arial" w:eastAsia="Arial" w:hAnsi="Arial"/>
          <w:sz w:val="17"/>
          <w:szCs w:val="17"/>
          <w:color w:val="auto"/>
        </w:rPr>
        <w:t>The year-end condensed consolidated balance sheet data was derived from audited financial statements but does not include all disclosures required by U.S. GAAP. The Company filed audited consolidated financial statements, which included all information and notes necessary for such a complete presentation in conjunction with its Annual Report on Form 10-K for the fiscal year ended December 31, 2023 filed with the SEC on February 9, 2024 (the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Significant Accounting Policies</w:t>
      </w:r>
    </w:p>
    <w:p>
      <w:pPr>
        <w:spacing w:after="0" w:line="120"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There have been no changes to the Company’s significant accounting policies as described in Note 2, “Summary of Significant Accounting Policies” of the notes to consolidated financial statements included in Part II, Item 8 of the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 Yet Adopted</w:t>
      </w:r>
    </w:p>
    <w:p>
      <w:pPr>
        <w:spacing w:after="0" w:line="120" w:lineRule="exact"/>
        <w:rPr>
          <w:sz w:val="20"/>
          <w:szCs w:val="20"/>
          <w:color w:val="auto"/>
        </w:rPr>
      </w:pPr>
    </w:p>
    <w:p>
      <w:pPr>
        <w:jc w:val="both"/>
        <w:ind w:firstLine="470"/>
        <w:spacing w:after="0" w:line="262" w:lineRule="auto"/>
        <w:rPr>
          <w:sz w:val="20"/>
          <w:szCs w:val="20"/>
          <w:color w:val="auto"/>
        </w:rPr>
      </w:pPr>
      <w:r>
        <w:rPr>
          <w:rFonts w:ascii="Arial" w:cs="Arial" w:eastAsia="Arial" w:hAnsi="Arial"/>
          <w:sz w:val="17"/>
          <w:szCs w:val="17"/>
          <w:color w:val="auto"/>
        </w:rPr>
        <w:t>In November 2023, the Financial Accounting Standard Board (“FASB”) issued Accounting Standards Update (“ASU”) 2023-07, “Segment Reporting (Topic 280): Improvements to Reportable Segment Disclosures” (“ASU 2023-07”). ASU 2023-07 requires additional disclosures for segment reporting, including disclosure of the title and position of the Chief Operating Decision Maker and requires a public entity that has a single reportable segment to provide all the disclosures required by the amendments in ASU 2023-07, and all existing segment disclosures in Topic 280. ASU 2023-07 is effective for fiscal periods beginning after December 15, 2023, and interim periods within fiscal years beginning after December 15, 2024. The Company plans to adopt ASU 2023-07 effective for the annual report on Form 10-K for the year ending December 31, 2024 and subsequent interim periods. Since ASU 2023-07 addresses only disclosures, the adoption of ASU 2023-07 is not expected to have a significant impact on its consolidated financial statements.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 Yet Effective</w:t>
      </w:r>
    </w:p>
    <w:p>
      <w:pPr>
        <w:spacing w:after="0" w:line="12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December 2023, the FASB issued ASU 2023-09, “Income Taxes (Topic 740): Improvements to Income Tax Disclosures” (“ASU 2023-09”). ASU 2023-09 requires that an entity disclose specific categories in the effective tax rate reconciliation as well as provide additional information for reconciling items that meet a quantitative threshold, certain disclosures of state versus federal income tax expenses and taxes paid. ASU 2023-09 is effective for fiscal years beginning after December 15, 2024. The Company does not expect the adoption of ASU 2023-09 to have a significant impact on its consolidated financial statements and will adopt the standard effective January 1, 2025.</w:t>
      </w:r>
    </w:p>
    <w:p>
      <w:pPr>
        <w:spacing w:after="0" w:line="113" w:lineRule="exact"/>
        <w:rPr>
          <w:sz w:val="20"/>
          <w:szCs w:val="20"/>
          <w:color w:val="auto"/>
        </w:rPr>
      </w:pPr>
    </w:p>
    <w:p>
      <w:pPr>
        <w:ind w:left="340" w:hanging="335"/>
        <w:spacing w:after="0"/>
        <w:tabs>
          <w:tab w:leader="none" w:pos="34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REVENUE RECOGNITION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Disaggregated Revenue</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has one major business activity, which is the design, manufacture and sale of solutions for the solar photovoltaic industry.</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Disaggregated revenue by primary geographical market and timing of revenue recognition for the Company’s single product line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r>
      <w:tr>
        <w:trPr>
          <w:trHeight w:val="183"/>
        </w:trPr>
        <w:tc>
          <w:tcPr>
            <w:tcW w:w="5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82"/>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r>
      <w:tr>
        <w:trPr>
          <w:trHeight w:val="189"/>
        </w:trPr>
        <w:tc>
          <w:tcPr>
            <w:tcW w:w="5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w w:val="96"/>
              </w:rPr>
              <w:t>2023</w:t>
            </w:r>
          </w:p>
        </w:tc>
      </w:tr>
      <w:tr>
        <w:trPr>
          <w:trHeight w:val="224"/>
        </w:trPr>
        <w:tc>
          <w:tcPr>
            <w:tcW w:w="5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gridSpan w:val="3"/>
          </w:tcPr>
          <w:p>
            <w:pPr>
              <w:jc w:val="right"/>
              <w:ind w:right="2"/>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3"/>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Primary geographical markets: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08"/>
        </w:trPr>
        <w:tc>
          <w:tcPr>
            <w:tcW w:w="522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198,712</w:t>
            </w:r>
          </w:p>
        </w:tc>
        <w:tc>
          <w:tcPr>
            <w:tcW w:w="100" w:type="dxa"/>
            <w:vAlign w:val="bottom"/>
          </w:tcPr>
          <w:p>
            <w:pPr>
              <w:spacing w:after="0"/>
              <w:rPr>
                <w:sz w:val="18"/>
                <w:szCs w:val="18"/>
                <w:color w:val="auto"/>
              </w:rPr>
            </w:pPr>
          </w:p>
        </w:tc>
        <w:tc>
          <w:tcPr>
            <w:tcW w:w="4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417,582</w:t>
            </w:r>
          </w:p>
        </w:tc>
        <w:tc>
          <w:tcPr>
            <w:tcW w:w="100" w:type="dxa"/>
            <w:vAlign w:val="bottom"/>
          </w:tcPr>
          <w:p>
            <w:pPr>
              <w:spacing w:after="0"/>
              <w:rPr>
                <w:sz w:val="18"/>
                <w:szCs w:val="18"/>
                <w:color w:val="auto"/>
              </w:rPr>
            </w:pPr>
          </w:p>
        </w:tc>
        <w:tc>
          <w:tcPr>
            <w:tcW w:w="480" w:type="dxa"/>
            <w:vAlign w:val="bottom"/>
          </w:tcPr>
          <w:p>
            <w:pPr>
              <w:jc w:val="right"/>
              <w:ind w:right="30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
              <w:spacing w:after="0"/>
              <w:rPr>
                <w:sz w:val="20"/>
                <w:szCs w:val="20"/>
                <w:color w:val="auto"/>
              </w:rPr>
            </w:pPr>
            <w:r>
              <w:rPr>
                <w:rFonts w:ascii="Arial" w:cs="Arial" w:eastAsia="Arial" w:hAnsi="Arial"/>
                <w:sz w:val="16"/>
                <w:szCs w:val="16"/>
                <w:color w:val="auto"/>
              </w:rPr>
              <w:t>348,686</w:t>
            </w:r>
          </w:p>
        </w:tc>
        <w:tc>
          <w:tcPr>
            <w:tcW w:w="80" w:type="dxa"/>
            <w:vAlign w:val="bottom"/>
          </w:tcPr>
          <w:p>
            <w:pPr>
              <w:spacing w:after="0"/>
              <w:rPr>
                <w:sz w:val="18"/>
                <w:szCs w:val="18"/>
                <w:color w:val="auto"/>
              </w:rPr>
            </w:pPr>
          </w:p>
        </w:tc>
        <w:tc>
          <w:tcPr>
            <w:tcW w:w="560" w:type="dxa"/>
            <w:vAlign w:val="bottom"/>
          </w:tcPr>
          <w:p>
            <w:pPr>
              <w:jc w:val="right"/>
              <w:ind w:right="362"/>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890,543</w:t>
            </w:r>
          </w:p>
        </w:tc>
      </w:tr>
      <w:tr>
        <w:trPr>
          <w:trHeight w:val="209"/>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International</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104,746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293,536</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218,111</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546,591</w:t>
            </w:r>
          </w:p>
        </w:tc>
      </w:tr>
      <w:tr>
        <w:trPr>
          <w:trHeight w:val="203"/>
        </w:trPr>
        <w:tc>
          <w:tcPr>
            <w:tcW w:w="5220" w:type="dxa"/>
            <w:vAlign w:val="bottom"/>
          </w:tcPr>
          <w:p>
            <w:pPr>
              <w:ind w:left="22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303,458</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711,118</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566,797</w:t>
            </w:r>
          </w:p>
        </w:tc>
        <w:tc>
          <w:tcPr>
            <w:tcW w:w="80" w:type="dxa"/>
            <w:vAlign w:val="bottom"/>
          </w:tcPr>
          <w:p>
            <w:pPr>
              <w:spacing w:after="0"/>
              <w:rPr>
                <w:sz w:val="17"/>
                <w:szCs w:val="17"/>
                <w:color w:val="auto"/>
              </w:rPr>
            </w:pPr>
          </w:p>
        </w:tc>
        <w:tc>
          <w:tcPr>
            <w:tcW w:w="56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1,437,134</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23"/>
        </w:trPr>
        <w:tc>
          <w:tcPr>
            <w:tcW w:w="5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208"/>
        </w:trPr>
        <w:tc>
          <w:tcPr>
            <w:tcW w:w="5220" w:type="dxa"/>
            <w:vAlign w:val="bottom"/>
          </w:tcPr>
          <w:p>
            <w:pPr>
              <w:ind w:left="20"/>
              <w:spacing w:after="0"/>
              <w:rPr>
                <w:sz w:val="20"/>
                <w:szCs w:val="20"/>
                <w:color w:val="auto"/>
              </w:rPr>
            </w:pPr>
            <w:r>
              <w:rPr>
                <w:rFonts w:ascii="Arial" w:cs="Arial" w:eastAsia="Arial" w:hAnsi="Arial"/>
                <w:sz w:val="16"/>
                <w:szCs w:val="16"/>
                <w:color w:val="auto"/>
              </w:rPr>
              <w:t>Timing of revenue recognition:</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Products delivered at a point in time</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272,592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684,122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505,737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1,385,774</w:t>
            </w:r>
          </w:p>
        </w:tc>
      </w:tr>
      <w:tr>
        <w:trPr>
          <w:trHeight w:val="208"/>
        </w:trPr>
        <w:tc>
          <w:tcPr>
            <w:tcW w:w="5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Products and services delivered over time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30,866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26,996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61,060</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51,360</w:t>
            </w:r>
          </w:p>
        </w:tc>
      </w:tr>
      <w:tr>
        <w:trPr>
          <w:trHeight w:val="228"/>
        </w:trPr>
        <w:tc>
          <w:tcPr>
            <w:tcW w:w="5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303,458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711,118</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566,797</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1,437,134</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 Balances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Accounts receivables, and contract assets and contract liabilities from contracts with customers,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40" w:type="dxa"/>
            <w:vAlign w:val="bottom"/>
          </w:tcPr>
          <w:p>
            <w:pPr>
              <w:jc w:val="right"/>
              <w:ind w:right="184"/>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8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2023</w:t>
            </w:r>
          </w:p>
        </w:tc>
      </w:tr>
      <w:tr>
        <w:trPr>
          <w:trHeight w:val="224"/>
        </w:trPr>
        <w:tc>
          <w:tcPr>
            <w:tcW w:w="8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gridSpan w:val="4"/>
          </w:tcPr>
          <w:p>
            <w:pPr>
              <w:jc w:val="right"/>
              <w:ind w:right="964"/>
              <w:spacing w:after="0"/>
              <w:rPr>
                <w:sz w:val="20"/>
                <w:szCs w:val="20"/>
                <w:color w:val="auto"/>
              </w:rPr>
            </w:pPr>
            <w:r>
              <w:rPr>
                <w:rFonts w:ascii="Arial" w:cs="Arial" w:eastAsia="Arial" w:hAnsi="Arial"/>
                <w:sz w:val="14"/>
                <w:szCs w:val="14"/>
                <w:i w:val="1"/>
                <w:iCs w:val="1"/>
                <w:color w:val="auto"/>
              </w:rPr>
              <w:t>(In thousands)</w:t>
            </w: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receivables</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277,475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445,959</w:t>
            </w: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Short-term contract assets (Prepaid expenses and other assets)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41,736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40,241</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contract assets (Other assets)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124,190</w:t>
            </w: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Short-term contract liabilities (Deferred revenues, current)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123,577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118,300</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contract liabilities (Deferred revenues, non-current)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353,199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369,172</w:t>
            </w:r>
          </w:p>
        </w:tc>
      </w:tr>
    </w:tbl>
    <w:p>
      <w:pPr>
        <w:spacing w:after="0" w:line="166"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The Company receives payments from customers based upon contractual billing schedules. Accounts receivable are recorded in an amount that reflects the consideration that is expected to be received in exchange for those goods or services when the right to consideration becomes unconditional. The Company maintains allowances for doubtful accounts for uncollectible accounts receivable. Management estimates anticipated credit losses from doubtful accounts based on days past due, customer specific experience, collection history, the financial health of customers including from the impacts of the broad-based slowdown in solar industry beginning in the second quarter of 2023 in the United States and in the third quarter of 2023 in Europe, among other factors. Accounts receivables are recorded net of allowance for doubtful accounts totaling $3.3 million and $2.5 million as of June 30, 2024 and December 31, 2023, respectively. Management will continue to monitor certain customers experiencing considerable financial difficulties as more information is publicly available to perform collectability assessment and evaluate the impact to the Company's revenue recognition and allowance for doubtful accounts on its financial statements.</w:t>
      </w:r>
    </w:p>
    <w:p>
      <w:pPr>
        <w:spacing w:after="0" w:line="73"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Contract assets include deferred product costs and commissions associated with the deferred revenue and will be amortized along with the associated revenue. The Company had no asset impairment charges related to contract assets for the six months ended June 30, 2024.</w:t>
      </w:r>
    </w:p>
    <w:p>
      <w:pPr>
        <w:spacing w:after="0" w:line="37" w:lineRule="exact"/>
        <w:rPr>
          <w:sz w:val="20"/>
          <w:szCs w:val="20"/>
          <w:color w:val="auto"/>
        </w:rPr>
      </w:pPr>
    </w:p>
    <w:p>
      <w:pPr>
        <w:jc w:val="both"/>
        <w:ind w:firstLine="470"/>
        <w:spacing w:after="0" w:line="269" w:lineRule="auto"/>
        <w:rPr>
          <w:sz w:val="20"/>
          <w:szCs w:val="20"/>
          <w:color w:val="auto"/>
        </w:rPr>
      </w:pPr>
      <w:r>
        <w:rPr>
          <w:rFonts w:ascii="Arial" w:cs="Arial" w:eastAsia="Arial" w:hAnsi="Arial"/>
          <w:sz w:val="17"/>
          <w:szCs w:val="17"/>
          <w:color w:val="auto"/>
        </w:rPr>
        <w:t>Significant changes in the balances of contract assets (prepaid expenses and other assets) as of June 30, 2024 are as follows (in thousands):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800" w:type="dxa"/>
            <w:vAlign w:val="bottom"/>
          </w:tcPr>
          <w:p>
            <w:pPr>
              <w:ind w:left="20"/>
              <w:spacing w:after="0"/>
              <w:rPr>
                <w:sz w:val="20"/>
                <w:szCs w:val="20"/>
                <w:color w:val="auto"/>
              </w:rPr>
            </w:pPr>
            <w:r>
              <w:rPr>
                <w:rFonts w:ascii="Arial" w:cs="Arial" w:eastAsia="Arial" w:hAnsi="Arial"/>
                <w:sz w:val="16"/>
                <w:szCs w:val="16"/>
                <w:b w:val="1"/>
                <w:bCs w:val="1"/>
                <w:color w:val="auto"/>
              </w:rPr>
              <w:t>Contract Assets</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 beginning of period</w:t>
            </w:r>
          </w:p>
        </w:tc>
        <w:tc>
          <w:tcPr>
            <w:tcW w:w="46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164,431</w:t>
            </w:r>
          </w:p>
        </w:tc>
      </w:tr>
      <w:tr>
        <w:trPr>
          <w:trHeight w:val="208"/>
        </w:trPr>
        <w:tc>
          <w:tcPr>
            <w:tcW w:w="9800" w:type="dxa"/>
            <w:vAlign w:val="bottom"/>
          </w:tcPr>
          <w:p>
            <w:pPr>
              <w:ind w:left="120"/>
              <w:spacing w:after="0"/>
              <w:rPr>
                <w:sz w:val="20"/>
                <w:szCs w:val="20"/>
                <w:color w:val="auto"/>
              </w:rPr>
            </w:pPr>
            <w:r>
              <w:rPr>
                <w:rFonts w:ascii="Arial" w:cs="Arial" w:eastAsia="Arial" w:hAnsi="Arial"/>
                <w:sz w:val="16"/>
                <w:szCs w:val="16"/>
                <w:color w:val="auto"/>
              </w:rPr>
              <w:t>Amount recognized</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(21,225)</w:t>
            </w:r>
          </w:p>
        </w:tc>
      </w:tr>
      <w:tr>
        <w:trPr>
          <w:trHeight w:val="209"/>
        </w:trPr>
        <w:tc>
          <w:tcPr>
            <w:tcW w:w="9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Increased due to billings</w:t>
            </w: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18,174</w:t>
            </w:r>
          </w:p>
        </w:tc>
      </w:tr>
      <w:tr>
        <w:trPr>
          <w:trHeight w:val="203"/>
        </w:trPr>
        <w:tc>
          <w:tcPr>
            <w:tcW w:w="9800" w:type="dxa"/>
            <w:vAlign w:val="bottom"/>
          </w:tcPr>
          <w:p>
            <w:pPr>
              <w:ind w:left="20"/>
              <w:spacing w:after="0"/>
              <w:rPr>
                <w:sz w:val="20"/>
                <w:szCs w:val="20"/>
                <w:color w:val="auto"/>
              </w:rPr>
            </w:pPr>
            <w:r>
              <w:rPr>
                <w:rFonts w:ascii="Arial" w:cs="Arial" w:eastAsia="Arial" w:hAnsi="Arial"/>
                <w:sz w:val="16"/>
                <w:szCs w:val="16"/>
                <w:color w:val="auto"/>
              </w:rPr>
              <w:t>Contract Assets, end of period</w:t>
            </w:r>
          </w:p>
        </w:tc>
        <w:tc>
          <w:tcPr>
            <w:tcW w:w="4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161,380</w:t>
            </w:r>
          </w:p>
        </w:tc>
      </w:tr>
      <w:tr>
        <w:trPr>
          <w:trHeight w:val="20"/>
        </w:trPr>
        <w:tc>
          <w:tcPr>
            <w:tcW w:w="9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firstLine="470"/>
        <w:spacing w:after="0" w:line="290" w:lineRule="auto"/>
        <w:rPr>
          <w:sz w:val="20"/>
          <w:szCs w:val="20"/>
          <w:color w:val="auto"/>
        </w:rPr>
      </w:pPr>
      <w:r>
        <w:rPr>
          <w:rFonts w:ascii="Arial" w:cs="Arial" w:eastAsia="Arial" w:hAnsi="Arial"/>
          <w:sz w:val="17"/>
          <w:szCs w:val="17"/>
          <w:color w:val="auto"/>
        </w:rPr>
        <w:t>Contract liabilities are recorded as deferred revenue on the accompanying condensed consolidated balance sheets and include payments received in advance of performance obligations under the contract and are realized when the associated revenue is recognized under the contract.</w:t>
      </w:r>
    </w:p>
    <w:p>
      <w:pPr>
        <w:spacing w:after="0" w:line="25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Significant changes in the balances of contract liabilities (deferred revenues) as of June 30, 2024 are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800" w:type="dxa"/>
            <w:vAlign w:val="bottom"/>
          </w:tcPr>
          <w:p>
            <w:pPr>
              <w:ind w:left="20"/>
              <w:spacing w:after="0"/>
              <w:rPr>
                <w:sz w:val="20"/>
                <w:szCs w:val="20"/>
                <w:color w:val="auto"/>
              </w:rPr>
            </w:pPr>
            <w:r>
              <w:rPr>
                <w:rFonts w:ascii="Arial" w:cs="Arial" w:eastAsia="Arial" w:hAnsi="Arial"/>
                <w:sz w:val="16"/>
                <w:szCs w:val="16"/>
                <w:b w:val="1"/>
                <w:bCs w:val="1"/>
                <w:color w:val="auto"/>
              </w:rPr>
              <w:t>Contract Liabilities</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Liabilities, beginning of period</w:t>
            </w:r>
          </w:p>
        </w:tc>
        <w:tc>
          <w:tcPr>
            <w:tcW w:w="46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487,472</w:t>
            </w:r>
          </w:p>
        </w:tc>
      </w:tr>
      <w:tr>
        <w:trPr>
          <w:trHeight w:val="208"/>
        </w:trPr>
        <w:tc>
          <w:tcPr>
            <w:tcW w:w="9800" w:type="dxa"/>
            <w:vAlign w:val="bottom"/>
          </w:tcPr>
          <w:p>
            <w:pPr>
              <w:ind w:left="120"/>
              <w:spacing w:after="0"/>
              <w:rPr>
                <w:sz w:val="20"/>
                <w:szCs w:val="20"/>
                <w:color w:val="auto"/>
              </w:rPr>
            </w:pPr>
            <w:r>
              <w:rPr>
                <w:rFonts w:ascii="Arial" w:cs="Arial" w:eastAsia="Arial" w:hAnsi="Arial"/>
                <w:sz w:val="16"/>
                <w:szCs w:val="16"/>
                <w:color w:val="auto"/>
              </w:rPr>
              <w:t>Revenue recognized</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(61,060)</w:t>
            </w:r>
          </w:p>
        </w:tc>
      </w:tr>
      <w:tr>
        <w:trPr>
          <w:trHeight w:val="210"/>
        </w:trPr>
        <w:tc>
          <w:tcPr>
            <w:tcW w:w="9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Increased due to billings</w:t>
            </w: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50,364</w:t>
            </w:r>
          </w:p>
        </w:tc>
      </w:tr>
      <w:tr>
        <w:trPr>
          <w:trHeight w:val="201"/>
        </w:trPr>
        <w:tc>
          <w:tcPr>
            <w:tcW w:w="9800" w:type="dxa"/>
            <w:vAlign w:val="bottom"/>
          </w:tcPr>
          <w:p>
            <w:pPr>
              <w:ind w:left="20"/>
              <w:spacing w:after="0"/>
              <w:rPr>
                <w:sz w:val="20"/>
                <w:szCs w:val="20"/>
                <w:color w:val="auto"/>
              </w:rPr>
            </w:pPr>
            <w:r>
              <w:rPr>
                <w:rFonts w:ascii="Arial" w:cs="Arial" w:eastAsia="Arial" w:hAnsi="Arial"/>
                <w:sz w:val="16"/>
                <w:szCs w:val="16"/>
                <w:color w:val="auto"/>
              </w:rPr>
              <w:t>Contract Liabilities, end of period</w:t>
            </w:r>
          </w:p>
        </w:tc>
        <w:tc>
          <w:tcPr>
            <w:tcW w:w="4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476,776</w:t>
            </w:r>
          </w:p>
        </w:tc>
      </w:tr>
      <w:tr>
        <w:trPr>
          <w:trHeight w:val="20"/>
        </w:trPr>
        <w:tc>
          <w:tcPr>
            <w:tcW w:w="9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Remaining Performance Obligations</w:t>
      </w:r>
    </w:p>
    <w:p>
      <w:pPr>
        <w:spacing w:after="0" w:line="120" w:lineRule="exact"/>
        <w:rPr>
          <w:sz w:val="20"/>
          <w:szCs w:val="20"/>
          <w:color w:val="auto"/>
        </w:rPr>
      </w:pPr>
    </w:p>
    <w:p>
      <w:pPr>
        <w:ind w:right="860" w:firstLine="470"/>
        <w:spacing w:after="0" w:line="298" w:lineRule="auto"/>
        <w:rPr>
          <w:sz w:val="20"/>
          <w:szCs w:val="20"/>
          <w:color w:val="auto"/>
        </w:rPr>
      </w:pPr>
      <w:r>
        <w:rPr>
          <w:rFonts w:ascii="Arial" w:cs="Arial" w:eastAsia="Arial" w:hAnsi="Arial"/>
          <w:sz w:val="17"/>
          <w:szCs w:val="17"/>
          <w:color w:val="auto"/>
        </w:rPr>
        <w:t>Estimated revenue expected to be recognized in future periods related to performance obligations that are unsatisfied or partially unsatisfied at the end of the reporting period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24"/>
              <w:spacing w:after="0"/>
              <w:rPr>
                <w:sz w:val="20"/>
                <w:szCs w:val="20"/>
                <w:color w:val="auto"/>
              </w:rPr>
            </w:pPr>
            <w:r>
              <w:rPr>
                <w:rFonts w:ascii="Arial" w:cs="Arial" w:eastAsia="Arial" w:hAnsi="Arial"/>
                <w:sz w:val="14"/>
                <w:szCs w:val="14"/>
                <w:b w:val="1"/>
                <w:bCs w:val="1"/>
                <w:color w:val="auto"/>
                <w:w w:val="99"/>
              </w:rPr>
              <w:t>June 30,</w:t>
            </w:r>
          </w:p>
        </w:tc>
      </w:tr>
      <w:tr>
        <w:trPr>
          <w:trHeight w:val="183"/>
        </w:trPr>
        <w:tc>
          <w:tcPr>
            <w:tcW w:w="9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2024</w:t>
            </w:r>
          </w:p>
        </w:tc>
      </w:tr>
      <w:tr>
        <w:trPr>
          <w:trHeight w:val="185"/>
        </w:trPr>
        <w:tc>
          <w:tcPr>
            <w:tcW w:w="9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24"/>
              <w:spacing w:after="0"/>
              <w:rPr>
                <w:sz w:val="20"/>
                <w:szCs w:val="20"/>
                <w:color w:val="auto"/>
              </w:rPr>
            </w:pPr>
            <w:r>
              <w:rPr>
                <w:rFonts w:ascii="Arial" w:cs="Arial" w:eastAsia="Arial" w:hAnsi="Arial"/>
                <w:sz w:val="14"/>
                <w:szCs w:val="14"/>
                <w:i w:val="1"/>
                <w:iCs w:val="1"/>
                <w:color w:val="auto"/>
                <w:w w:val="98"/>
              </w:rPr>
              <w:t>(In thousands)</w:t>
            </w:r>
          </w:p>
        </w:tc>
      </w:tr>
      <w:tr>
        <w:trPr>
          <w:trHeight w:val="213"/>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year:</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8"/>
        </w:trPr>
        <w:tc>
          <w:tcPr>
            <w:tcW w:w="9800" w:type="dxa"/>
            <w:vAlign w:val="bottom"/>
          </w:tcPr>
          <w:p>
            <w:pPr>
              <w:ind w:left="140"/>
              <w:spacing w:after="0"/>
              <w:rPr>
                <w:sz w:val="20"/>
                <w:szCs w:val="20"/>
                <w:color w:val="auto"/>
              </w:rPr>
            </w:pPr>
            <w:r>
              <w:rPr>
                <w:rFonts w:ascii="Arial" w:cs="Arial" w:eastAsia="Arial" w:hAnsi="Arial"/>
                <w:sz w:val="16"/>
                <w:szCs w:val="16"/>
                <w:color w:val="auto"/>
              </w:rPr>
              <w:t>2024 (remaining six months)</w:t>
            </w: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62,818</w:t>
            </w:r>
          </w:p>
        </w:tc>
      </w:tr>
      <w:tr>
        <w:trPr>
          <w:trHeight w:val="210"/>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2025</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117,914</w:t>
            </w:r>
          </w:p>
        </w:tc>
      </w:tr>
      <w:tr>
        <w:trPr>
          <w:trHeight w:val="208"/>
        </w:trPr>
        <w:tc>
          <w:tcPr>
            <w:tcW w:w="9800" w:type="dxa"/>
            <w:vAlign w:val="bottom"/>
          </w:tcPr>
          <w:p>
            <w:pPr>
              <w:ind w:left="140"/>
              <w:spacing w:after="0"/>
              <w:rPr>
                <w:sz w:val="20"/>
                <w:szCs w:val="20"/>
                <w:color w:val="auto"/>
              </w:rPr>
            </w:pPr>
            <w:r>
              <w:rPr>
                <w:rFonts w:ascii="Arial" w:cs="Arial" w:eastAsia="Arial" w:hAnsi="Arial"/>
                <w:sz w:val="16"/>
                <w:szCs w:val="16"/>
                <w:color w:val="auto"/>
              </w:rPr>
              <w:t>2026</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100,983</w:t>
            </w:r>
          </w:p>
        </w:tc>
      </w:tr>
      <w:tr>
        <w:trPr>
          <w:trHeight w:val="210"/>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2027</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81,367</w:t>
            </w:r>
          </w:p>
        </w:tc>
      </w:tr>
      <w:tr>
        <w:trPr>
          <w:trHeight w:val="208"/>
        </w:trPr>
        <w:tc>
          <w:tcPr>
            <w:tcW w:w="9800" w:type="dxa"/>
            <w:vAlign w:val="bottom"/>
          </w:tcPr>
          <w:p>
            <w:pPr>
              <w:ind w:left="140"/>
              <w:spacing w:after="0"/>
              <w:rPr>
                <w:sz w:val="20"/>
                <w:szCs w:val="20"/>
                <w:color w:val="auto"/>
              </w:rPr>
            </w:pPr>
            <w:r>
              <w:rPr>
                <w:rFonts w:ascii="Arial" w:cs="Arial" w:eastAsia="Arial" w:hAnsi="Arial"/>
                <w:sz w:val="16"/>
                <w:szCs w:val="16"/>
                <w:color w:val="auto"/>
              </w:rPr>
              <w:t>2028</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60,125</w:t>
            </w:r>
          </w:p>
        </w:tc>
      </w:tr>
      <w:tr>
        <w:trPr>
          <w:trHeight w:val="209"/>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53,569</w:t>
            </w:r>
          </w:p>
        </w:tc>
      </w:tr>
      <w:tr>
        <w:trPr>
          <w:trHeight w:val="203"/>
        </w:trPr>
        <w:tc>
          <w:tcPr>
            <w:tcW w:w="9800" w:type="dxa"/>
            <w:vAlign w:val="bottom"/>
          </w:tcPr>
          <w:p>
            <w:pPr>
              <w:ind w:left="2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476,776</w:t>
            </w:r>
          </w:p>
        </w:tc>
      </w:tr>
      <w:tr>
        <w:trPr>
          <w:trHeight w:val="20"/>
        </w:trPr>
        <w:tc>
          <w:tcPr>
            <w:tcW w:w="9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3.</w:t>
        <w:tab/>
        <w:t>OTHER FINANCIAL INFORMATION</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Inventory</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Inventory consists of the following: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Arial" w:cs="Arial" w:eastAsia="Arial" w:hAnsi="Arial"/>
                <w:sz w:val="14"/>
                <w:szCs w:val="14"/>
                <w:b w:val="1"/>
                <w:bCs w:val="1"/>
                <w:color w:val="auto"/>
              </w:rPr>
              <w:t>December 31,</w:t>
            </w:r>
          </w:p>
        </w:tc>
      </w:tr>
      <w:tr>
        <w:trPr>
          <w:trHeight w:val="179"/>
        </w:trPr>
        <w:tc>
          <w:tcPr>
            <w:tcW w:w="8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2023</w:t>
            </w:r>
          </w:p>
        </w:tc>
      </w:tr>
      <w:tr>
        <w:trPr>
          <w:trHeight w:val="224"/>
        </w:trPr>
        <w:tc>
          <w:tcPr>
            <w:tcW w:w="8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gridSpan w:val="4"/>
          </w:tcPr>
          <w:p>
            <w:pPr>
              <w:jc w:val="right"/>
              <w:ind w:right="965"/>
              <w:spacing w:after="0"/>
              <w:rPr>
                <w:sz w:val="20"/>
                <w:szCs w:val="20"/>
                <w:color w:val="auto"/>
              </w:rPr>
            </w:pPr>
            <w:r>
              <w:rPr>
                <w:rFonts w:ascii="Arial" w:cs="Arial" w:eastAsia="Arial" w:hAnsi="Arial"/>
                <w:sz w:val="14"/>
                <w:szCs w:val="14"/>
                <w:i w:val="1"/>
                <w:iCs w:val="1"/>
                <w:color w:val="auto"/>
              </w:rPr>
              <w:t>(In thousands)</w:t>
            </w: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30,849</w:t>
            </w:r>
          </w:p>
        </w:tc>
      </w:tr>
      <w:tr>
        <w:trPr>
          <w:trHeight w:val="208"/>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Finished goods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126,599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182,746</w:t>
            </w:r>
          </w:p>
        </w:tc>
      </w:tr>
      <w:tr>
        <w:trPr>
          <w:trHeight w:val="227"/>
        </w:trPr>
        <w:tc>
          <w:tcPr>
            <w:tcW w:w="8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inventory</w:t>
            </w: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176,068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213,595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Accrued Liabilities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Accrued liabilities consist of the following: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40" w:type="dxa"/>
            <w:vAlign w:val="bottom"/>
          </w:tcPr>
          <w:p>
            <w:pPr>
              <w:jc w:val="right"/>
              <w:ind w:right="183"/>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8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2023</w:t>
            </w:r>
          </w:p>
        </w:tc>
      </w:tr>
      <w:tr>
        <w:trPr>
          <w:trHeight w:val="224"/>
        </w:trPr>
        <w:tc>
          <w:tcPr>
            <w:tcW w:w="8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gridSpan w:val="4"/>
          </w:tcPr>
          <w:p>
            <w:pPr>
              <w:jc w:val="right"/>
              <w:ind w:right="963"/>
              <w:spacing w:after="0"/>
              <w:rPr>
                <w:sz w:val="20"/>
                <w:szCs w:val="20"/>
                <w:color w:val="auto"/>
              </w:rPr>
            </w:pPr>
            <w:r>
              <w:rPr>
                <w:rFonts w:ascii="Arial" w:cs="Arial" w:eastAsia="Arial" w:hAnsi="Arial"/>
                <w:sz w:val="14"/>
                <w:szCs w:val="14"/>
                <w:i w:val="1"/>
                <w:iCs w:val="1"/>
                <w:color w:val="auto"/>
              </w:rPr>
              <w:t>(In thousands)</w:t>
            </w: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rebates and sales incentives</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158,338</w:t>
            </w: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Liability due to supply agreements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36,691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32,973</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Freight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19,262</w:t>
            </w: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Salaries, commissions, incentive compensation and benefits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12,328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10,316</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payable</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8,531</w:t>
            </w: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Operating lease liabilities, current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5,220</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VAT payable</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3,243</w:t>
            </w: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Liabilities related to restructuring accruals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3,104</w:t>
            </w:r>
          </w:p>
        </w:tc>
      </w:tr>
      <w:tr>
        <w:trPr>
          <w:trHeight w:val="20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29,387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20,932</w:t>
            </w:r>
          </w:p>
        </w:tc>
      </w:tr>
      <w:tr>
        <w:trPr>
          <w:trHeight w:val="203"/>
        </w:trPr>
        <w:tc>
          <w:tcPr>
            <w:tcW w:w="8260" w:type="dxa"/>
            <w:vAlign w:val="bottom"/>
          </w:tcPr>
          <w:p>
            <w:pPr>
              <w:ind w:left="120"/>
              <w:spacing w:after="0"/>
              <w:rPr>
                <w:sz w:val="20"/>
                <w:szCs w:val="20"/>
                <w:color w:val="auto"/>
              </w:rPr>
            </w:pPr>
            <w:r>
              <w:rPr>
                <w:rFonts w:ascii="Arial" w:cs="Arial" w:eastAsia="Arial" w:hAnsi="Arial"/>
                <w:sz w:val="16"/>
                <w:szCs w:val="16"/>
                <w:color w:val="auto"/>
              </w:rPr>
              <w:t>Total accrued liabilities</w:t>
            </w: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197,556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261,919</w:t>
            </w:r>
          </w:p>
        </w:tc>
      </w:tr>
      <w:tr>
        <w:trPr>
          <w:trHeight w:val="20"/>
        </w:trPr>
        <w:tc>
          <w:tcPr>
            <w:tcW w:w="8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66"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4.</w:t>
        <w:tab/>
        <w:t>GOODWILL AND INTANGIBLE ASSETS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Company’s goodwill as of June 30, 2024 and December 31, 2023 was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Goodwill</w:t>
            </w: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9"/>
        </w:trPr>
        <w:tc>
          <w:tcPr>
            <w:tcW w:w="8260" w:type="dxa"/>
            <w:vAlign w:val="bottom"/>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8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gridSpan w:val="4"/>
          </w:tcPr>
          <w:p>
            <w:pPr>
              <w:jc w:val="right"/>
              <w:ind w:right="965"/>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beginning of period</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214,562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213,559</w:t>
            </w:r>
          </w:p>
        </w:tc>
        <w:tc>
          <w:tcPr>
            <w:tcW w:w="0" w:type="dxa"/>
            <w:vAlign w:val="bottom"/>
          </w:tcPr>
          <w:p>
            <w:pPr>
              <w:spacing w:after="0"/>
              <w:rPr>
                <w:sz w:val="1"/>
                <w:szCs w:val="1"/>
                <w:color w:val="auto"/>
              </w:rPr>
            </w:pPr>
          </w:p>
        </w:tc>
      </w:tr>
      <w:tr>
        <w:trPr>
          <w:trHeight w:val="208"/>
        </w:trPr>
        <w:tc>
          <w:tcPr>
            <w:tcW w:w="82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Currency translation adjustment</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1,003</w:t>
            </w:r>
          </w:p>
        </w:tc>
        <w:tc>
          <w:tcPr>
            <w:tcW w:w="0" w:type="dxa"/>
            <w:vAlign w:val="bottom"/>
          </w:tcPr>
          <w:p>
            <w:pPr>
              <w:spacing w:after="0"/>
              <w:rPr>
                <w:sz w:val="1"/>
                <w:szCs w:val="1"/>
                <w:color w:val="auto"/>
              </w:rPr>
            </w:pPr>
          </w:p>
        </w:tc>
      </w:tr>
      <w:tr>
        <w:trPr>
          <w:trHeight w:val="22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end of period</w:t>
            </w: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213,239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214,562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Company’s purchased intangible assets as of June 30, 2024 and December 31, 2023 were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8"/>
              </w:rPr>
              <w:t>June 30, 2024</w:t>
            </w: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December 31, 2023</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3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vMerge w:val="restart"/>
          </w:tcPr>
          <w:p>
            <w:pPr>
              <w:jc w:val="right"/>
              <w:ind w:right="224"/>
              <w:spacing w:after="0"/>
              <w:rPr>
                <w:sz w:val="20"/>
                <w:szCs w:val="20"/>
                <w:color w:val="auto"/>
              </w:rPr>
            </w:pPr>
            <w:r>
              <w:rPr>
                <w:rFonts w:ascii="Arial" w:cs="Arial" w:eastAsia="Arial" w:hAnsi="Arial"/>
                <w:sz w:val="12"/>
                <w:szCs w:val="12"/>
                <w:b w:val="1"/>
                <w:bCs w:val="1"/>
                <w:color w:val="auto"/>
              </w:rPr>
              <w:t>Gross</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tcPr>
          <w:p>
            <w:pPr>
              <w:jc w:val="center"/>
              <w:ind w:right="220"/>
              <w:spacing w:after="0" w:line="111" w:lineRule="exact"/>
              <w:rPr>
                <w:sz w:val="20"/>
                <w:szCs w:val="20"/>
                <w:color w:val="auto"/>
              </w:rPr>
            </w:pPr>
            <w:r>
              <w:rPr>
                <w:rFonts w:ascii="Arial" w:cs="Arial" w:eastAsia="Arial" w:hAnsi="Arial"/>
                <w:sz w:val="12"/>
                <w:szCs w:val="12"/>
                <w:b w:val="1"/>
                <w:bCs w:val="1"/>
                <w:color w:val="auto"/>
              </w:rPr>
              <w:t>Accumulated</w:t>
            </w:r>
          </w:p>
        </w:tc>
        <w:tc>
          <w:tcPr>
            <w:tcW w:w="260" w:type="dxa"/>
            <w:vAlign w:val="bottom"/>
          </w:tcPr>
          <w:p>
            <w:pPr>
              <w:spacing w:after="0"/>
              <w:rPr>
                <w:sz w:val="9"/>
                <w:szCs w:val="9"/>
                <w:color w:val="auto"/>
              </w:rPr>
            </w:pPr>
          </w:p>
        </w:tc>
        <w:tc>
          <w:tcPr>
            <w:tcW w:w="720" w:type="dxa"/>
            <w:vAlign w:val="bottom"/>
            <w:vMerge w:val="restart"/>
          </w:tcPr>
          <w:p>
            <w:pPr>
              <w:jc w:val="right"/>
              <w:ind w:right="304"/>
              <w:spacing w:after="0"/>
              <w:rPr>
                <w:sz w:val="20"/>
                <w:szCs w:val="20"/>
                <w:color w:val="auto"/>
              </w:rPr>
            </w:pPr>
            <w:r>
              <w:rPr>
                <w:rFonts w:ascii="Arial" w:cs="Arial" w:eastAsia="Arial" w:hAnsi="Arial"/>
                <w:sz w:val="12"/>
                <w:szCs w:val="12"/>
                <w:b w:val="1"/>
                <w:bCs w:val="1"/>
                <w:color w:val="auto"/>
              </w:rPr>
              <w:t>Net</w:t>
            </w:r>
          </w:p>
        </w:tc>
        <w:tc>
          <w:tcPr>
            <w:tcW w:w="1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vMerge w:val="restart"/>
          </w:tcPr>
          <w:p>
            <w:pPr>
              <w:jc w:val="right"/>
              <w:ind w:right="244"/>
              <w:spacing w:after="0"/>
              <w:rPr>
                <w:sz w:val="20"/>
                <w:szCs w:val="20"/>
                <w:color w:val="auto"/>
              </w:rPr>
            </w:pPr>
            <w:r>
              <w:rPr>
                <w:rFonts w:ascii="Arial" w:cs="Arial" w:eastAsia="Arial" w:hAnsi="Arial"/>
                <w:sz w:val="12"/>
                <w:szCs w:val="12"/>
                <w:b w:val="1"/>
                <w:bCs w:val="1"/>
                <w:color w:val="auto"/>
              </w:rPr>
              <w:t>Gross</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2"/>
          </w:tcPr>
          <w:p>
            <w:pPr>
              <w:ind w:left="20"/>
              <w:spacing w:after="0" w:line="111" w:lineRule="exact"/>
              <w:rPr>
                <w:sz w:val="20"/>
                <w:szCs w:val="20"/>
                <w:color w:val="auto"/>
              </w:rPr>
            </w:pPr>
            <w:r>
              <w:rPr>
                <w:rFonts w:ascii="Arial" w:cs="Arial" w:eastAsia="Arial" w:hAnsi="Arial"/>
                <w:sz w:val="12"/>
                <w:szCs w:val="12"/>
                <w:b w:val="1"/>
                <w:bCs w:val="1"/>
                <w:color w:val="auto"/>
              </w:rPr>
              <w:t>Accumulated</w:t>
            </w:r>
          </w:p>
        </w:tc>
        <w:tc>
          <w:tcPr>
            <w:tcW w:w="140" w:type="dxa"/>
            <w:vAlign w:val="bottom"/>
          </w:tcPr>
          <w:p>
            <w:pPr>
              <w:spacing w:after="0"/>
              <w:rPr>
                <w:sz w:val="9"/>
                <w:szCs w:val="9"/>
                <w:color w:val="auto"/>
              </w:rPr>
            </w:pPr>
          </w:p>
        </w:tc>
        <w:tc>
          <w:tcPr>
            <w:tcW w:w="860" w:type="dxa"/>
            <w:vAlign w:val="bottom"/>
            <w:vMerge w:val="restart"/>
          </w:tcPr>
          <w:p>
            <w:pPr>
              <w:jc w:val="right"/>
              <w:ind w:right="82"/>
              <w:spacing w:after="0"/>
              <w:rPr>
                <w:sz w:val="20"/>
                <w:szCs w:val="20"/>
                <w:color w:val="auto"/>
              </w:rPr>
            </w:pPr>
            <w:r>
              <w:rPr>
                <w:rFonts w:ascii="Arial" w:cs="Arial" w:eastAsia="Arial" w:hAnsi="Arial"/>
                <w:sz w:val="12"/>
                <w:szCs w:val="12"/>
                <w:b w:val="1"/>
                <w:bCs w:val="1"/>
                <w:color w:val="auto"/>
              </w:rPr>
              <w:t>Impairment</w:t>
            </w:r>
          </w:p>
        </w:tc>
        <w:tc>
          <w:tcPr>
            <w:tcW w:w="100" w:type="dxa"/>
            <w:vAlign w:val="bottom"/>
            <w:vMerge w:val="restart"/>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vMerge w:val="restart"/>
          </w:tcPr>
          <w:p>
            <w:pPr>
              <w:jc w:val="right"/>
              <w:ind w:right="324"/>
              <w:spacing w:after="0"/>
              <w:rPr>
                <w:sz w:val="20"/>
                <w:szCs w:val="20"/>
                <w:color w:val="auto"/>
              </w:rPr>
            </w:pPr>
            <w:r>
              <w:rPr>
                <w:rFonts w:ascii="Arial" w:cs="Arial" w:eastAsia="Arial" w:hAnsi="Arial"/>
                <w:sz w:val="12"/>
                <w:szCs w:val="12"/>
                <w:b w:val="1"/>
                <w:bCs w:val="1"/>
                <w:color w:val="auto"/>
              </w:rPr>
              <w:t>Net</w:t>
            </w:r>
          </w:p>
        </w:tc>
        <w:tc>
          <w:tcPr>
            <w:tcW w:w="0" w:type="dxa"/>
            <w:vAlign w:val="bottom"/>
          </w:tcPr>
          <w:p>
            <w:pPr>
              <w:spacing w:after="0"/>
              <w:rPr>
                <w:sz w:val="1"/>
                <w:szCs w:val="1"/>
                <w:color w:val="auto"/>
              </w:rPr>
            </w:pPr>
          </w:p>
        </w:tc>
      </w:tr>
      <w:tr>
        <w:trPr>
          <w:trHeight w:val="179"/>
        </w:trPr>
        <w:tc>
          <w:tcPr>
            <w:tcW w:w="3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67"/>
              <w:spacing w:after="0"/>
              <w:rPr>
                <w:sz w:val="20"/>
                <w:szCs w:val="20"/>
                <w:color w:val="auto"/>
              </w:rPr>
            </w:pPr>
            <w:r>
              <w:rPr>
                <w:rFonts w:ascii="Arial" w:cs="Arial" w:eastAsia="Arial" w:hAnsi="Arial"/>
                <w:sz w:val="12"/>
                <w:szCs w:val="12"/>
                <w:b w:val="1"/>
                <w:bCs w:val="1"/>
                <w:color w:val="auto"/>
              </w:rPr>
              <w:t>Amortization</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Amortization</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37"/>
        </w:trPr>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00" w:type="dxa"/>
            <w:vAlign w:val="bottom"/>
          </w:tcPr>
          <w:p>
            <w:pPr>
              <w:ind w:left="220"/>
              <w:spacing w:after="0"/>
              <w:rPr>
                <w:sz w:val="20"/>
                <w:szCs w:val="20"/>
                <w:color w:val="auto"/>
              </w:rPr>
            </w:pPr>
            <w:r>
              <w:rPr>
                <w:rFonts w:ascii="Arial" w:cs="Arial" w:eastAsia="Arial" w:hAnsi="Arial"/>
                <w:sz w:val="16"/>
                <w:szCs w:val="16"/>
                <w:color w:val="auto"/>
              </w:rPr>
              <w:t>Other indefinite-lived intangibles</w:t>
            </w: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18"/>
                <w:szCs w:val="18"/>
                <w:color w:val="auto"/>
              </w:rPr>
            </w:pPr>
          </w:p>
        </w:tc>
        <w:tc>
          <w:tcPr>
            <w:tcW w:w="200" w:type="dxa"/>
            <w:vAlign w:val="bottom"/>
          </w:tcPr>
          <w:p>
            <w:pPr>
              <w:jc w:val="right"/>
              <w:ind w:right="25"/>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Intangible assets with finite lives: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00" w:type="dxa"/>
            <w:vAlign w:val="bottom"/>
          </w:tcPr>
          <w:p>
            <w:pPr>
              <w:ind w:left="260"/>
              <w:spacing w:after="0"/>
              <w:rPr>
                <w:sz w:val="20"/>
                <w:szCs w:val="20"/>
                <w:color w:val="auto"/>
              </w:rPr>
            </w:pPr>
            <w:r>
              <w:rPr>
                <w:rFonts w:ascii="Arial" w:cs="Arial" w:eastAsia="Arial" w:hAnsi="Arial"/>
                <w:sz w:val="16"/>
                <w:szCs w:val="16"/>
                <w:color w:val="auto"/>
              </w:rPr>
              <w:t>Developed technology</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51,054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(32,017)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19,037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51,044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ind w:left="360"/>
              <w:spacing w:after="0"/>
              <w:rPr>
                <w:sz w:val="20"/>
                <w:szCs w:val="20"/>
                <w:color w:val="auto"/>
              </w:rPr>
            </w:pPr>
            <w:r>
              <w:rPr>
                <w:rFonts w:ascii="Arial" w:cs="Arial" w:eastAsia="Arial" w:hAnsi="Arial"/>
                <w:sz w:val="16"/>
                <w:szCs w:val="16"/>
                <w:color w:val="auto"/>
                <w:w w:val="97"/>
              </w:rPr>
              <w:t>(27,093)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23,951</w:t>
            </w: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Customer relationships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(32,671)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7"/>
              </w:rPr>
              <w:t>(29,527)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21,772</w:t>
            </w:r>
          </w:p>
        </w:tc>
        <w:tc>
          <w:tcPr>
            <w:tcW w:w="0" w:type="dxa"/>
            <w:vAlign w:val="bottom"/>
          </w:tcPr>
          <w:p>
            <w:pPr>
              <w:spacing w:after="0"/>
              <w:rPr>
                <w:sz w:val="1"/>
                <w:szCs w:val="1"/>
                <w:color w:val="auto"/>
              </w:rPr>
            </w:pPr>
          </w:p>
        </w:tc>
      </w:tr>
      <w:tr>
        <w:trPr>
          <w:trHeight w:val="222"/>
        </w:trPr>
        <w:tc>
          <w:tcPr>
            <w:tcW w:w="3500" w:type="dxa"/>
            <w:vAlign w:val="bottom"/>
          </w:tcPr>
          <w:p>
            <w:pPr>
              <w:ind w:left="260"/>
              <w:spacing w:after="0"/>
              <w:rPr>
                <w:sz w:val="20"/>
                <w:szCs w:val="20"/>
                <w:color w:val="auto"/>
              </w:rPr>
            </w:pPr>
            <w:r>
              <w:rPr>
                <w:rFonts w:ascii="Arial" w:cs="Arial" w:eastAsia="Arial" w:hAnsi="Arial"/>
                <w:sz w:val="16"/>
                <w:szCs w:val="16"/>
                <w:color w:val="auto"/>
              </w:rPr>
              <w:t>Trade names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37,700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(18,943)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18,757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37,700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ind w:left="360"/>
              <w:spacing w:after="0"/>
              <w:rPr>
                <w:sz w:val="20"/>
                <w:szCs w:val="20"/>
                <w:color w:val="auto"/>
              </w:rPr>
            </w:pPr>
            <w:r>
              <w:rPr>
                <w:rFonts w:ascii="Arial" w:cs="Arial" w:eastAsia="Arial" w:hAnsi="Arial"/>
                <w:sz w:val="16"/>
                <w:szCs w:val="16"/>
                <w:color w:val="auto"/>
                <w:w w:val="97"/>
              </w:rPr>
              <w:t>(15,173)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22,527</w:t>
            </w:r>
          </w:p>
        </w:tc>
        <w:tc>
          <w:tcPr>
            <w:tcW w:w="0" w:type="dxa"/>
            <w:vAlign w:val="bottom"/>
          </w:tcPr>
          <w:p>
            <w:pPr>
              <w:spacing w:after="0"/>
              <w:rPr>
                <w:sz w:val="1"/>
                <w:szCs w:val="1"/>
                <w:color w:val="auto"/>
              </w:rPr>
            </w:pPr>
          </w:p>
        </w:tc>
      </w:tr>
      <w:tr>
        <w:trPr>
          <w:trHeight w:val="227"/>
        </w:trPr>
        <w:tc>
          <w:tcPr>
            <w:tcW w:w="350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purchased intangible assets</w:t>
            </w:r>
          </w:p>
        </w:tc>
        <w:tc>
          <w:tcPr>
            <w:tcW w:w="22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140,346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(83,631)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56,715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144,136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w w:val="97"/>
              </w:rPr>
              <w:t>(71,793)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68,536</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right="360" w:firstLine="470"/>
        <w:spacing w:after="0" w:line="298" w:lineRule="auto"/>
        <w:rPr>
          <w:sz w:val="20"/>
          <w:szCs w:val="20"/>
          <w:color w:val="auto"/>
        </w:rPr>
      </w:pPr>
      <w:r>
        <w:rPr>
          <w:rFonts w:ascii="Arial" w:cs="Arial" w:eastAsia="Arial" w:hAnsi="Arial"/>
          <w:sz w:val="17"/>
          <w:szCs w:val="17"/>
          <w:color w:val="auto"/>
        </w:rPr>
        <w:t>During the six months ended June 30, 2024, intangible assets decreased by less than $0.1 million due to the impact of foreign currency translation.</w:t>
      </w:r>
    </w:p>
    <w:p>
      <w:pPr>
        <w:spacing w:after="0" w:line="3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Amortization expense related to finite-lived intangible assets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440" w:type="dxa"/>
            <w:vAlign w:val="bottom"/>
            <w:gridSpan w:val="4"/>
          </w:tcPr>
          <w:p>
            <w:pPr>
              <w:jc w:val="right"/>
              <w:ind w:right="225"/>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r>
      <w:tr>
        <w:trPr>
          <w:trHeight w:val="179"/>
        </w:trPr>
        <w:tc>
          <w:tcPr>
            <w:tcW w:w="52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605"/>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r>
      <w:tr>
        <w:trPr>
          <w:trHeight w:val="189"/>
        </w:trPr>
        <w:tc>
          <w:tcPr>
            <w:tcW w:w="52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w w:val="96"/>
              </w:rPr>
              <w:t>2023</w:t>
            </w:r>
          </w:p>
        </w:tc>
      </w:tr>
      <w:tr>
        <w:trPr>
          <w:trHeight w:val="224"/>
        </w:trPr>
        <w:tc>
          <w:tcPr>
            <w:tcW w:w="5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80" w:type="dxa"/>
            <w:vAlign w:val="bottom"/>
            <w:gridSpan w:val="3"/>
          </w:tcPr>
          <w:p>
            <w:pPr>
              <w:jc w:val="right"/>
              <w:ind w:right="2"/>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3"/>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920" w:type="dxa"/>
            <w:vAlign w:val="bottom"/>
            <w:shd w:val="clear" w:color="auto" w:fill="CCEEFF"/>
          </w:tcPr>
          <w:p>
            <w:pPr>
              <w:jc w:val="right"/>
              <w:ind w:right="746"/>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5"/>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4,925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4,910</w:t>
            </w:r>
          </w:p>
        </w:tc>
      </w:tr>
      <w:tr>
        <w:trPr>
          <w:trHeight w:val="208"/>
        </w:trPr>
        <w:tc>
          <w:tcPr>
            <w:tcW w:w="524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1,567</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2,454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5"/>
              <w:spacing w:after="0"/>
              <w:rPr>
                <w:sz w:val="20"/>
                <w:szCs w:val="20"/>
                <w:color w:val="auto"/>
              </w:rPr>
            </w:pPr>
            <w:r>
              <w:rPr>
                <w:rFonts w:ascii="Arial" w:cs="Arial" w:eastAsia="Arial" w:hAnsi="Arial"/>
                <w:sz w:val="16"/>
                <w:szCs w:val="16"/>
                <w:color w:val="auto"/>
              </w:rPr>
              <w:t>3,143</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4,908</w:t>
            </w:r>
          </w:p>
        </w:tc>
      </w:tr>
      <w:tr>
        <w:trPr>
          <w:trHeight w:val="20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1,885</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1,885</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3,770</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3,770</w:t>
            </w:r>
          </w:p>
        </w:tc>
      </w:tr>
      <w:tr>
        <w:trPr>
          <w:trHeight w:val="203"/>
        </w:trPr>
        <w:tc>
          <w:tcPr>
            <w:tcW w:w="5240" w:type="dxa"/>
            <w:vAlign w:val="bottom"/>
          </w:tcPr>
          <w:p>
            <w:pPr>
              <w:ind w:left="140"/>
              <w:spacing w:after="0"/>
              <w:rPr>
                <w:sz w:val="20"/>
                <w:szCs w:val="20"/>
                <w:color w:val="auto"/>
              </w:rPr>
            </w:pPr>
            <w:r>
              <w:rPr>
                <w:rFonts w:ascii="Arial" w:cs="Arial" w:eastAsia="Arial" w:hAnsi="Arial"/>
                <w:sz w:val="16"/>
                <w:szCs w:val="16"/>
                <w:color w:val="auto"/>
              </w:rPr>
              <w:t>Total amortization expense</w:t>
            </w:r>
          </w:p>
        </w:tc>
        <w:tc>
          <w:tcPr>
            <w:tcW w:w="920" w:type="dxa"/>
            <w:vAlign w:val="bottom"/>
            <w:tcBorders>
              <w:bottom w:val="single" w:sz="8" w:color="auto"/>
            </w:tcBorders>
          </w:tcPr>
          <w:p>
            <w:pPr>
              <w:jc w:val="right"/>
              <w:ind w:right="746"/>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5,910</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ind w:right="745"/>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6,794</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11,838</w:t>
            </w:r>
          </w:p>
        </w:tc>
        <w:tc>
          <w:tcPr>
            <w:tcW w:w="80" w:type="dxa"/>
            <w:vAlign w:val="bottom"/>
          </w:tcPr>
          <w:p>
            <w:pPr>
              <w:spacing w:after="0"/>
              <w:rPr>
                <w:sz w:val="17"/>
                <w:szCs w:val="17"/>
                <w:color w:val="auto"/>
              </w:rPr>
            </w:pPr>
          </w:p>
        </w:tc>
        <w:tc>
          <w:tcPr>
            <w:tcW w:w="56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13,588</w:t>
            </w:r>
          </w:p>
        </w:tc>
      </w:tr>
      <w:tr>
        <w:trPr>
          <w:trHeight w:val="20"/>
        </w:trPr>
        <w:tc>
          <w:tcPr>
            <w:tcW w:w="5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Amortization of developed technology is recorded to cost of revenues, amortization of customer relationships and trade names are recorded to sales and marketing expense, and amortization of certain customer relationships is recorded as a reduction to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jc w:val="both"/>
        <w:ind w:firstLine="470"/>
        <w:spacing w:after="0" w:line="265" w:lineRule="auto"/>
        <w:rPr>
          <w:sz w:val="20"/>
          <w:szCs w:val="20"/>
          <w:color w:val="auto"/>
        </w:rPr>
      </w:pPr>
      <w:r>
        <w:rPr>
          <w:rFonts w:ascii="Arial" w:cs="Arial" w:eastAsia="Arial" w:hAnsi="Arial"/>
          <w:sz w:val="17"/>
          <w:szCs w:val="17"/>
          <w:color w:val="auto"/>
        </w:rPr>
        <w:t>Finite-lived intangible assets are tested for impairment whenever an event occurs or circumstances indicate that the carrying amount of an asset (asset group) may not be recoverable. An impairment loss is recognized when the carrying amount of an asset group exceeds the estimated undiscounted cash flows. As of June 30, 2024, the balance of customer intangible relationship assets is $18.6 million, which includes $8.1 million related to one customer. This customer is experiencing considerable financial difficulties as of July 23, 2024. The management has evaluated that the carrying amount of that asset as of June 30, 2024 is recoverable and will continue to evaluate the impacts on its financial statements as more information is publicly available.</w:t>
      </w:r>
    </w:p>
    <w:p>
      <w:pPr>
        <w:spacing w:after="0" w:line="6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expected future amortization expense of intangible assets as of June 30, 2024 is presented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25"/>
              <w:spacing w:after="0"/>
              <w:rPr>
                <w:sz w:val="20"/>
                <w:szCs w:val="20"/>
                <w:color w:val="auto"/>
              </w:rPr>
            </w:pPr>
            <w:r>
              <w:rPr>
                <w:rFonts w:ascii="Arial" w:cs="Arial" w:eastAsia="Arial" w:hAnsi="Arial"/>
                <w:sz w:val="14"/>
                <w:szCs w:val="14"/>
                <w:b w:val="1"/>
                <w:bCs w:val="1"/>
                <w:color w:val="auto"/>
                <w:w w:val="99"/>
              </w:rPr>
              <w:t>June 30,</w:t>
            </w:r>
          </w:p>
        </w:tc>
      </w:tr>
      <w:tr>
        <w:trPr>
          <w:trHeight w:val="179"/>
        </w:trPr>
        <w:tc>
          <w:tcPr>
            <w:tcW w:w="9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rPr>
              <w:t>2024</w:t>
            </w:r>
          </w:p>
        </w:tc>
      </w:tr>
      <w:tr>
        <w:trPr>
          <w:trHeight w:val="185"/>
        </w:trPr>
        <w:tc>
          <w:tcPr>
            <w:tcW w:w="9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25"/>
              <w:spacing w:after="0"/>
              <w:rPr>
                <w:sz w:val="20"/>
                <w:szCs w:val="20"/>
                <w:color w:val="auto"/>
              </w:rPr>
            </w:pPr>
            <w:r>
              <w:rPr>
                <w:rFonts w:ascii="Arial" w:cs="Arial" w:eastAsia="Arial" w:hAnsi="Arial"/>
                <w:sz w:val="14"/>
                <w:szCs w:val="14"/>
                <w:i w:val="1"/>
                <w:iCs w:val="1"/>
                <w:color w:val="auto"/>
                <w:w w:val="98"/>
              </w:rPr>
              <w:t>(In thousands)</w:t>
            </w:r>
          </w:p>
        </w:tc>
      </w:tr>
      <w:tr>
        <w:trPr>
          <w:trHeight w:val="213"/>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year:</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8"/>
        </w:trPr>
        <w:tc>
          <w:tcPr>
            <w:tcW w:w="9800" w:type="dxa"/>
            <w:vAlign w:val="bottom"/>
          </w:tcPr>
          <w:p>
            <w:pPr>
              <w:ind w:left="140"/>
              <w:spacing w:after="0"/>
              <w:rPr>
                <w:sz w:val="20"/>
                <w:szCs w:val="20"/>
                <w:color w:val="auto"/>
              </w:rPr>
            </w:pPr>
            <w:r>
              <w:rPr>
                <w:rFonts w:ascii="Arial" w:cs="Arial" w:eastAsia="Arial" w:hAnsi="Arial"/>
                <w:sz w:val="16"/>
                <w:szCs w:val="16"/>
                <w:color w:val="auto"/>
              </w:rPr>
              <w:t>2024 (remaining six months)</w:t>
            </w: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10,887</w:t>
            </w:r>
          </w:p>
        </w:tc>
      </w:tr>
      <w:tr>
        <w:trPr>
          <w:trHeight w:val="210"/>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2025</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21,370</w:t>
            </w:r>
          </w:p>
        </w:tc>
      </w:tr>
      <w:tr>
        <w:trPr>
          <w:trHeight w:val="208"/>
        </w:trPr>
        <w:tc>
          <w:tcPr>
            <w:tcW w:w="9800" w:type="dxa"/>
            <w:vAlign w:val="bottom"/>
          </w:tcPr>
          <w:p>
            <w:pPr>
              <w:ind w:left="140"/>
              <w:spacing w:after="0"/>
              <w:rPr>
                <w:sz w:val="20"/>
                <w:szCs w:val="20"/>
                <w:color w:val="auto"/>
              </w:rPr>
            </w:pPr>
            <w:r>
              <w:rPr>
                <w:rFonts w:ascii="Arial" w:cs="Arial" w:eastAsia="Arial" w:hAnsi="Arial"/>
                <w:sz w:val="16"/>
                <w:szCs w:val="16"/>
                <w:color w:val="auto"/>
              </w:rPr>
              <w:t>2026</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19,080</w:t>
            </w:r>
          </w:p>
        </w:tc>
      </w:tr>
      <w:tr>
        <w:trPr>
          <w:trHeight w:val="209"/>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2027</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5,092</w:t>
            </w:r>
          </w:p>
        </w:tc>
      </w:tr>
      <w:tr>
        <w:trPr>
          <w:trHeight w:val="203"/>
        </w:trPr>
        <w:tc>
          <w:tcPr>
            <w:tcW w:w="9800" w:type="dxa"/>
            <w:vAlign w:val="bottom"/>
          </w:tcPr>
          <w:p>
            <w:pPr>
              <w:ind w:left="2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56,429</w:t>
            </w:r>
          </w:p>
        </w:tc>
      </w:tr>
      <w:tr>
        <w:trPr>
          <w:trHeight w:val="20"/>
        </w:trPr>
        <w:tc>
          <w:tcPr>
            <w:tcW w:w="9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5.</w:t>
        <w:tab/>
        <w:t>CASH EQUIVALENTS AND MARKETABLE SECURITIES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cash equivalents and marketable securities consist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rPr>
              <w:t>As of June 30, 2024</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tcPr>
          <w:p>
            <w:pPr>
              <w:ind w:left="40"/>
              <w:spacing w:after="0" w:line="137" w:lineRule="exact"/>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7" w:lineRule="exact"/>
              <w:rPr>
                <w:sz w:val="20"/>
                <w:szCs w:val="20"/>
                <w:color w:val="auto"/>
              </w:rPr>
            </w:pPr>
            <w:r>
              <w:rPr>
                <w:rFonts w:ascii="Arial" w:cs="Arial" w:eastAsia="Arial" w:hAnsi="Arial"/>
                <w:sz w:val="14"/>
                <w:szCs w:val="14"/>
                <w:b w:val="1"/>
                <w:bCs w:val="1"/>
                <w:color w:val="auto"/>
                <w:w w:val="98"/>
              </w:rPr>
              <w:t>Gross Unrealized</w:t>
            </w:r>
          </w:p>
        </w:tc>
        <w:tc>
          <w:tcPr>
            <w:tcW w:w="120" w:type="dxa"/>
            <w:vAlign w:val="bottom"/>
          </w:tcPr>
          <w:p>
            <w:pPr>
              <w:spacing w:after="0"/>
              <w:rPr>
                <w:sz w:val="11"/>
                <w:szCs w:val="11"/>
                <w:color w:val="auto"/>
              </w:rPr>
            </w:pPr>
          </w:p>
        </w:tc>
        <w:tc>
          <w:tcPr>
            <w:tcW w:w="1400" w:type="dxa"/>
            <w:vAlign w:val="bottom"/>
            <w:gridSpan w:val="2"/>
          </w:tcPr>
          <w:p>
            <w:pPr>
              <w:jc w:val="center"/>
              <w:ind w:right="220"/>
              <w:spacing w:after="0" w:line="137" w:lineRule="exact"/>
              <w:rPr>
                <w:sz w:val="20"/>
                <w:szCs w:val="20"/>
                <w:color w:val="auto"/>
              </w:rPr>
            </w:pPr>
            <w:r>
              <w:rPr>
                <w:rFonts w:ascii="Arial" w:cs="Arial" w:eastAsia="Arial" w:hAnsi="Arial"/>
                <w:sz w:val="14"/>
                <w:szCs w:val="14"/>
                <w:b w:val="1"/>
                <w:bCs w:val="1"/>
                <w:color w:val="auto"/>
                <w:w w:val="98"/>
              </w:rPr>
              <w:t>Gross Unrealized</w:t>
            </w:r>
          </w:p>
        </w:tc>
        <w:tc>
          <w:tcPr>
            <w:tcW w:w="240" w:type="dxa"/>
            <w:vAlign w:val="bottom"/>
          </w:tcPr>
          <w:p>
            <w:pPr>
              <w:spacing w:after="0"/>
              <w:rPr>
                <w:sz w:val="11"/>
                <w:szCs w:val="11"/>
                <w:color w:val="auto"/>
              </w:rPr>
            </w:pPr>
          </w:p>
        </w:tc>
        <w:tc>
          <w:tcPr>
            <w:tcW w:w="1280" w:type="dxa"/>
            <w:vAlign w:val="bottom"/>
            <w:gridSpan w:val="2"/>
          </w:tcPr>
          <w:p>
            <w:pPr>
              <w:ind w:left="140"/>
              <w:spacing w:after="0" w:line="137"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1"/>
                <w:szCs w:val="11"/>
                <w:color w:val="auto"/>
              </w:rPr>
            </w:pPr>
          </w:p>
        </w:tc>
        <w:tc>
          <w:tcPr>
            <w:tcW w:w="1420" w:type="dxa"/>
            <w:vAlign w:val="bottom"/>
            <w:gridSpan w:val="2"/>
          </w:tcPr>
          <w:p>
            <w:pPr>
              <w:ind w:left="20"/>
              <w:spacing w:after="0" w:line="137" w:lineRule="exact"/>
              <w:rPr>
                <w:sz w:val="20"/>
                <w:szCs w:val="20"/>
                <w:color w:val="auto"/>
              </w:rPr>
            </w:pPr>
            <w:r>
              <w:rPr>
                <w:rFonts w:ascii="Arial" w:cs="Arial" w:eastAsia="Arial" w:hAnsi="Arial"/>
                <w:sz w:val="14"/>
                <w:szCs w:val="14"/>
                <w:b w:val="1"/>
                <w:bCs w:val="1"/>
                <w:color w:val="auto"/>
              </w:rPr>
              <w:t>Cash Equivalents</w:t>
            </w:r>
          </w:p>
        </w:tc>
        <w:tc>
          <w:tcPr>
            <w:tcW w:w="220" w:type="dxa"/>
            <w:vAlign w:val="bottom"/>
          </w:tcPr>
          <w:p>
            <w:pPr>
              <w:spacing w:after="0"/>
              <w:rPr>
                <w:sz w:val="11"/>
                <w:szCs w:val="11"/>
                <w:color w:val="auto"/>
              </w:rPr>
            </w:pPr>
          </w:p>
        </w:tc>
        <w:tc>
          <w:tcPr>
            <w:tcW w:w="1200" w:type="dxa"/>
            <w:vAlign w:val="bottom"/>
          </w:tcPr>
          <w:p>
            <w:pPr>
              <w:jc w:val="center"/>
              <w:ind w:right="144"/>
              <w:spacing w:after="0" w:line="137" w:lineRule="exact"/>
              <w:rPr>
                <w:sz w:val="20"/>
                <w:szCs w:val="20"/>
                <w:color w:val="auto"/>
              </w:rPr>
            </w:pPr>
            <w:r>
              <w:rPr>
                <w:rFonts w:ascii="Arial" w:cs="Arial" w:eastAsia="Arial" w:hAnsi="Arial"/>
                <w:sz w:val="14"/>
                <w:szCs w:val="14"/>
                <w:b w:val="1"/>
                <w:bCs w:val="1"/>
                <w:color w:val="auto"/>
              </w:rPr>
              <w:t>Marketable</w:t>
            </w:r>
          </w:p>
        </w:tc>
        <w:tc>
          <w:tcPr>
            <w:tcW w:w="0" w:type="dxa"/>
            <w:vAlign w:val="bottom"/>
          </w:tcPr>
          <w:p>
            <w:pPr>
              <w:spacing w:after="0"/>
              <w:rPr>
                <w:sz w:val="1"/>
                <w:szCs w:val="1"/>
                <w:color w:val="auto"/>
              </w:rPr>
            </w:pPr>
          </w:p>
        </w:tc>
      </w:tr>
      <w:tr>
        <w:trPr>
          <w:trHeight w:val="183"/>
        </w:trPr>
        <w:tc>
          <w:tcPr>
            <w:tcW w:w="2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7"/>
              </w:rPr>
              <w:t>Gains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9"/>
              </w:rPr>
              <w:t>Losses</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98"/>
              </w:rPr>
              <w:t>Securities</w:t>
            </w:r>
          </w:p>
        </w:tc>
        <w:tc>
          <w:tcPr>
            <w:tcW w:w="0" w:type="dxa"/>
            <w:vAlign w:val="bottom"/>
          </w:tcPr>
          <w:p>
            <w:pPr>
              <w:spacing w:after="0"/>
              <w:rPr>
                <w:sz w:val="1"/>
                <w:szCs w:val="1"/>
                <w:color w:val="auto"/>
              </w:rPr>
            </w:pPr>
          </w:p>
        </w:tc>
      </w:tr>
      <w:tr>
        <w:trPr>
          <w:trHeight w:val="224"/>
        </w:trPr>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5"/>
          </w:tcPr>
          <w:p>
            <w:pPr>
              <w:jc w:val="center"/>
              <w:ind w:right="200"/>
              <w:spacing w:after="0"/>
              <w:rPr>
                <w:sz w:val="20"/>
                <w:szCs w:val="20"/>
                <w:color w:val="auto"/>
              </w:rPr>
            </w:pPr>
            <w:r>
              <w:rPr>
                <w:rFonts w:ascii="Arial" w:cs="Arial" w:eastAsia="Arial" w:hAnsi="Arial"/>
                <w:sz w:val="14"/>
                <w:szCs w:val="14"/>
                <w:i w:val="1"/>
                <w:iCs w:val="1"/>
                <w:color w:val="auto"/>
                <w:w w:val="98"/>
              </w:rPr>
              <w:t>(In thousands)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Money market funds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79,051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79,051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2180" w:type="dxa"/>
            <w:vAlign w:val="bottom"/>
          </w:tcPr>
          <w:p>
            <w:pPr>
              <w:ind w:left="20"/>
              <w:spacing w:after="0"/>
              <w:rPr>
                <w:sz w:val="20"/>
                <w:szCs w:val="20"/>
                <w:color w:val="auto"/>
              </w:rPr>
            </w:pPr>
            <w:r>
              <w:rPr>
                <w:rFonts w:ascii="Arial" w:cs="Arial" w:eastAsia="Arial" w:hAnsi="Arial"/>
                <w:sz w:val="16"/>
                <w:szCs w:val="16"/>
                <w:color w:val="auto"/>
              </w:rPr>
              <w:t>Certificates of deposit</w:t>
            </w:r>
          </w:p>
        </w:tc>
        <w:tc>
          <w:tcPr>
            <w:tcW w:w="16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41,213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41,240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41,240</w:t>
            </w:r>
          </w:p>
        </w:tc>
        <w:tc>
          <w:tcPr>
            <w:tcW w:w="0" w:type="dxa"/>
            <w:vAlign w:val="bottom"/>
          </w:tcPr>
          <w:p>
            <w:pPr>
              <w:spacing w:after="0"/>
              <w:rPr>
                <w:sz w:val="1"/>
                <w:szCs w:val="1"/>
                <w:color w:val="auto"/>
              </w:rPr>
            </w:pPr>
          </w:p>
        </w:tc>
      </w:tr>
      <w:tr>
        <w:trPr>
          <w:trHeight w:val="210"/>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paper</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70,853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70,787</w:t>
            </w:r>
          </w:p>
        </w:tc>
        <w:tc>
          <w:tcPr>
            <w:tcW w:w="0" w:type="dxa"/>
            <w:vAlign w:val="bottom"/>
          </w:tcPr>
          <w:p>
            <w:pPr>
              <w:spacing w:after="0"/>
              <w:rPr>
                <w:sz w:val="1"/>
                <w:szCs w:val="1"/>
                <w:color w:val="auto"/>
              </w:rPr>
            </w:pPr>
          </w:p>
        </w:tc>
      </w:tr>
      <w:tr>
        <w:trPr>
          <w:trHeight w:val="208"/>
        </w:trPr>
        <w:tc>
          <w:tcPr>
            <w:tcW w:w="2180" w:type="dxa"/>
            <w:vAlign w:val="bottom"/>
          </w:tcPr>
          <w:p>
            <w:pPr>
              <w:ind w:left="20"/>
              <w:spacing w:after="0"/>
              <w:rPr>
                <w:sz w:val="20"/>
                <w:szCs w:val="20"/>
                <w:color w:val="auto"/>
              </w:rPr>
            </w:pPr>
            <w:r>
              <w:rPr>
                <w:rFonts w:ascii="Arial" w:cs="Arial" w:eastAsia="Arial" w:hAnsi="Arial"/>
                <w:sz w:val="16"/>
                <w:szCs w:val="16"/>
                <w:color w:val="auto"/>
              </w:rPr>
              <w:t>Corporate notes and bonds</w:t>
            </w:r>
          </w:p>
        </w:tc>
        <w:tc>
          <w:tcPr>
            <w:tcW w:w="16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392,445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391,883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3,551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388,332</w:t>
            </w:r>
          </w:p>
        </w:tc>
        <w:tc>
          <w:tcPr>
            <w:tcW w:w="0" w:type="dxa"/>
            <w:vAlign w:val="bottom"/>
          </w:tcPr>
          <w:p>
            <w:pPr>
              <w:spacing w:after="0"/>
              <w:rPr>
                <w:sz w:val="1"/>
                <w:szCs w:val="1"/>
                <w:color w:val="auto"/>
              </w:rPr>
            </w:pPr>
          </w:p>
        </w:tc>
      </w:tr>
      <w:tr>
        <w:trPr>
          <w:trHeight w:val="210"/>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247,809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247,601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24,963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222,638</w:t>
            </w:r>
          </w:p>
        </w:tc>
        <w:tc>
          <w:tcPr>
            <w:tcW w:w="0" w:type="dxa"/>
            <w:vAlign w:val="bottom"/>
          </w:tcPr>
          <w:p>
            <w:pPr>
              <w:spacing w:after="0"/>
              <w:rPr>
                <w:sz w:val="1"/>
                <w:szCs w:val="1"/>
                <w:color w:val="auto"/>
              </w:rPr>
            </w:pPr>
          </w:p>
        </w:tc>
      </w:tr>
      <w:tr>
        <w:trPr>
          <w:trHeight w:val="158"/>
        </w:trPr>
        <w:tc>
          <w:tcPr>
            <w:tcW w:w="2180" w:type="dxa"/>
            <w:vAlign w:val="bottom"/>
          </w:tcPr>
          <w:p>
            <w:pPr>
              <w:ind w:left="20"/>
              <w:spacing w:after="0" w:line="158" w:lineRule="exact"/>
              <w:rPr>
                <w:sz w:val="20"/>
                <w:szCs w:val="20"/>
                <w:color w:val="auto"/>
              </w:rPr>
            </w:pPr>
            <w:r>
              <w:rPr>
                <w:rFonts w:ascii="Arial" w:cs="Arial" w:eastAsia="Arial" w:hAnsi="Arial"/>
                <w:sz w:val="16"/>
                <w:szCs w:val="16"/>
                <w:color w:val="auto"/>
              </w:rPr>
              <w:t>U.S. Government agency</w:t>
            </w:r>
          </w:p>
        </w:tc>
        <w:tc>
          <w:tcPr>
            <w:tcW w:w="160" w:type="dxa"/>
            <w:vAlign w:val="bottom"/>
          </w:tcPr>
          <w:p>
            <w:pPr>
              <w:spacing w:after="0"/>
              <w:rPr>
                <w:sz w:val="13"/>
                <w:szCs w:val="13"/>
                <w:color w:val="auto"/>
              </w:rPr>
            </w:pPr>
          </w:p>
        </w:tc>
        <w:tc>
          <w:tcPr>
            <w:tcW w:w="1260" w:type="dxa"/>
            <w:vAlign w:val="bottom"/>
            <w:vMerge w:val="restart"/>
          </w:tcPr>
          <w:p>
            <w:pPr>
              <w:jc w:val="right"/>
              <w:ind w:right="3"/>
              <w:spacing w:after="0"/>
              <w:rPr>
                <w:sz w:val="20"/>
                <w:szCs w:val="20"/>
                <w:color w:val="auto"/>
              </w:rPr>
            </w:pPr>
            <w:r>
              <w:rPr>
                <w:rFonts w:ascii="Arial" w:cs="Arial" w:eastAsia="Arial" w:hAnsi="Arial"/>
                <w:sz w:val="16"/>
                <w:szCs w:val="16"/>
                <w:color w:val="auto"/>
              </w:rPr>
              <w:t>673,929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(2,653)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671,305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671,305</w:t>
            </w:r>
          </w:p>
        </w:tc>
        <w:tc>
          <w:tcPr>
            <w:tcW w:w="0" w:type="dxa"/>
            <w:vAlign w:val="bottom"/>
          </w:tcPr>
          <w:p>
            <w:pPr>
              <w:spacing w:after="0"/>
              <w:rPr>
                <w:sz w:val="1"/>
                <w:szCs w:val="1"/>
                <w:color w:val="auto"/>
              </w:rPr>
            </w:pPr>
          </w:p>
        </w:tc>
      </w:tr>
      <w:tr>
        <w:trPr>
          <w:trHeight w:val="207"/>
        </w:trPr>
        <w:tc>
          <w:tcPr>
            <w:tcW w:w="2180" w:type="dxa"/>
            <w:vAlign w:val="bottom"/>
          </w:tcPr>
          <w:p>
            <w:pPr>
              <w:ind w:left="20"/>
              <w:spacing w:after="0"/>
              <w:rPr>
                <w:sz w:val="20"/>
                <w:szCs w:val="20"/>
                <w:color w:val="auto"/>
              </w:rPr>
            </w:pPr>
            <w:r>
              <w:rPr>
                <w:rFonts w:ascii="Arial" w:cs="Arial" w:eastAsia="Arial" w:hAnsi="Arial"/>
                <w:sz w:val="16"/>
                <w:szCs w:val="16"/>
                <w:color w:val="auto"/>
              </w:rPr>
              <w:t>securities</w:t>
            </w:r>
          </w:p>
        </w:tc>
        <w:tc>
          <w:tcPr>
            <w:tcW w:w="1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1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1,505,300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1,501,867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107,565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1,394,302</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2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9"/>
              </w:rPr>
              <w:t>As of December 31, 2023</w:t>
            </w: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ind w:left="40"/>
              <w:spacing w:after="0" w:line="141" w:lineRule="exact"/>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98"/>
              </w:rPr>
              <w:t>Gross Unrealized</w:t>
            </w: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8"/>
              </w:rPr>
              <w:t>Gross Unrealized</w:t>
            </w:r>
          </w:p>
        </w:tc>
        <w:tc>
          <w:tcPr>
            <w:tcW w:w="240" w:type="dxa"/>
            <w:vAlign w:val="bottom"/>
          </w:tcPr>
          <w:p>
            <w:pPr>
              <w:spacing w:after="0"/>
              <w:rPr>
                <w:sz w:val="12"/>
                <w:szCs w:val="12"/>
                <w:color w:val="auto"/>
              </w:rPr>
            </w:pPr>
          </w:p>
        </w:tc>
        <w:tc>
          <w:tcPr>
            <w:tcW w:w="1280" w:type="dxa"/>
            <w:vAlign w:val="bottom"/>
            <w:gridSpan w:val="2"/>
          </w:tcPr>
          <w:p>
            <w:pPr>
              <w:ind w:left="140"/>
              <w:spacing w:after="0" w:line="141"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142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rPr>
              <w:t>Cash Equivalents</w:t>
            </w:r>
          </w:p>
        </w:tc>
        <w:tc>
          <w:tcPr>
            <w:tcW w:w="220" w:type="dxa"/>
            <w:vAlign w:val="bottom"/>
          </w:tcPr>
          <w:p>
            <w:pPr>
              <w:spacing w:after="0"/>
              <w:rPr>
                <w:sz w:val="12"/>
                <w:szCs w:val="12"/>
                <w:color w:val="auto"/>
              </w:rPr>
            </w:pPr>
          </w:p>
        </w:tc>
        <w:tc>
          <w:tcPr>
            <w:tcW w:w="1200" w:type="dxa"/>
            <w:vAlign w:val="bottom"/>
          </w:tcPr>
          <w:p>
            <w:pPr>
              <w:jc w:val="center"/>
              <w:ind w:right="144"/>
              <w:spacing w:after="0" w:line="141" w:lineRule="exact"/>
              <w:rPr>
                <w:sz w:val="20"/>
                <w:szCs w:val="20"/>
                <w:color w:val="auto"/>
              </w:rPr>
            </w:pPr>
            <w:r>
              <w:rPr>
                <w:rFonts w:ascii="Arial" w:cs="Arial" w:eastAsia="Arial" w:hAnsi="Arial"/>
                <w:sz w:val="14"/>
                <w:szCs w:val="14"/>
                <w:b w:val="1"/>
                <w:bCs w:val="1"/>
                <w:color w:val="auto"/>
              </w:rPr>
              <w:t>Marketable</w:t>
            </w:r>
          </w:p>
        </w:tc>
        <w:tc>
          <w:tcPr>
            <w:tcW w:w="0" w:type="dxa"/>
            <w:vAlign w:val="bottom"/>
          </w:tcPr>
          <w:p>
            <w:pPr>
              <w:spacing w:after="0"/>
              <w:rPr>
                <w:sz w:val="1"/>
                <w:szCs w:val="1"/>
                <w:color w:val="auto"/>
              </w:rPr>
            </w:pPr>
          </w:p>
        </w:tc>
      </w:tr>
      <w:tr>
        <w:trPr>
          <w:trHeight w:val="179"/>
        </w:trPr>
        <w:tc>
          <w:tcPr>
            <w:tcW w:w="2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7"/>
              </w:rPr>
              <w:t>Gains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9"/>
              </w:rPr>
              <w:t>Losses</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98"/>
              </w:rPr>
              <w:t>Securities</w:t>
            </w:r>
          </w:p>
        </w:tc>
        <w:tc>
          <w:tcPr>
            <w:tcW w:w="0" w:type="dxa"/>
            <w:vAlign w:val="bottom"/>
          </w:tcPr>
          <w:p>
            <w:pPr>
              <w:spacing w:after="0"/>
              <w:rPr>
                <w:sz w:val="1"/>
                <w:szCs w:val="1"/>
                <w:color w:val="auto"/>
              </w:rPr>
            </w:pPr>
          </w:p>
        </w:tc>
      </w:tr>
      <w:tr>
        <w:trPr>
          <w:trHeight w:val="224"/>
        </w:trPr>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5"/>
          </w:tcPr>
          <w:p>
            <w:pPr>
              <w:jc w:val="center"/>
              <w:ind w:right="200"/>
              <w:spacing w:after="0"/>
              <w:rPr>
                <w:sz w:val="20"/>
                <w:szCs w:val="20"/>
                <w:color w:val="auto"/>
              </w:rPr>
            </w:pPr>
            <w:r>
              <w:rPr>
                <w:rFonts w:ascii="Arial" w:cs="Arial" w:eastAsia="Arial" w:hAnsi="Arial"/>
                <w:sz w:val="14"/>
                <w:szCs w:val="14"/>
                <w:i w:val="1"/>
                <w:iCs w:val="1"/>
                <w:color w:val="auto"/>
                <w:w w:val="98"/>
              </w:rPr>
              <w:t>(In thousands)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Money market funds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132,037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132,037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2180" w:type="dxa"/>
            <w:vAlign w:val="bottom"/>
          </w:tcPr>
          <w:p>
            <w:pPr>
              <w:ind w:left="20"/>
              <w:spacing w:after="0"/>
              <w:rPr>
                <w:sz w:val="20"/>
                <w:szCs w:val="20"/>
                <w:color w:val="auto"/>
              </w:rPr>
            </w:pPr>
            <w:r>
              <w:rPr>
                <w:rFonts w:ascii="Arial" w:cs="Arial" w:eastAsia="Arial" w:hAnsi="Arial"/>
                <w:sz w:val="16"/>
                <w:szCs w:val="16"/>
                <w:color w:val="auto"/>
              </w:rPr>
              <w:t>Certificates of deposit</w:t>
            </w:r>
          </w:p>
        </w:tc>
        <w:tc>
          <w:tcPr>
            <w:tcW w:w="16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55,863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55,912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55,162</w:t>
            </w:r>
          </w:p>
        </w:tc>
        <w:tc>
          <w:tcPr>
            <w:tcW w:w="0" w:type="dxa"/>
            <w:vAlign w:val="bottom"/>
          </w:tcPr>
          <w:p>
            <w:pPr>
              <w:spacing w:after="0"/>
              <w:rPr>
                <w:sz w:val="1"/>
                <w:szCs w:val="1"/>
                <w:color w:val="auto"/>
              </w:rPr>
            </w:pPr>
          </w:p>
        </w:tc>
      </w:tr>
      <w:tr>
        <w:trPr>
          <w:trHeight w:val="210"/>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paper</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71,427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69,743</w:t>
            </w:r>
          </w:p>
        </w:tc>
        <w:tc>
          <w:tcPr>
            <w:tcW w:w="0" w:type="dxa"/>
            <w:vAlign w:val="bottom"/>
          </w:tcPr>
          <w:p>
            <w:pPr>
              <w:spacing w:after="0"/>
              <w:rPr>
                <w:sz w:val="1"/>
                <w:szCs w:val="1"/>
                <w:color w:val="auto"/>
              </w:rPr>
            </w:pPr>
          </w:p>
        </w:tc>
      </w:tr>
      <w:tr>
        <w:trPr>
          <w:trHeight w:val="208"/>
        </w:trPr>
        <w:tc>
          <w:tcPr>
            <w:tcW w:w="2180" w:type="dxa"/>
            <w:vAlign w:val="bottom"/>
          </w:tcPr>
          <w:p>
            <w:pPr>
              <w:ind w:left="20"/>
              <w:spacing w:after="0"/>
              <w:rPr>
                <w:sz w:val="20"/>
                <w:szCs w:val="20"/>
                <w:color w:val="auto"/>
              </w:rPr>
            </w:pPr>
            <w:r>
              <w:rPr>
                <w:rFonts w:ascii="Arial" w:cs="Arial" w:eastAsia="Arial" w:hAnsi="Arial"/>
                <w:sz w:val="16"/>
                <w:szCs w:val="16"/>
                <w:color w:val="auto"/>
              </w:rPr>
              <w:t>Corporate notes and bonds</w:t>
            </w:r>
          </w:p>
        </w:tc>
        <w:tc>
          <w:tcPr>
            <w:tcW w:w="16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406,093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406,096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405,634</w:t>
            </w:r>
          </w:p>
        </w:tc>
        <w:tc>
          <w:tcPr>
            <w:tcW w:w="0" w:type="dxa"/>
            <w:vAlign w:val="bottom"/>
          </w:tcPr>
          <w:p>
            <w:pPr>
              <w:spacing w:after="0"/>
              <w:rPr>
                <w:sz w:val="1"/>
                <w:szCs w:val="1"/>
                <w:color w:val="auto"/>
              </w:rPr>
            </w:pPr>
          </w:p>
        </w:tc>
      </w:tr>
      <w:tr>
        <w:trPr>
          <w:trHeight w:val="210"/>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327,773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327,891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327,891</w:t>
            </w:r>
          </w:p>
        </w:tc>
        <w:tc>
          <w:tcPr>
            <w:tcW w:w="0" w:type="dxa"/>
            <w:vAlign w:val="bottom"/>
          </w:tcPr>
          <w:p>
            <w:pPr>
              <w:spacing w:after="0"/>
              <w:rPr>
                <w:sz w:val="1"/>
                <w:szCs w:val="1"/>
                <w:color w:val="auto"/>
              </w:rPr>
            </w:pPr>
          </w:p>
        </w:tc>
      </w:tr>
      <w:tr>
        <w:trPr>
          <w:trHeight w:val="158"/>
        </w:trPr>
        <w:tc>
          <w:tcPr>
            <w:tcW w:w="2180" w:type="dxa"/>
            <w:vAlign w:val="bottom"/>
          </w:tcPr>
          <w:p>
            <w:pPr>
              <w:ind w:left="20"/>
              <w:spacing w:after="0" w:line="158" w:lineRule="exact"/>
              <w:rPr>
                <w:sz w:val="20"/>
                <w:szCs w:val="20"/>
                <w:color w:val="auto"/>
              </w:rPr>
            </w:pPr>
            <w:r>
              <w:rPr>
                <w:rFonts w:ascii="Arial" w:cs="Arial" w:eastAsia="Arial" w:hAnsi="Arial"/>
                <w:sz w:val="16"/>
                <w:szCs w:val="16"/>
                <w:color w:val="auto"/>
              </w:rPr>
              <w:t>U.S. Government agency</w:t>
            </w:r>
          </w:p>
        </w:tc>
        <w:tc>
          <w:tcPr>
            <w:tcW w:w="160" w:type="dxa"/>
            <w:vAlign w:val="bottom"/>
          </w:tcPr>
          <w:p>
            <w:pPr>
              <w:spacing w:after="0"/>
              <w:rPr>
                <w:sz w:val="13"/>
                <w:szCs w:val="13"/>
                <w:color w:val="auto"/>
              </w:rPr>
            </w:pPr>
          </w:p>
        </w:tc>
        <w:tc>
          <w:tcPr>
            <w:tcW w:w="1260" w:type="dxa"/>
            <w:vAlign w:val="bottom"/>
            <w:vMerge w:val="restart"/>
          </w:tcPr>
          <w:p>
            <w:pPr>
              <w:jc w:val="right"/>
              <w:ind w:right="3"/>
              <w:spacing w:after="0"/>
              <w:rPr>
                <w:sz w:val="20"/>
                <w:szCs w:val="20"/>
                <w:color w:val="auto"/>
              </w:rPr>
            </w:pPr>
            <w:r>
              <w:rPr>
                <w:rFonts w:ascii="Arial" w:cs="Arial" w:eastAsia="Arial" w:hAnsi="Arial"/>
                <w:sz w:val="16"/>
                <w:szCs w:val="16"/>
                <w:color w:val="auto"/>
              </w:rPr>
              <w:t>548,391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690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(1,225)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547,856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547,856</w:t>
            </w:r>
          </w:p>
        </w:tc>
        <w:tc>
          <w:tcPr>
            <w:tcW w:w="0" w:type="dxa"/>
            <w:vAlign w:val="bottom"/>
          </w:tcPr>
          <w:p>
            <w:pPr>
              <w:spacing w:after="0"/>
              <w:rPr>
                <w:sz w:val="1"/>
                <w:szCs w:val="1"/>
                <w:color w:val="auto"/>
              </w:rPr>
            </w:pPr>
          </w:p>
        </w:tc>
      </w:tr>
      <w:tr>
        <w:trPr>
          <w:trHeight w:val="207"/>
        </w:trPr>
        <w:tc>
          <w:tcPr>
            <w:tcW w:w="2180" w:type="dxa"/>
            <w:vAlign w:val="bottom"/>
          </w:tcPr>
          <w:p>
            <w:pPr>
              <w:ind w:left="20"/>
              <w:spacing w:after="0"/>
              <w:rPr>
                <w:sz w:val="20"/>
                <w:szCs w:val="20"/>
                <w:color w:val="auto"/>
              </w:rPr>
            </w:pPr>
            <w:r>
              <w:rPr>
                <w:rFonts w:ascii="Arial" w:cs="Arial" w:eastAsia="Arial" w:hAnsi="Arial"/>
                <w:sz w:val="16"/>
                <w:szCs w:val="16"/>
                <w:color w:val="auto"/>
              </w:rPr>
              <w:t>securities</w:t>
            </w:r>
          </w:p>
        </w:tc>
        <w:tc>
          <w:tcPr>
            <w:tcW w:w="1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1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1,541,584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1,541,229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134,943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1,406,286</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the contractual maturities of the Company’s cash equivalents and marketable securities as of June 30,</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2024: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8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20" w:type="dxa"/>
            <w:vAlign w:val="bottom"/>
            <w:gridSpan w:val="4"/>
          </w:tcPr>
          <w:p>
            <w:pPr>
              <w:jc w:val="right"/>
              <w:ind w:right="964"/>
              <w:spacing w:after="0"/>
              <w:rPr>
                <w:sz w:val="20"/>
                <w:szCs w:val="20"/>
                <w:color w:val="auto"/>
              </w:rPr>
            </w:pPr>
            <w:r>
              <w:rPr>
                <w:rFonts w:ascii="Arial" w:cs="Arial" w:eastAsia="Arial" w:hAnsi="Arial"/>
                <w:sz w:val="14"/>
                <w:szCs w:val="14"/>
                <w:i w:val="1"/>
                <w:iCs w:val="1"/>
                <w:color w:val="auto"/>
              </w:rPr>
              <w:t>(In thousands)</w:t>
            </w: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within one year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1,128,945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1,126,814</w:t>
            </w:r>
          </w:p>
        </w:tc>
      </w:tr>
      <w:tr>
        <w:trPr>
          <w:trHeight w:val="208"/>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Due within one to three years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376,355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375,053</w:t>
            </w:r>
          </w:p>
        </w:tc>
      </w:tr>
      <w:tr>
        <w:trPr>
          <w:trHeight w:val="227"/>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1,505,300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1,501,867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All available-for-sale securities have been classified as current, based on management's intent and ability to use the funds in current operations.</w:t>
      </w:r>
    </w:p>
    <w:p>
      <w:pPr>
        <w:spacing w:after="0" w:line="88" w:lineRule="exact"/>
        <w:rPr>
          <w:sz w:val="20"/>
          <w:szCs w:val="20"/>
          <w:color w:val="auto"/>
        </w:rPr>
      </w:pPr>
    </w:p>
    <w:p>
      <w:pPr>
        <w:ind w:left="340" w:hanging="335"/>
        <w:spacing w:after="0"/>
        <w:tabs>
          <w:tab w:leader="none" w:pos="34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WARRANTY OBLIGATIONS</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Company’s warranty obligation activities were as follows:</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179"/>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82"/>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w w:val="96"/>
              </w:rPr>
              <w:t>2023</w:t>
            </w:r>
          </w:p>
        </w:tc>
      </w:tr>
      <w:tr>
        <w:trPr>
          <w:trHeight w:val="224"/>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40" w:type="dxa"/>
            <w:vAlign w:val="bottom"/>
            <w:gridSpan w:val="3"/>
          </w:tcPr>
          <w:p>
            <w:pPr>
              <w:jc w:val="right"/>
              <w:ind w:right="2"/>
              <w:spacing w:after="0"/>
              <w:rPr>
                <w:sz w:val="20"/>
                <w:szCs w:val="20"/>
                <w:color w:val="auto"/>
              </w:rPr>
            </w:pPr>
            <w:r>
              <w:rPr>
                <w:rFonts w:ascii="Arial" w:cs="Arial" w:eastAsia="Arial" w:hAnsi="Arial"/>
                <w:sz w:val="14"/>
                <w:szCs w:val="14"/>
                <w:i w:val="1"/>
                <w:iCs w:val="1"/>
                <w:color w:val="auto"/>
              </w:rPr>
              <w:t>(In thousands)</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3"/>
        </w:trPr>
        <w:tc>
          <w:tcPr>
            <w:tcW w:w="20" w:type="dxa"/>
            <w:vAlign w:val="bottom"/>
            <w:shd w:val="clear" w:color="auto" w:fill="CCEEFF"/>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Warranty obligations, beginning of period</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177,164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146,034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189,087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131,446</w:t>
            </w:r>
          </w:p>
        </w:tc>
      </w:tr>
      <w:tr>
        <w:trPr>
          <w:trHeight w:val="208"/>
        </w:trPr>
        <w:tc>
          <w:tcPr>
            <w:tcW w:w="20" w:type="dxa"/>
            <w:vAlign w:val="bottom"/>
          </w:tcPr>
          <w:p>
            <w:pPr>
              <w:spacing w:after="0"/>
              <w:rPr>
                <w:sz w:val="18"/>
                <w:szCs w:val="18"/>
                <w:color w:val="auto"/>
              </w:rPr>
            </w:pPr>
          </w:p>
        </w:tc>
        <w:tc>
          <w:tcPr>
            <w:tcW w:w="5140" w:type="dxa"/>
            <w:vAlign w:val="bottom"/>
            <w:gridSpan w:val="2"/>
          </w:tcPr>
          <w:p>
            <w:pPr>
              <w:ind w:left="200"/>
              <w:spacing w:after="0"/>
              <w:rPr>
                <w:sz w:val="20"/>
                <w:szCs w:val="20"/>
                <w:color w:val="auto"/>
              </w:rPr>
            </w:pPr>
            <w:r>
              <w:rPr>
                <w:rFonts w:ascii="Arial" w:cs="Arial" w:eastAsia="Arial" w:hAnsi="Arial"/>
                <w:sz w:val="16"/>
                <w:szCs w:val="16"/>
                <w:color w:val="auto"/>
              </w:rPr>
              <w:t>Accruals for warranties issued during period</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6,424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16,344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12,522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32,515</w:t>
            </w:r>
          </w:p>
        </w:tc>
      </w:tr>
      <w:tr>
        <w:trPr>
          <w:trHeight w:val="210"/>
        </w:trPr>
        <w:tc>
          <w:tcPr>
            <w:tcW w:w="20" w:type="dxa"/>
            <w:vAlign w:val="bottom"/>
            <w:shd w:val="clear" w:color="auto" w:fill="CCEEFF"/>
          </w:tcPr>
          <w:p>
            <w:pPr>
              <w:spacing w:after="0"/>
              <w:rPr>
                <w:sz w:val="18"/>
                <w:szCs w:val="18"/>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Benefit from changes in estimates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(6,635)</w:t>
            </w:r>
          </w:p>
        </w:tc>
      </w:tr>
      <w:tr>
        <w:trPr>
          <w:trHeight w:val="208"/>
        </w:trPr>
        <w:tc>
          <w:tcPr>
            <w:tcW w:w="20" w:type="dxa"/>
            <w:vAlign w:val="bottom"/>
          </w:tcPr>
          <w:p>
            <w:pPr>
              <w:spacing w:after="0"/>
              <w:rPr>
                <w:sz w:val="18"/>
                <w:szCs w:val="18"/>
                <w:color w:val="auto"/>
              </w:rPr>
            </w:pPr>
          </w:p>
        </w:tc>
        <w:tc>
          <w:tcPr>
            <w:tcW w:w="5140" w:type="dxa"/>
            <w:vAlign w:val="bottom"/>
            <w:gridSpan w:val="2"/>
          </w:tcPr>
          <w:p>
            <w:pPr>
              <w:ind w:left="200"/>
              <w:spacing w:after="0"/>
              <w:rPr>
                <w:sz w:val="20"/>
                <w:szCs w:val="20"/>
                <w:color w:val="auto"/>
              </w:rPr>
            </w:pPr>
            <w:r>
              <w:rPr>
                <w:rFonts w:ascii="Arial" w:cs="Arial" w:eastAsia="Arial" w:hAnsi="Arial"/>
                <w:sz w:val="16"/>
                <w:szCs w:val="16"/>
                <w:color w:val="auto"/>
              </w:rPr>
              <w:t>Settlements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(7,606)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(5,092)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(14,499)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(13,986)</w:t>
            </w:r>
          </w:p>
        </w:tc>
      </w:tr>
      <w:tr>
        <w:trPr>
          <w:trHeight w:val="210"/>
        </w:trPr>
        <w:tc>
          <w:tcPr>
            <w:tcW w:w="20" w:type="dxa"/>
            <w:vAlign w:val="bottom"/>
            <w:shd w:val="clear" w:color="auto" w:fill="CCEEFF"/>
          </w:tcPr>
          <w:p>
            <w:pPr>
              <w:spacing w:after="0"/>
              <w:rPr>
                <w:sz w:val="18"/>
                <w:szCs w:val="18"/>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Increase due to accretion expense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7,452</w:t>
            </w:r>
          </w:p>
        </w:tc>
      </w:tr>
      <w:tr>
        <w:trPr>
          <w:trHeight w:val="209"/>
        </w:trPr>
        <w:tc>
          <w:tcPr>
            <w:tcW w:w="20" w:type="dxa"/>
            <w:vAlign w:val="bottom"/>
          </w:tcPr>
          <w:p>
            <w:pPr>
              <w:spacing w:after="0"/>
              <w:rPr>
                <w:sz w:val="18"/>
                <w:szCs w:val="18"/>
                <w:color w:val="auto"/>
              </w:rPr>
            </w:pPr>
          </w:p>
        </w:tc>
        <w:tc>
          <w:tcPr>
            <w:tcW w:w="5140" w:type="dxa"/>
            <w:vAlign w:val="bottom"/>
            <w:gridSpan w:val="2"/>
          </w:tcPr>
          <w:p>
            <w:pPr>
              <w:ind w:left="200"/>
              <w:spacing w:after="0" w:line="209" w:lineRule="exact"/>
              <w:rPr>
                <w:sz w:val="20"/>
                <w:szCs w:val="20"/>
                <w:color w:val="auto"/>
              </w:rPr>
            </w:pPr>
            <w:r>
              <w:rPr>
                <w:rFonts w:ascii="Arial" w:cs="Arial" w:eastAsia="Arial" w:hAnsi="Arial"/>
                <w:sz w:val="16"/>
                <w:szCs w:val="16"/>
                <w:color w:val="auto"/>
              </w:rPr>
              <w:t>Change in discount rate</w:t>
            </w:r>
            <w:r>
              <w:rPr>
                <w:rFonts w:ascii="Arial" w:cs="Arial" w:eastAsia="Arial" w:hAnsi="Arial"/>
                <w:sz w:val="20"/>
                <w:szCs w:val="20"/>
                <w:color w:val="auto"/>
                <w:vertAlign w:val="superscript"/>
              </w:rPr>
              <w:t>(1)</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759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31,797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31,797</w:t>
            </w:r>
          </w:p>
        </w:tc>
      </w:tr>
      <w:tr>
        <w:trPr>
          <w:trHeight w:val="209"/>
        </w:trPr>
        <w:tc>
          <w:tcPr>
            <w:tcW w:w="20" w:type="dxa"/>
            <w:vAlign w:val="bottom"/>
            <w:shd w:val="clear" w:color="auto" w:fill="CCEEFF"/>
          </w:tcPr>
          <w:p>
            <w:pPr>
              <w:spacing w:after="0"/>
              <w:rPr>
                <w:sz w:val="18"/>
                <w:szCs w:val="18"/>
                <w:color w:val="auto"/>
              </w:rPr>
            </w:pPr>
          </w:p>
        </w:tc>
        <w:tc>
          <w:tcPr>
            <w:tcW w:w="51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(1,912)</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(3,649)</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(1,874)</w:t>
            </w:r>
          </w:p>
        </w:tc>
      </w:tr>
      <w:tr>
        <w:trPr>
          <w:trHeight w:val="201"/>
        </w:trPr>
        <w:tc>
          <w:tcPr>
            <w:tcW w:w="2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Arial" w:cs="Arial" w:eastAsia="Arial" w:hAnsi="Arial"/>
                <w:sz w:val="16"/>
                <w:szCs w:val="16"/>
                <w:color w:val="auto"/>
              </w:rPr>
              <w:t>Warranty obligations, end of period</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177,179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180,715</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177,179</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180,715</w:t>
            </w:r>
          </w:p>
        </w:tc>
      </w:tr>
      <w:tr>
        <w:trPr>
          <w:trHeight w:val="210"/>
        </w:trPr>
        <w:tc>
          <w:tcPr>
            <w:tcW w:w="20" w:type="dxa"/>
            <w:vAlign w:val="bottom"/>
            <w:shd w:val="clear" w:color="auto" w:fill="CCEEFF"/>
          </w:tcPr>
          <w:p>
            <w:pPr>
              <w:spacing w:after="0"/>
              <w:rPr>
                <w:sz w:val="18"/>
                <w:szCs w:val="18"/>
                <w:color w:val="auto"/>
              </w:rPr>
            </w:pPr>
          </w:p>
        </w:tc>
        <w:tc>
          <w:tcPr>
            <w:tcW w:w="51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Less: warranty obligations, current</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(30,261)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(36,686)</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(30,261)</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(36,686)</w:t>
            </w:r>
          </w:p>
        </w:tc>
      </w:tr>
      <w:tr>
        <w:trPr>
          <w:trHeight w:val="201"/>
        </w:trPr>
        <w:tc>
          <w:tcPr>
            <w:tcW w:w="20" w:type="dxa"/>
            <w:vAlign w:val="bottom"/>
          </w:tcPr>
          <w:p>
            <w:pPr>
              <w:spacing w:after="0"/>
              <w:rPr>
                <w:sz w:val="17"/>
                <w:szCs w:val="17"/>
                <w:color w:val="auto"/>
              </w:rPr>
            </w:pPr>
          </w:p>
        </w:tc>
        <w:tc>
          <w:tcPr>
            <w:tcW w:w="5140" w:type="dxa"/>
            <w:vAlign w:val="bottom"/>
            <w:gridSpan w:val="2"/>
          </w:tcPr>
          <w:p>
            <w:pPr>
              <w:ind w:left="200"/>
              <w:spacing w:after="0"/>
              <w:rPr>
                <w:sz w:val="20"/>
                <w:szCs w:val="20"/>
                <w:color w:val="auto"/>
              </w:rPr>
            </w:pPr>
            <w:r>
              <w:rPr>
                <w:rFonts w:ascii="Arial" w:cs="Arial" w:eastAsia="Arial" w:hAnsi="Arial"/>
                <w:sz w:val="16"/>
                <w:szCs w:val="16"/>
                <w:color w:val="auto"/>
              </w:rPr>
              <w:t>Warranty obligations, non-current</w:t>
            </w: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146,918</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144,029</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146,918</w:t>
            </w:r>
          </w:p>
        </w:tc>
        <w:tc>
          <w:tcPr>
            <w:tcW w:w="120" w:type="dxa"/>
            <w:vAlign w:val="bottom"/>
          </w:tcPr>
          <w:p>
            <w:pPr>
              <w:spacing w:after="0"/>
              <w:rPr>
                <w:sz w:val="17"/>
                <w:szCs w:val="17"/>
                <w:color w:val="auto"/>
              </w:rPr>
            </w:pPr>
          </w:p>
        </w:tc>
        <w:tc>
          <w:tcPr>
            <w:tcW w:w="54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144,029</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00" w:type="dxa"/>
            <w:vAlign w:val="bottom"/>
          </w:tcPr>
          <w:p>
            <w:pPr>
              <w:spacing w:after="0"/>
              <w:rPr>
                <w:sz w:val="9"/>
                <w:szCs w:val="9"/>
                <w:color w:val="auto"/>
              </w:rPr>
            </w:pPr>
          </w:p>
        </w:tc>
      </w:tr>
    </w:tbl>
    <w:p>
      <w:pPr>
        <w:spacing w:after="0" w:line="223" w:lineRule="exact"/>
        <w:rPr>
          <w:sz w:val="20"/>
          <w:szCs w:val="20"/>
          <w:color w:val="auto"/>
        </w:rPr>
      </w:pPr>
    </w:p>
    <w:p>
      <w:pPr>
        <w:ind w:left="380" w:hanging="375"/>
        <w:spacing w:after="0"/>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Refer to Note 7, “Fair Value Measurements” for additional information about the monetary impact for change in the discount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Estimates</w:t>
      </w:r>
    </w:p>
    <w:p>
      <w:pPr>
        <w:spacing w:after="0" w:line="120" w:lineRule="exact"/>
        <w:rPr>
          <w:sz w:val="20"/>
          <w:szCs w:val="20"/>
          <w:color w:val="auto"/>
        </w:rPr>
      </w:pPr>
    </w:p>
    <w:p>
      <w:pPr>
        <w:jc w:val="both"/>
        <w:ind w:firstLine="470"/>
        <w:spacing w:after="0" w:line="251" w:lineRule="auto"/>
        <w:rPr>
          <w:sz w:val="20"/>
          <w:szCs w:val="20"/>
          <w:color w:val="auto"/>
        </w:rPr>
      </w:pPr>
      <w:r>
        <w:rPr>
          <w:rFonts w:ascii="Arial" w:cs="Arial" w:eastAsia="Arial" w:hAnsi="Arial"/>
          <w:sz w:val="17"/>
          <w:szCs w:val="17"/>
          <w:color w:val="auto"/>
        </w:rPr>
        <w:t>In the three months ended June 30, 2024, the Company recorded $0.3 million in warranty benefit from change in estimates, of which $1.8 million and $ 1.4 million related to a decrease in product replacement costs and continuing analysis of field performance data and diagnostic root-cause failure analysis, respectively, for Enphase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Battery storage systems, partially offset by an increase of $2.9 million for continuing analysis of field performance data and diagnostic root-cause failure analysis for all other products. In the three months ended June 30, 2023, the Company recorded $10.4 million in warranty benefit from change in estimates, of which $14.4 million related to a decrease in product replacement costs related to Enphase IQ Battery systems and $2.1 million related to a decrease in product replacement costs for all other products, partially offset by $6.1 million for increasing the warranty period for the Enphase IQ Battery from 10 years to 15 years.</w:t>
      </w:r>
    </w:p>
    <w:p>
      <w:pPr>
        <w:spacing w:after="0" w:line="64" w:lineRule="exact"/>
        <w:rPr>
          <w:sz w:val="20"/>
          <w:szCs w:val="20"/>
          <w:color w:val="auto"/>
        </w:rPr>
      </w:pPr>
    </w:p>
    <w:p>
      <w:pPr>
        <w:jc w:val="both"/>
        <w:ind w:firstLine="627"/>
        <w:spacing w:after="0" w:line="232" w:lineRule="auto"/>
        <w:rPr>
          <w:sz w:val="20"/>
          <w:szCs w:val="20"/>
          <w:color w:val="auto"/>
        </w:rPr>
      </w:pPr>
      <w:r>
        <w:rPr>
          <w:rFonts w:ascii="Arial" w:cs="Arial" w:eastAsia="Arial" w:hAnsi="Arial"/>
          <w:sz w:val="17"/>
          <w:szCs w:val="17"/>
          <w:color w:val="auto"/>
        </w:rPr>
        <w:t>In the six months ended June 30, 2024, the Company recorded $12.6 million in warranty benefit from change in estimates, of which $11.1 million and $4.4 million related to a decrease in product replacement costs and continuing analysis of field performance data and diagnostic root-cause failure analysis, respectively, for Enphase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Battery storage systems, partially offset by an increase of $2.9 million for continuing analysis of field performance data and diagnostic root-cause failure analysis for all other products. In the six months ended June 30, 2023, the Company recorded $6.6 million in warranty benefit from change in estimates, of which $20.5 million related to a decrease in product replacement costs related to Enphase IQ Battery systems and $2.1 million related to decrease in product replacement costs for all other products, partially</w:t>
      </w:r>
    </w:p>
    <w:p>
      <w:pPr>
        <w:spacing w:after="0" w:line="3"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offset by $6.1 million for increasing the warranty period for the Enphase IQ Battery from 10 years to 15 years, and by $9.9 million related to continuing analysis of field performance data and diagnostic root-cause failure analysis primarily for Enphase IQ Battery storage systems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prior generation products.</w:t>
      </w:r>
    </w:p>
    <w:p>
      <w:pPr>
        <w:spacing w:after="0" w:line="152" w:lineRule="exact"/>
        <w:rPr>
          <w:sz w:val="20"/>
          <w:szCs w:val="20"/>
          <w:color w:val="auto"/>
        </w:rPr>
      </w:pPr>
    </w:p>
    <w:p>
      <w:pPr>
        <w:ind w:left="340" w:hanging="335"/>
        <w:spacing w:after="0"/>
        <w:tabs>
          <w:tab w:leader="none" w:pos="34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120" w:lineRule="exact"/>
        <w:rPr>
          <w:sz w:val="20"/>
          <w:szCs w:val="20"/>
          <w:color w:val="auto"/>
        </w:rPr>
      </w:pPr>
    </w:p>
    <w:p>
      <w:pPr>
        <w:jc w:val="both"/>
        <w:ind w:firstLine="470"/>
        <w:spacing w:after="0" w:line="269" w:lineRule="auto"/>
        <w:rPr>
          <w:sz w:val="20"/>
          <w:szCs w:val="20"/>
          <w:color w:val="auto"/>
        </w:rPr>
      </w:pPr>
      <w:r>
        <w:rPr>
          <w:rFonts w:ascii="Arial" w:cs="Arial" w:eastAsia="Arial" w:hAnsi="Arial"/>
          <w:sz w:val="17"/>
          <w:szCs w:val="17"/>
          <w:color w:val="auto"/>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spacing w:after="0" w:line="274"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The fair value hierarchy requires an entity to maximize the use of observable inputs and minimize the use of unobservable inputs when measuring fair value. An asset’s or liability’s categorization within the fair value hierarchy is based upon the lowest level of input that is significant to the fair value measurement. Three levels of inputs may be used to measure fair value:</w:t>
      </w:r>
    </w:p>
    <w:p>
      <w:pPr>
        <w:spacing w:after="0" w:line="55" w:lineRule="exact"/>
        <w:rPr>
          <w:sz w:val="20"/>
          <w:szCs w:val="20"/>
          <w:color w:val="auto"/>
        </w:rPr>
      </w:pPr>
    </w:p>
    <w:p>
      <w:pPr>
        <w:jc w:val="both"/>
        <w:ind w:left="780" w:hanging="305"/>
        <w:spacing w:after="0" w:line="277" w:lineRule="auto"/>
        <w:tabs>
          <w:tab w:leader="none" w:pos="776"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Level 1 - Valuations based on quoted prices in active markets for identical assets or liabilities that the Company is able to access. Since valuations are based on quoted prices that are readily and regularly available in an active market, valuation of such assets or liabilities do not entail a significant degree of judgment.</w:t>
      </w:r>
    </w:p>
    <w:p>
      <w:pPr>
        <w:spacing w:after="0" w:line="55" w:lineRule="exact"/>
        <w:rPr>
          <w:rFonts w:ascii="Arial" w:cs="Arial" w:eastAsia="Arial" w:hAnsi="Arial"/>
          <w:sz w:val="17"/>
          <w:szCs w:val="17"/>
          <w:color w:val="auto"/>
        </w:rPr>
      </w:pPr>
    </w:p>
    <w:p>
      <w:pPr>
        <w:ind w:left="780" w:hanging="305"/>
        <w:spacing w:after="0" w:line="298" w:lineRule="auto"/>
        <w:tabs>
          <w:tab w:leader="none" w:pos="776"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Level 2 - Valuations based on one or more quoted prices in markets that are not active or for which all significant inputs are observable, either directly or indirectly.</w:t>
      </w:r>
    </w:p>
    <w:p>
      <w:pPr>
        <w:spacing w:after="0" w:line="37" w:lineRule="exact"/>
        <w:rPr>
          <w:rFonts w:ascii="Arial" w:cs="Arial" w:eastAsia="Arial" w:hAnsi="Arial"/>
          <w:sz w:val="17"/>
          <w:szCs w:val="17"/>
          <w:color w:val="auto"/>
        </w:rPr>
      </w:pPr>
    </w:p>
    <w:p>
      <w:pPr>
        <w:ind w:left="780" w:hanging="305"/>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Level 3 - Valuations based on inputs that are unobservable and significant to the overall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assets and liabilities measured at fair value on a recurring basis using the above input categories: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97"/>
              </w:rPr>
              <w:t>June 30, 2024</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8"/>
              </w:rPr>
              <w:t>December 31, 2023</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gridSpan w:val="4"/>
          </w:tcPr>
          <w:p>
            <w:pPr>
              <w:jc w:val="right"/>
              <w:ind w:right="702"/>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2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Level 2</w:t>
            </w:r>
          </w:p>
        </w:tc>
        <w:tc>
          <w:tcPr>
            <w:tcW w:w="22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18"/>
                <w:szCs w:val="18"/>
                <w:color w:val="auto"/>
              </w:rPr>
            </w:pPr>
          </w:p>
        </w:tc>
        <w:tc>
          <w:tcPr>
            <w:tcW w:w="960" w:type="dxa"/>
            <w:vAlign w:val="bottom"/>
          </w:tcPr>
          <w:p>
            <w:pPr>
              <w:jc w:val="right"/>
              <w:ind w:right="222"/>
              <w:spacing w:after="0"/>
              <w:rPr>
                <w:sz w:val="20"/>
                <w:szCs w:val="20"/>
                <w:color w:val="auto"/>
              </w:rPr>
            </w:pPr>
            <w:r>
              <w:rPr>
                <w:rFonts w:ascii="Arial" w:cs="Arial" w:eastAsia="Arial" w:hAnsi="Arial"/>
                <w:sz w:val="16"/>
                <w:szCs w:val="16"/>
                <w:b w:val="1"/>
                <w:bCs w:val="1"/>
                <w:color w:val="auto"/>
              </w:rPr>
              <w:t>Level 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9"/>
              </w:rPr>
              <w:t>Level 2</w:t>
            </w:r>
          </w:p>
        </w:tc>
        <w:tc>
          <w:tcPr>
            <w:tcW w:w="200" w:type="dxa"/>
            <w:vAlign w:val="bottom"/>
          </w:tcPr>
          <w:p>
            <w:pPr>
              <w:spacing w:after="0"/>
              <w:rPr>
                <w:sz w:val="18"/>
                <w:szCs w:val="18"/>
                <w:color w:val="auto"/>
              </w:rPr>
            </w:pPr>
          </w:p>
        </w:tc>
        <w:tc>
          <w:tcPr>
            <w:tcW w:w="980" w:type="dxa"/>
            <w:vAlign w:val="bottom"/>
          </w:tcPr>
          <w:p>
            <w:pPr>
              <w:jc w:val="right"/>
              <w:ind w:right="262"/>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189"/>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520" w:type="dxa"/>
            <w:vAlign w:val="bottom"/>
          </w:tcPr>
          <w:p>
            <w:pPr>
              <w:ind w:left="140"/>
              <w:spacing w:after="0"/>
              <w:rPr>
                <w:sz w:val="20"/>
                <w:szCs w:val="20"/>
                <w:color w:val="auto"/>
              </w:rPr>
            </w:pPr>
            <w:r>
              <w:rPr>
                <w:rFonts w:ascii="Arial" w:cs="Arial" w:eastAsia="Arial" w:hAnsi="Arial"/>
                <w:sz w:val="16"/>
                <w:szCs w:val="16"/>
                <w:i w:val="1"/>
                <w:iCs w:val="1"/>
                <w:color w:val="auto"/>
              </w:rPr>
              <w:t>Cash and cash equivalents: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Money market funds</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79,051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132,037</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3520" w:type="dxa"/>
            <w:vAlign w:val="bottom"/>
          </w:tcPr>
          <w:p>
            <w:pPr>
              <w:ind w:left="340"/>
              <w:spacing w:after="0"/>
              <w:rPr>
                <w:sz w:val="20"/>
                <w:szCs w:val="20"/>
                <w:color w:val="auto"/>
              </w:rPr>
            </w:pPr>
            <w:r>
              <w:rPr>
                <w:rFonts w:ascii="Arial" w:cs="Arial" w:eastAsia="Arial" w:hAnsi="Arial"/>
                <w:sz w:val="16"/>
                <w:szCs w:val="16"/>
                <w:color w:val="auto"/>
              </w:rPr>
              <w:t>Certificates of deposit</w:t>
            </w: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Commercial paper</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1,694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3520" w:type="dxa"/>
            <w:vAlign w:val="bottom"/>
          </w:tcPr>
          <w:p>
            <w:pPr>
              <w:ind w:left="340"/>
              <w:spacing w:after="0"/>
              <w:rPr>
                <w:sz w:val="20"/>
                <w:szCs w:val="20"/>
                <w:color w:val="auto"/>
              </w:rPr>
            </w:pPr>
            <w:r>
              <w:rPr>
                <w:rFonts w:ascii="Arial" w:cs="Arial" w:eastAsia="Arial" w:hAnsi="Arial"/>
                <w:sz w:val="16"/>
                <w:szCs w:val="16"/>
                <w:color w:val="auto"/>
              </w:rPr>
              <w:t>Corporate notes and bonds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3,551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U.S. Treasuries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24,963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3520" w:type="dxa"/>
            <w:vAlign w:val="bottom"/>
          </w:tcPr>
          <w:p>
            <w:pPr>
              <w:ind w:left="140"/>
              <w:spacing w:after="0"/>
              <w:rPr>
                <w:sz w:val="20"/>
                <w:szCs w:val="20"/>
                <w:color w:val="auto"/>
              </w:rPr>
            </w:pPr>
            <w:r>
              <w:rPr>
                <w:rFonts w:ascii="Arial" w:cs="Arial" w:eastAsia="Arial" w:hAnsi="Arial"/>
                <w:sz w:val="16"/>
                <w:szCs w:val="16"/>
                <w:i w:val="1"/>
                <w:iCs w:val="1"/>
                <w:color w:val="auto"/>
              </w:rPr>
              <w:t>Marketable securities: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Certificates of deposit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41,240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55,162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3520" w:type="dxa"/>
            <w:vAlign w:val="bottom"/>
          </w:tcPr>
          <w:p>
            <w:pPr>
              <w:ind w:left="340"/>
              <w:spacing w:after="0"/>
              <w:rPr>
                <w:sz w:val="20"/>
                <w:szCs w:val="20"/>
                <w:color w:val="auto"/>
              </w:rPr>
            </w:pPr>
            <w:r>
              <w:rPr>
                <w:rFonts w:ascii="Arial" w:cs="Arial" w:eastAsia="Arial" w:hAnsi="Arial"/>
                <w:sz w:val="16"/>
                <w:szCs w:val="16"/>
                <w:color w:val="auto"/>
              </w:rPr>
              <w:t>Commercial paper</w:t>
            </w: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70,787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69,743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Corporate notes and bonds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388,332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405,634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3520" w:type="dxa"/>
            <w:vAlign w:val="bottom"/>
          </w:tcPr>
          <w:p>
            <w:pPr>
              <w:ind w:left="340"/>
              <w:spacing w:after="0"/>
              <w:rPr>
                <w:sz w:val="20"/>
                <w:szCs w:val="20"/>
                <w:color w:val="auto"/>
              </w:rPr>
            </w:pPr>
            <w:r>
              <w:rPr>
                <w:rFonts w:ascii="Arial" w:cs="Arial" w:eastAsia="Arial" w:hAnsi="Arial"/>
                <w:sz w:val="16"/>
                <w:szCs w:val="16"/>
                <w:color w:val="auto"/>
              </w:rPr>
              <w:t>U.S. Treasuries</w:t>
            </w: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222,638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327,891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U.S. Government agency securities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671,305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547,856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3520" w:type="dxa"/>
            <w:vAlign w:val="bottom"/>
          </w:tcPr>
          <w:p>
            <w:pPr>
              <w:ind w:left="140"/>
              <w:spacing w:after="0"/>
              <w:rPr>
                <w:sz w:val="20"/>
                <w:szCs w:val="20"/>
                <w:color w:val="auto"/>
              </w:rPr>
            </w:pPr>
            <w:r>
              <w:rPr>
                <w:rFonts w:ascii="Arial" w:cs="Arial" w:eastAsia="Arial" w:hAnsi="Arial"/>
                <w:sz w:val="16"/>
                <w:szCs w:val="16"/>
                <w:i w:val="1"/>
                <w:iCs w:val="1"/>
                <w:color w:val="auto"/>
              </w:rPr>
              <w:t>Other assets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Investments in debt securities</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78,866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79,855</w:t>
            </w:r>
          </w:p>
        </w:tc>
        <w:tc>
          <w:tcPr>
            <w:tcW w:w="0" w:type="dxa"/>
            <w:vAlign w:val="bottom"/>
          </w:tcPr>
          <w:p>
            <w:pPr>
              <w:spacing w:after="0"/>
              <w:rPr>
                <w:sz w:val="1"/>
                <w:szCs w:val="1"/>
                <w:color w:val="auto"/>
              </w:rPr>
            </w:pPr>
          </w:p>
        </w:tc>
      </w:tr>
      <w:tr>
        <w:trPr>
          <w:trHeight w:val="203"/>
        </w:trPr>
        <w:tc>
          <w:tcPr>
            <w:tcW w:w="3520" w:type="dxa"/>
            <w:vAlign w:val="bottom"/>
          </w:tcPr>
          <w:p>
            <w:pPr>
              <w:ind w:left="20"/>
              <w:spacing w:after="0"/>
              <w:rPr>
                <w:sz w:val="20"/>
                <w:szCs w:val="20"/>
                <w:color w:val="auto"/>
              </w:rPr>
            </w:pPr>
            <w:r>
              <w:rPr>
                <w:rFonts w:ascii="Arial" w:cs="Arial" w:eastAsia="Arial" w:hAnsi="Arial"/>
                <w:sz w:val="16"/>
                <w:szCs w:val="16"/>
                <w:color w:val="auto"/>
              </w:rPr>
              <w:t>Total assets measured at fair value</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79,051</w:t>
            </w:r>
          </w:p>
        </w:tc>
        <w:tc>
          <w:tcPr>
            <w:tcW w:w="12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1,422,816</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78,866</w:t>
            </w:r>
          </w:p>
        </w:tc>
        <w:tc>
          <w:tcPr>
            <w:tcW w:w="100" w:type="dxa"/>
            <w:vAlign w:val="bottom"/>
          </w:tcPr>
          <w:p>
            <w:pPr>
              <w:spacing w:after="0"/>
              <w:rPr>
                <w:sz w:val="17"/>
                <w:szCs w:val="17"/>
                <w:color w:val="auto"/>
              </w:rPr>
            </w:pP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132,037</w:t>
            </w:r>
          </w:p>
        </w:tc>
        <w:tc>
          <w:tcPr>
            <w:tcW w:w="3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1,409,192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79,855</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Warranty obligations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20" w:type="dxa"/>
            <w:vAlign w:val="bottom"/>
          </w:tcPr>
          <w:p>
            <w:pPr>
              <w:ind w:left="340"/>
              <w:spacing w:after="0"/>
              <w:rPr>
                <w:sz w:val="20"/>
                <w:szCs w:val="20"/>
                <w:color w:val="auto"/>
              </w:rPr>
            </w:pPr>
            <w:r>
              <w:rPr>
                <w:rFonts w:ascii="Arial" w:cs="Arial" w:eastAsia="Arial" w:hAnsi="Arial"/>
                <w:sz w:val="16"/>
                <w:szCs w:val="16"/>
                <w:color w:val="auto"/>
              </w:rPr>
              <w:t>Current</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21,858</w:t>
            </w:r>
          </w:p>
        </w:tc>
        <w:tc>
          <w:tcPr>
            <w:tcW w:w="100" w:type="dxa"/>
            <w:vAlign w:val="bottom"/>
          </w:tcPr>
          <w:p>
            <w:pPr>
              <w:spacing w:after="0"/>
              <w:rPr>
                <w:sz w:val="18"/>
                <w:szCs w:val="18"/>
                <w:color w:val="auto"/>
              </w:rPr>
            </w:pP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28,667</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Non-current</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128,335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133,126</w:t>
            </w:r>
          </w:p>
        </w:tc>
        <w:tc>
          <w:tcPr>
            <w:tcW w:w="0" w:type="dxa"/>
            <w:vAlign w:val="bottom"/>
          </w:tcPr>
          <w:p>
            <w:pPr>
              <w:spacing w:after="0"/>
              <w:rPr>
                <w:sz w:val="1"/>
                <w:szCs w:val="1"/>
                <w:color w:val="auto"/>
              </w:rPr>
            </w:pPr>
          </w:p>
        </w:tc>
      </w:tr>
      <w:tr>
        <w:trPr>
          <w:trHeight w:val="138"/>
        </w:trPr>
        <w:tc>
          <w:tcPr>
            <w:tcW w:w="3520" w:type="dxa"/>
            <w:vAlign w:val="bottom"/>
          </w:tcPr>
          <w:p>
            <w:pPr>
              <w:ind w:left="460"/>
              <w:spacing w:after="0" w:line="138" w:lineRule="exact"/>
              <w:rPr>
                <w:sz w:val="20"/>
                <w:szCs w:val="20"/>
                <w:color w:val="auto"/>
              </w:rPr>
            </w:pPr>
            <w:r>
              <w:rPr>
                <w:rFonts w:ascii="Arial" w:cs="Arial" w:eastAsia="Arial" w:hAnsi="Arial"/>
                <w:sz w:val="15"/>
                <w:szCs w:val="15"/>
                <w:color w:val="auto"/>
              </w:rPr>
              <w:t>Total warranty obligations measured at fair</w:t>
            </w:r>
          </w:p>
        </w:tc>
        <w:tc>
          <w:tcPr>
            <w:tcW w:w="2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150,193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161,793</w:t>
            </w:r>
          </w:p>
        </w:tc>
        <w:tc>
          <w:tcPr>
            <w:tcW w:w="0" w:type="dxa"/>
            <w:vAlign w:val="bottom"/>
          </w:tcPr>
          <w:p>
            <w:pPr>
              <w:spacing w:after="0"/>
              <w:rPr>
                <w:sz w:val="1"/>
                <w:szCs w:val="1"/>
                <w:color w:val="auto"/>
              </w:rPr>
            </w:pPr>
          </w:p>
        </w:tc>
      </w:tr>
      <w:tr>
        <w:trPr>
          <w:trHeight w:val="207"/>
        </w:trPr>
        <w:tc>
          <w:tcPr>
            <w:tcW w:w="35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value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 measured at fair value</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161,793</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Notes due 2028</w:t>
      </w:r>
      <w:r>
        <w:rPr>
          <w:rFonts w:ascii="Arial" w:cs="Arial" w:eastAsia="Arial" w:hAnsi="Arial"/>
          <w:sz w:val="17"/>
          <w:szCs w:val="17"/>
          <w:color w:val="auto"/>
        </w:rPr>
        <w:t>,</w:t>
      </w:r>
      <w:r>
        <w:rPr>
          <w:rFonts w:ascii="Arial" w:cs="Arial" w:eastAsia="Arial" w:hAnsi="Arial"/>
          <w:sz w:val="17"/>
          <w:szCs w:val="17"/>
          <w:i w:val="1"/>
          <w:iCs w:val="1"/>
          <w:color w:val="auto"/>
        </w:rPr>
        <w:t xml:space="preserve"> Notes due 2026 and Notes due 2025</w:t>
      </w:r>
    </w:p>
    <w:p>
      <w:pPr>
        <w:spacing w:after="0" w:line="118"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The Company carries the Notes due 2028 (as defined in Note 9, “Debt”) and Notes due 2026 (as defined in Note 9, “Debt”) at face value less unamortized debt issuance costs on its condensed consolidated balance sheets. The Company carries the Notes due 2025 (as defined in Note 9, “Debt”) at face value less unamortized debt discount and issuance costs on its condensed consolidated balance sheets. As of June 30, 2024, the fair value of the Notes due 2028, Notes due 2026 and Notes due 2025 was $471.5 million, $575.1 million and $166.3 million, respectively. The fair value as of June 30, 2024 was determined based on the closing trading price per $100 principal amount as of the last day of trading for the period. The Company considers the fair value of the Notes due 2028, Notes due 2026 and Notes due 2025 to be a Level 2 measurement as they are not actively traded.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Investments in debt securities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Investment in debt securities is recorded in “Other assets” on the accompanying condensed consolidated balance sheets as of June 30,</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2024 and December 31, 2023. The changes in the balance in investments in debt securities during the period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680" w:type="dxa"/>
            <w:vAlign w:val="bottom"/>
            <w:gridSpan w:val="4"/>
          </w:tcPr>
          <w:p>
            <w:pPr>
              <w:jc w:val="right"/>
              <w:ind w:right="285"/>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r>
      <w:tr>
        <w:trPr>
          <w:trHeight w:val="179"/>
        </w:trPr>
        <w:tc>
          <w:tcPr>
            <w:tcW w:w="49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685"/>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r>
      <w:tr>
        <w:trPr>
          <w:trHeight w:val="189"/>
        </w:trPr>
        <w:tc>
          <w:tcPr>
            <w:tcW w:w="49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w w:val="96"/>
              </w:rPr>
              <w:t>2023</w:t>
            </w:r>
          </w:p>
        </w:tc>
      </w:tr>
      <w:tr>
        <w:trPr>
          <w:trHeight w:val="224"/>
        </w:trPr>
        <w:tc>
          <w:tcPr>
            <w:tcW w:w="4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00" w:type="dxa"/>
            <w:vAlign w:val="bottom"/>
            <w:gridSpan w:val="3"/>
          </w:tcPr>
          <w:p>
            <w:pPr>
              <w:jc w:val="right"/>
              <w:ind w:right="82"/>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3"/>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1000" w:type="dxa"/>
            <w:vAlign w:val="bottom"/>
            <w:shd w:val="clear" w:color="auto" w:fill="CCEEFF"/>
          </w:tcPr>
          <w:p>
            <w:pPr>
              <w:jc w:val="right"/>
              <w:ind w:right="826"/>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80,797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05"/>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58,521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79,855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56,777</w:t>
            </w:r>
          </w:p>
        </w:tc>
      </w:tr>
      <w:tr>
        <w:trPr>
          <w:trHeight w:val="208"/>
        </w:trPr>
        <w:tc>
          <w:tcPr>
            <w:tcW w:w="4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Fair value adjustments included in other income, net</w:t>
            </w: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(1,931)</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1,754</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3,498</w:t>
            </w:r>
          </w:p>
        </w:tc>
      </w:tr>
      <w:tr>
        <w:trPr>
          <w:trHeight w:val="22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1000" w:type="dxa"/>
            <w:vAlign w:val="bottom"/>
            <w:tcBorders>
              <w:bottom w:val="single" w:sz="8" w:color="auto"/>
            </w:tcBorders>
            <w:shd w:val="clear" w:color="auto" w:fill="CCEEFF"/>
          </w:tcPr>
          <w:p>
            <w:pPr>
              <w:jc w:val="right"/>
              <w:ind w:right="826"/>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78,866</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805"/>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60,275</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78,866</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60,275</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Equity investments without readily determinable fair value</w:t>
      </w:r>
    </w:p>
    <w:p>
      <w:pPr>
        <w:spacing w:after="0" w:line="118"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The Company had previously invested $6.0 million in a privately-held company without readily determinable fair value, which is included in “Other assets” in the condensed consolidated balance sheet as of December 31, 2023. During the three and six months ended June 30, 2024, the Company determined that the carrying value of the investment was not recoverable. Accordingly, the Company recorded an impairment charge of $6.0 million within “Other income, net” on the condensed consolidated statement of operations for the three and six months ended June 30, 2024.</w:t>
      </w:r>
    </w:p>
    <w:p>
      <w:pPr>
        <w:spacing w:after="0" w:line="61"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Warranty obligations</w:t>
      </w:r>
    </w:p>
    <w:p>
      <w:pPr>
        <w:spacing w:after="0" w:line="168"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Fair Value Option for Warranty Obligations Related to Products Sold Since January 1, 2014</w:t>
      </w:r>
    </w:p>
    <w:p>
      <w:pPr>
        <w:spacing w:after="0" w:line="120" w:lineRule="exact"/>
        <w:rPr>
          <w:sz w:val="20"/>
          <w:szCs w:val="20"/>
          <w:color w:val="auto"/>
        </w:rPr>
      </w:pPr>
    </w:p>
    <w:p>
      <w:pPr>
        <w:jc w:val="both"/>
        <w:ind w:firstLine="470"/>
        <w:spacing w:after="0" w:line="265" w:lineRule="auto"/>
        <w:rPr>
          <w:sz w:val="20"/>
          <w:szCs w:val="20"/>
          <w:color w:val="auto"/>
        </w:rPr>
      </w:pPr>
      <w:r>
        <w:rPr>
          <w:rFonts w:ascii="Arial" w:cs="Arial" w:eastAsia="Arial" w:hAnsi="Arial"/>
          <w:sz w:val="17"/>
          <w:szCs w:val="17"/>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return rates and replacement costs, the Company used certain Level 3 inputs, which are unobservable and significant to the overall fair value measurement. Such additional assumptions are based on the Company’s credit-adjusted risk-free rate (“discount rate”) and compensation comprised of a profit element and risk premium required of a market participant to assume the obligation.</w:t>
      </w:r>
    </w:p>
    <w:p>
      <w:pPr>
        <w:spacing w:after="0" w:line="64"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The following table provides information regarding changes in nonfinancial liabilities related to the Company’s warranty obligations measured at fair value on a recurring basis using significant unobservable inputs designated as Level 3 for the periods indicated:</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183"/>
        </w:trPr>
        <w:tc>
          <w:tcPr>
            <w:tcW w:w="5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82"/>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r>
      <w:tr>
        <w:trPr>
          <w:trHeight w:val="189"/>
        </w:trPr>
        <w:tc>
          <w:tcPr>
            <w:tcW w:w="5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2023</w:t>
            </w:r>
          </w:p>
        </w:tc>
      </w:tr>
      <w:tr>
        <w:trPr>
          <w:trHeight w:val="224"/>
        </w:trPr>
        <w:tc>
          <w:tcPr>
            <w:tcW w:w="5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gridSpan w:val="3"/>
          </w:tcPr>
          <w:p>
            <w:pPr>
              <w:jc w:val="right"/>
              <w:ind w:right="2"/>
              <w:spacing w:after="0"/>
              <w:rPr>
                <w:sz w:val="20"/>
                <w:szCs w:val="20"/>
                <w:color w:val="auto"/>
              </w:rPr>
            </w:pPr>
            <w:r>
              <w:rPr>
                <w:rFonts w:ascii="Arial" w:cs="Arial" w:eastAsia="Arial" w:hAnsi="Arial"/>
                <w:sz w:val="14"/>
                <w:szCs w:val="14"/>
                <w:i w:val="1"/>
                <w:i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3"/>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Balance at beginning of period</w:t>
            </w: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150,550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119,508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161,793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106,489</w:t>
            </w:r>
          </w:p>
        </w:tc>
      </w:tr>
      <w:tr>
        <w:trPr>
          <w:trHeight w:val="208"/>
        </w:trPr>
        <w:tc>
          <w:tcPr>
            <w:tcW w:w="5200" w:type="dxa"/>
            <w:vAlign w:val="bottom"/>
          </w:tcPr>
          <w:p>
            <w:pPr>
              <w:ind w:left="120"/>
              <w:spacing w:after="0"/>
              <w:rPr>
                <w:sz w:val="20"/>
                <w:szCs w:val="20"/>
                <w:color w:val="auto"/>
              </w:rPr>
            </w:pPr>
            <w:r>
              <w:rPr>
                <w:rFonts w:ascii="Arial" w:cs="Arial" w:eastAsia="Arial" w:hAnsi="Arial"/>
                <w:sz w:val="16"/>
                <w:szCs w:val="16"/>
                <w:color w:val="auto"/>
              </w:rPr>
              <w:t>Accruals for warranties issued during period</w:t>
            </w:r>
          </w:p>
        </w:tc>
        <w:tc>
          <w:tcPr>
            <w:tcW w:w="30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6,417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16,344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12,499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32,369</w:t>
            </w:r>
          </w:p>
        </w:tc>
      </w:tr>
      <w:tr>
        <w:trPr>
          <w:trHeight w:val="210"/>
        </w:trPr>
        <w:tc>
          <w:tcPr>
            <w:tcW w:w="5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 in estimates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(11,680)</w:t>
            </w:r>
          </w:p>
        </w:tc>
      </w:tr>
      <w:tr>
        <w:trPr>
          <w:trHeight w:val="208"/>
        </w:trPr>
        <w:tc>
          <w:tcPr>
            <w:tcW w:w="5200" w:type="dxa"/>
            <w:vAlign w:val="bottom"/>
          </w:tcPr>
          <w:p>
            <w:pPr>
              <w:ind w:left="120"/>
              <w:spacing w:after="0"/>
              <w:rPr>
                <w:sz w:val="20"/>
                <w:szCs w:val="20"/>
                <w:color w:val="auto"/>
              </w:rPr>
            </w:pPr>
            <w:r>
              <w:rPr>
                <w:rFonts w:ascii="Arial" w:cs="Arial" w:eastAsia="Arial" w:hAnsi="Arial"/>
                <w:sz w:val="16"/>
                <w:szCs w:val="16"/>
                <w:color w:val="auto"/>
              </w:rPr>
              <w:t>Settlements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(5,796)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(6,179)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(12,336)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(14,013)</w:t>
            </w:r>
          </w:p>
        </w:tc>
      </w:tr>
      <w:tr>
        <w:trPr>
          <w:trHeight w:val="210"/>
        </w:trPr>
        <w:tc>
          <w:tcPr>
            <w:tcW w:w="5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Increase due to accretion expense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2,690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3,907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5,595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7,452</w:t>
            </w:r>
          </w:p>
        </w:tc>
      </w:tr>
      <w:tr>
        <w:trPr>
          <w:trHeight w:val="208"/>
        </w:trPr>
        <w:tc>
          <w:tcPr>
            <w:tcW w:w="5200" w:type="dxa"/>
            <w:vAlign w:val="bottom"/>
          </w:tcPr>
          <w:p>
            <w:pPr>
              <w:ind w:left="120"/>
              <w:spacing w:after="0"/>
              <w:rPr>
                <w:sz w:val="20"/>
                <w:szCs w:val="20"/>
                <w:color w:val="auto"/>
              </w:rPr>
            </w:pPr>
            <w:r>
              <w:rPr>
                <w:rFonts w:ascii="Arial" w:cs="Arial" w:eastAsia="Arial" w:hAnsi="Arial"/>
                <w:sz w:val="16"/>
                <w:szCs w:val="16"/>
                <w:color w:val="auto"/>
              </w:rPr>
              <w:t>Change in discount rate</w:t>
            </w:r>
          </w:p>
        </w:tc>
        <w:tc>
          <w:tcPr>
            <w:tcW w:w="30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759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31,797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759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31,797</w:t>
            </w:r>
          </w:p>
        </w:tc>
      </w:tr>
      <w:tr>
        <w:trPr>
          <w:trHeight w:val="209"/>
        </w:trPr>
        <w:tc>
          <w:tcPr>
            <w:tcW w:w="5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(1,911)</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(3,649)</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(1,874)</w:t>
            </w: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Balance at end of period</w:t>
            </w: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150,193</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150,540</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150,193</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150,540</w:t>
            </w:r>
          </w:p>
        </w:tc>
      </w:tr>
      <w:tr>
        <w:trPr>
          <w:trHeight w:val="20"/>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66"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Quantitative and Qualitative Information about Level 3 Fair Value Measurements</w:t>
      </w:r>
    </w:p>
    <w:p>
      <w:pPr>
        <w:spacing w:after="0" w:line="120"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As of June 30, 2024 and December 31, 2023, the significant unobservable inputs used in the fair value measurement of the Company’s liabilities designated as Level 3 were as follows, of which the monetary impact for change in discount rate is captured in “Change in discount rate” in the table above:</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40" w:type="dxa"/>
            <w:vAlign w:val="bottom"/>
            <w:gridSpan w:val="3"/>
          </w:tcPr>
          <w:p>
            <w:pPr>
              <w:jc w:val="center"/>
              <w:ind w:right="930"/>
              <w:spacing w:after="0"/>
              <w:rPr>
                <w:sz w:val="20"/>
                <w:szCs w:val="20"/>
                <w:color w:val="auto"/>
              </w:rPr>
            </w:pPr>
            <w:r>
              <w:rPr>
                <w:rFonts w:ascii="Arial" w:cs="Arial" w:eastAsia="Arial" w:hAnsi="Arial"/>
                <w:sz w:val="14"/>
                <w:szCs w:val="14"/>
                <w:b w:val="1"/>
                <w:bCs w:val="1"/>
                <w:color w:val="auto"/>
              </w:rPr>
              <w:t>Percent Used</w:t>
            </w:r>
          </w:p>
        </w:tc>
        <w:tc>
          <w:tcPr>
            <w:tcW w:w="0" w:type="dxa"/>
            <w:vAlign w:val="bottom"/>
          </w:tcPr>
          <w:p>
            <w:pPr>
              <w:spacing w:after="0"/>
              <w:rPr>
                <w:sz w:val="1"/>
                <w:szCs w:val="1"/>
                <w:color w:val="auto"/>
              </w:rPr>
            </w:pPr>
          </w:p>
        </w:tc>
      </w:tr>
      <w:tr>
        <w:trPr>
          <w:trHeight w:val="183"/>
        </w:trPr>
        <w:tc>
          <w:tcPr>
            <w:tcW w:w="31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8"/>
              </w:rPr>
              <w:t>(Weighted Average)</w:t>
            </w:r>
          </w:p>
        </w:tc>
        <w:tc>
          <w:tcPr>
            <w:tcW w:w="0" w:type="dxa"/>
            <w:vAlign w:val="bottom"/>
          </w:tcPr>
          <w:p>
            <w:pPr>
              <w:spacing w:after="0"/>
              <w:rPr>
                <w:sz w:val="1"/>
                <w:szCs w:val="1"/>
                <w:color w:val="auto"/>
              </w:rPr>
            </w:pPr>
          </w:p>
        </w:tc>
      </w:tr>
      <w:tr>
        <w:trPr>
          <w:trHeight w:val="137"/>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auto"/>
              </w:rPr>
              <w:t>Item Measured at Fair Value</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Valuation Technique</w:t>
            </w:r>
          </w:p>
        </w:tc>
        <w:tc>
          <w:tcPr>
            <w:tcW w:w="100" w:type="dxa"/>
            <w:vAlign w:val="bottom"/>
            <w:vMerge w:val="restart"/>
          </w:tcPr>
          <w:p>
            <w:pPr>
              <w:spacing w:after="0"/>
              <w:rPr>
                <w:sz w:val="11"/>
                <w:szCs w:val="11"/>
                <w:color w:val="auto"/>
              </w:rPr>
            </w:pPr>
          </w:p>
        </w:tc>
        <w:tc>
          <w:tcPr>
            <w:tcW w:w="3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Description of Significant Unobservable Input</w:t>
            </w:r>
          </w:p>
        </w:tc>
        <w:tc>
          <w:tcPr>
            <w:tcW w:w="100" w:type="dxa"/>
            <w:vAlign w:val="bottom"/>
            <w:vMerge w:val="restart"/>
          </w:tcPr>
          <w:p>
            <w:pPr>
              <w:spacing w:after="0"/>
              <w:rPr>
                <w:sz w:val="11"/>
                <w:szCs w:val="11"/>
                <w:color w:val="auto"/>
              </w:rPr>
            </w:pPr>
          </w:p>
        </w:tc>
        <w:tc>
          <w:tcPr>
            <w:tcW w:w="1020" w:type="dxa"/>
            <w:vAlign w:val="bottom"/>
          </w:tcPr>
          <w:p>
            <w:pPr>
              <w:ind w:left="440"/>
              <w:spacing w:after="0" w:line="137" w:lineRule="exact"/>
              <w:rPr>
                <w:sz w:val="20"/>
                <w:szCs w:val="20"/>
                <w:color w:val="auto"/>
              </w:rPr>
            </w:pPr>
            <w:r>
              <w:rPr>
                <w:rFonts w:ascii="Arial" w:cs="Arial" w:eastAsia="Arial" w:hAnsi="Arial"/>
                <w:sz w:val="14"/>
                <w:szCs w:val="14"/>
                <w:b w:val="1"/>
                <w:bCs w:val="1"/>
                <w:color w:val="auto"/>
                <w:w w:val="99"/>
              </w:rPr>
              <w:t>June 30,</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ind w:left="260"/>
              <w:spacing w:after="0" w:line="13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3180" w:type="dxa"/>
            <w:vAlign w:val="bottom"/>
            <w:vMerge w:val="continue"/>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1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20" w:type="dxa"/>
            <w:vAlign w:val="bottom"/>
            <w:tcBorders>
              <w:bottom w:val="single" w:sz="8" w:color="auto"/>
            </w:tcBorders>
          </w:tcPr>
          <w:p>
            <w:pPr>
              <w:jc w:val="center"/>
              <w:ind w:left="347"/>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2023</w:t>
            </w:r>
          </w:p>
        </w:tc>
        <w:tc>
          <w:tcPr>
            <w:tcW w:w="0" w:type="dxa"/>
            <w:vAlign w:val="bottom"/>
          </w:tcPr>
          <w:p>
            <w:pPr>
              <w:spacing w:after="0"/>
              <w:rPr>
                <w:sz w:val="1"/>
                <w:szCs w:val="1"/>
                <w:color w:val="auto"/>
              </w:rPr>
            </w:pPr>
          </w:p>
        </w:tc>
      </w:tr>
      <w:tr>
        <w:trPr>
          <w:trHeight w:val="246"/>
        </w:trPr>
        <w:tc>
          <w:tcPr>
            <w:tcW w:w="3180" w:type="dxa"/>
            <w:vAlign w:val="bottom"/>
          </w:tcPr>
          <w:p>
            <w:pPr>
              <w:spacing w:after="0"/>
              <w:rPr>
                <w:sz w:val="20"/>
                <w:szCs w:val="20"/>
                <w:color w:val="auto"/>
              </w:rPr>
            </w:pPr>
            <w:r>
              <w:rPr>
                <w:rFonts w:ascii="Arial" w:cs="Arial" w:eastAsia="Arial" w:hAnsi="Arial"/>
                <w:sz w:val="16"/>
                <w:szCs w:val="16"/>
                <w:color w:val="auto"/>
              </w:rPr>
              <w:t>Warranty obligations for products sold since</w:t>
            </w: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7"/>
              </w:rPr>
              <w:t>Discounted cash flows</w:t>
            </w:r>
          </w:p>
        </w:tc>
        <w:tc>
          <w:tcPr>
            <w:tcW w:w="32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8"/>
              </w:rPr>
              <w:t>Profit element and risk premium</w:t>
            </w:r>
          </w:p>
        </w:tc>
        <w:tc>
          <w:tcPr>
            <w:tcW w:w="1020" w:type="dxa"/>
            <w:vAlign w:val="bottom"/>
            <w:tcBorders>
              <w:bottom w:val="single" w:sz="8" w:color="CCEEFF"/>
            </w:tcBorders>
            <w:shd w:val="clear" w:color="auto" w:fill="CCEEFF"/>
          </w:tcPr>
          <w:p>
            <w:pPr>
              <w:jc w:val="center"/>
              <w:ind w:left="347"/>
              <w:spacing w:after="0"/>
              <w:rPr>
                <w:sz w:val="20"/>
                <w:szCs w:val="20"/>
                <w:color w:val="auto"/>
              </w:rPr>
            </w:pPr>
            <w:r>
              <w:rPr>
                <w:rFonts w:ascii="Arial" w:cs="Arial" w:eastAsia="Arial" w:hAnsi="Arial"/>
                <w:sz w:val="16"/>
                <w:szCs w:val="16"/>
                <w:color w:val="auto"/>
                <w:w w:val="99"/>
              </w:rPr>
              <w:t>17%</w:t>
            </w:r>
          </w:p>
        </w:tc>
        <w:tc>
          <w:tcPr>
            <w:tcW w:w="1940" w:type="dxa"/>
            <w:vAlign w:val="bottom"/>
            <w:tcBorders>
              <w:bottom w:val="single" w:sz="8" w:color="CCEEFF"/>
            </w:tcBorders>
            <w:gridSpan w:val="3"/>
            <w:shd w:val="clear" w:color="auto" w:fill="CCEEFF"/>
          </w:tcPr>
          <w:p>
            <w:pPr>
              <w:jc w:val="center"/>
              <w:ind w:left="445"/>
              <w:spacing w:after="0"/>
              <w:rPr>
                <w:sz w:val="20"/>
                <w:szCs w:val="20"/>
                <w:color w:val="auto"/>
              </w:rPr>
            </w:pPr>
            <w:r>
              <w:rPr>
                <w:rFonts w:ascii="Arial" w:cs="Arial" w:eastAsia="Arial" w:hAnsi="Arial"/>
                <w:sz w:val="16"/>
                <w:szCs w:val="16"/>
                <w:color w:val="auto"/>
                <w:w w:val="93"/>
              </w:rPr>
              <w:t>17%</w:t>
            </w:r>
          </w:p>
        </w:tc>
        <w:tc>
          <w:tcPr>
            <w:tcW w:w="0" w:type="dxa"/>
            <w:vAlign w:val="bottom"/>
          </w:tcPr>
          <w:p>
            <w:pPr>
              <w:spacing w:after="0"/>
              <w:rPr>
                <w:sz w:val="1"/>
                <w:szCs w:val="1"/>
                <w:color w:val="auto"/>
              </w:rPr>
            </w:pPr>
          </w:p>
        </w:tc>
      </w:tr>
      <w:tr>
        <w:trPr>
          <w:trHeight w:val="82"/>
        </w:trPr>
        <w:tc>
          <w:tcPr>
            <w:tcW w:w="3180" w:type="dxa"/>
            <w:vAlign w:val="bottom"/>
            <w:vMerge w:val="restart"/>
          </w:tcPr>
          <w:p>
            <w:pPr>
              <w:spacing w:after="0" w:line="161" w:lineRule="exact"/>
              <w:rPr>
                <w:sz w:val="20"/>
                <w:szCs w:val="20"/>
                <w:color w:val="auto"/>
              </w:rPr>
            </w:pPr>
            <w:r>
              <w:rPr>
                <w:rFonts w:ascii="Arial" w:cs="Arial" w:eastAsia="Arial" w:hAnsi="Arial"/>
                <w:sz w:val="16"/>
                <w:szCs w:val="16"/>
                <w:color w:val="auto"/>
              </w:rPr>
              <w:t>January 1, 2014</w:t>
            </w:r>
          </w:p>
        </w:tc>
        <w:tc>
          <w:tcPr>
            <w:tcW w:w="1820" w:type="dxa"/>
            <w:vAlign w:val="bottom"/>
            <w:gridSpan w:val="2"/>
            <w:vMerge w:val="continue"/>
          </w:tcPr>
          <w:p>
            <w:pPr>
              <w:spacing w:after="0"/>
              <w:rPr>
                <w:sz w:val="7"/>
                <w:szCs w:val="7"/>
                <w:color w:val="auto"/>
              </w:rPr>
            </w:pPr>
          </w:p>
        </w:tc>
        <w:tc>
          <w:tcPr>
            <w:tcW w:w="3260" w:type="dxa"/>
            <w:vAlign w:val="bottom"/>
            <w:tcBorders>
              <w:top w:val="single" w:sz="8" w:color="ACACAC"/>
            </w:tcBorders>
            <w:gridSpan w:val="2"/>
            <w:vMerge w:val="restart"/>
          </w:tcPr>
          <w:p>
            <w:pPr>
              <w:jc w:val="center"/>
              <w:ind w:right="80"/>
              <w:spacing w:after="0"/>
              <w:rPr>
                <w:sz w:val="20"/>
                <w:szCs w:val="20"/>
                <w:color w:val="auto"/>
              </w:rPr>
            </w:pPr>
            <w:r>
              <w:rPr>
                <w:rFonts w:ascii="Arial" w:cs="Arial" w:eastAsia="Arial" w:hAnsi="Arial"/>
                <w:sz w:val="16"/>
                <w:szCs w:val="16"/>
                <w:color w:val="auto"/>
                <w:w w:val="97"/>
              </w:rPr>
              <w:t>Credit-adjusted risk-free rate</w:t>
            </w:r>
          </w:p>
        </w:tc>
        <w:tc>
          <w:tcPr>
            <w:tcW w:w="1020" w:type="dxa"/>
            <w:vAlign w:val="bottom"/>
            <w:tcBorders>
              <w:top w:val="single" w:sz="8" w:color="ACACAC"/>
            </w:tcBorders>
            <w:vMerge w:val="restart"/>
          </w:tcPr>
          <w:p>
            <w:pPr>
              <w:jc w:val="center"/>
              <w:ind w:left="347"/>
              <w:spacing w:after="0"/>
              <w:rPr>
                <w:sz w:val="20"/>
                <w:szCs w:val="20"/>
                <w:color w:val="auto"/>
              </w:rPr>
            </w:pPr>
            <w:r>
              <w:rPr>
                <w:rFonts w:ascii="Arial" w:cs="Arial" w:eastAsia="Arial" w:hAnsi="Arial"/>
                <w:sz w:val="16"/>
                <w:szCs w:val="16"/>
                <w:color w:val="auto"/>
              </w:rPr>
              <w:t>7%</w:t>
            </w:r>
          </w:p>
        </w:tc>
        <w:tc>
          <w:tcPr>
            <w:tcW w:w="1940" w:type="dxa"/>
            <w:vAlign w:val="bottom"/>
            <w:tcBorders>
              <w:top w:val="single" w:sz="8" w:color="ACACAC"/>
            </w:tcBorders>
            <w:gridSpan w:val="3"/>
            <w:vMerge w:val="restart"/>
          </w:tcPr>
          <w:p>
            <w:pPr>
              <w:jc w:val="center"/>
              <w:ind w:left="445"/>
              <w:spacing w:after="0"/>
              <w:rPr>
                <w:sz w:val="20"/>
                <w:szCs w:val="20"/>
                <w:color w:val="auto"/>
              </w:rPr>
            </w:pPr>
            <w:r>
              <w:rPr>
                <w:rFonts w:ascii="Arial" w:cs="Arial" w:eastAsia="Arial" w:hAnsi="Arial"/>
                <w:sz w:val="16"/>
                <w:szCs w:val="16"/>
                <w:color w:val="auto"/>
                <w:w w:val="94"/>
              </w:rPr>
              <w:t>7%</w:t>
            </w:r>
          </w:p>
        </w:tc>
        <w:tc>
          <w:tcPr>
            <w:tcW w:w="0" w:type="dxa"/>
            <w:vAlign w:val="bottom"/>
          </w:tcPr>
          <w:p>
            <w:pPr>
              <w:spacing w:after="0"/>
              <w:rPr>
                <w:sz w:val="1"/>
                <w:szCs w:val="1"/>
                <w:color w:val="auto"/>
              </w:rPr>
            </w:pPr>
          </w:p>
        </w:tc>
      </w:tr>
      <w:tr>
        <w:trPr>
          <w:trHeight w:val="78"/>
        </w:trPr>
        <w:tc>
          <w:tcPr>
            <w:tcW w:w="3180" w:type="dxa"/>
            <w:vAlign w:val="bottom"/>
            <w:vMerge w:val="continue"/>
          </w:tcPr>
          <w:p>
            <w:pPr>
              <w:spacing w:after="0"/>
              <w:rPr>
                <w:sz w:val="6"/>
                <w:szCs w:val="6"/>
                <w:color w:val="auto"/>
              </w:rPr>
            </w:pPr>
          </w:p>
        </w:tc>
        <w:tc>
          <w:tcPr>
            <w:tcW w:w="1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60" w:type="dxa"/>
            <w:vAlign w:val="bottom"/>
            <w:gridSpan w:val="2"/>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9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31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60" w:type="dxa"/>
            <w:vAlign w:val="bottom"/>
            <w:gridSpan w:val="2"/>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9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Sensitivity of Level 3 Inputs - Warranty Obligations</w:t>
      </w:r>
    </w:p>
    <w:p>
      <w:pPr>
        <w:spacing w:after="0" w:line="120" w:lineRule="exact"/>
        <w:rPr>
          <w:sz w:val="20"/>
          <w:szCs w:val="20"/>
          <w:color w:val="auto"/>
        </w:rPr>
      </w:pPr>
    </w:p>
    <w:p>
      <w:pPr>
        <w:jc w:val="both"/>
        <w:ind w:firstLine="470"/>
        <w:spacing w:after="0" w:line="262" w:lineRule="auto"/>
        <w:rPr>
          <w:sz w:val="20"/>
          <w:szCs w:val="20"/>
          <w:color w:val="auto"/>
        </w:rPr>
      </w:pPr>
      <w:r>
        <w:rPr>
          <w:rFonts w:ascii="Arial" w:cs="Arial" w:eastAsia="Arial" w:hAnsi="Arial"/>
          <w:sz w:val="17"/>
          <w:szCs w:val="17"/>
          <w:color w:val="auto"/>
        </w:rPr>
        <w:t>Each of the significant unobservable inputs is independent of the other. The profit element and risk premium are estimated based on the requirements of a third-party participant willing to assume the Company’s warranty obligations. The discount rate is determined by reference to the Company’s own credit standing at the fair value measurement date, which improved in the three and six months ended June 30, 2023, contributing to the $31.8 million change in warranty expense captured in “Change in discount rate” in the table above. Under the expected present value technique, increasing the profit element and risk premium input by 100 basis points would result in a $1.1 million increase to the liability. Decreasing the profit element and risk premium by 100 basis points would result in a $1.1 million reduction of the liability. Increasing the discount rate by 100 basis points would result in a $10.6 million reduction of the liability. Decreasing the discount rate by 100 basis points would result in a $12.0 million increase to the liability.</w:t>
      </w:r>
    </w:p>
    <w:p>
      <w:pPr>
        <w:spacing w:after="0" w:line="120" w:lineRule="exact"/>
        <w:rPr>
          <w:sz w:val="20"/>
          <w:szCs w:val="20"/>
          <w:color w:val="auto"/>
        </w:rPr>
      </w:pPr>
    </w:p>
    <w:p>
      <w:pPr>
        <w:ind w:left="340" w:hanging="335"/>
        <w:spacing w:after="0"/>
        <w:tabs>
          <w:tab w:leader="none" w:pos="34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RESTRUCTURING AND ASSET IMPAIRMENT CHARGES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2023 Restructuring Plan</w:t>
      </w:r>
    </w:p>
    <w:p>
      <w:pPr>
        <w:spacing w:after="0" w:line="120"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In the fourth quarter of 2023, the Company implemented a new restructuring plan (the “2023 Restructuring Plan”) designed to increase operational efficiencies and execution, reduce operating costs, and better align the Company’s workforce and cost structure with current market conditions, and the Company’s business needs, strategic priorities and ongoing commitment to profitable growth. The Company plans to complete its restructuring activities under the 2023 Restructuring Plan in the second half of 2024.</w:t>
      </w:r>
    </w:p>
    <w:p>
      <w:pPr>
        <w:spacing w:after="0" w:line="61" w:lineRule="exact"/>
        <w:rPr>
          <w:sz w:val="20"/>
          <w:szCs w:val="20"/>
          <w:color w:val="auto"/>
        </w:rPr>
      </w:pPr>
    </w:p>
    <w:p>
      <w:pPr>
        <w:ind w:right="420" w:firstLine="470"/>
        <w:spacing w:after="0" w:line="298" w:lineRule="auto"/>
        <w:rPr>
          <w:sz w:val="20"/>
          <w:szCs w:val="20"/>
          <w:color w:val="auto"/>
        </w:rPr>
      </w:pPr>
      <w:r>
        <w:rPr>
          <w:rFonts w:ascii="Arial" w:cs="Arial" w:eastAsia="Arial" w:hAnsi="Arial"/>
          <w:sz w:val="17"/>
          <w:szCs w:val="17"/>
          <w:color w:val="auto"/>
        </w:rPr>
        <w:t>The following table presents the details of the Company’s restructuring and asset impairment charges and accrued balances under the 2023 Restructuring Plan for the three and six months ended June 30, 2024 and 2023:</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0" w:type="dxa"/>
            <w:vAlign w:val="bottom"/>
            <w:gridSpan w:val="4"/>
          </w:tcPr>
          <w:p>
            <w:pPr>
              <w:jc w:val="center"/>
              <w:ind w:left="385"/>
              <w:spacing w:after="0"/>
              <w:rPr>
                <w:sz w:val="20"/>
                <w:szCs w:val="20"/>
                <w:color w:val="auto"/>
              </w:rPr>
            </w:pPr>
            <w:r>
              <w:rPr>
                <w:rFonts w:ascii="Arial" w:cs="Arial" w:eastAsia="Arial" w:hAnsi="Arial"/>
                <w:sz w:val="14"/>
                <w:szCs w:val="14"/>
                <w:b w:val="1"/>
                <w:bCs w:val="1"/>
                <w:color w:val="auto"/>
                <w:w w:val="99"/>
              </w:rPr>
              <w:t>Three Months Ended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r>
      <w:tr>
        <w:trPr>
          <w:trHeight w:val="179"/>
        </w:trPr>
        <w:tc>
          <w:tcPr>
            <w:tcW w:w="48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ind w:left="905"/>
              <w:spacing w:after="0"/>
              <w:rPr>
                <w:sz w:val="20"/>
                <w:szCs w:val="20"/>
                <w:color w:val="auto"/>
              </w:rPr>
            </w:pPr>
            <w:r>
              <w:rPr>
                <w:rFonts w:ascii="Arial" w:cs="Arial" w:eastAsia="Arial" w:hAnsi="Arial"/>
                <w:sz w:val="14"/>
                <w:szCs w:val="14"/>
                <w:b w:val="1"/>
                <w:bCs w:val="1"/>
                <w:color w:val="auto"/>
                <w:w w:val="99"/>
              </w:rPr>
              <w:t>June 30,</w:t>
            </w: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222"/>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r>
      <w:tr>
        <w:trPr>
          <w:trHeight w:val="189"/>
        </w:trPr>
        <w:tc>
          <w:tcPr>
            <w:tcW w:w="48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5"/>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w w:val="96"/>
              </w:rPr>
              <w:t>2023</w:t>
            </w:r>
          </w:p>
        </w:tc>
      </w:tr>
      <w:tr>
        <w:trPr>
          <w:trHeight w:val="224"/>
        </w:trPr>
        <w:tc>
          <w:tcPr>
            <w:tcW w:w="4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gridSpan w:val="3"/>
          </w:tcPr>
          <w:p>
            <w:pPr>
              <w:jc w:val="right"/>
              <w:ind w:right="102"/>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3"/>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Severance and Benefits</w:t>
            </w:r>
          </w:p>
        </w:tc>
        <w:tc>
          <w:tcPr>
            <w:tcW w:w="44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839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177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w:t>
            </w:r>
          </w:p>
        </w:tc>
      </w:tr>
      <w:tr>
        <w:trPr>
          <w:trHeight w:val="208"/>
        </w:trPr>
        <w:tc>
          <w:tcPr>
            <w:tcW w:w="4820" w:type="dxa"/>
            <w:vAlign w:val="bottom"/>
          </w:tcPr>
          <w:p>
            <w:pPr>
              <w:ind w:left="20"/>
              <w:spacing w:after="0"/>
              <w:rPr>
                <w:sz w:val="20"/>
                <w:szCs w:val="20"/>
                <w:color w:val="auto"/>
              </w:rPr>
            </w:pPr>
            <w:r>
              <w:rPr>
                <w:rFonts w:ascii="Arial" w:cs="Arial" w:eastAsia="Arial" w:hAnsi="Arial"/>
                <w:sz w:val="16"/>
                <w:szCs w:val="16"/>
                <w:color w:val="auto"/>
              </w:rPr>
              <w:t>Contract Termination Charges</w:t>
            </w:r>
          </w:p>
        </w:tc>
        <w:tc>
          <w:tcPr>
            <w:tcW w:w="440" w:type="dxa"/>
            <w:vAlign w:val="bottom"/>
          </w:tcPr>
          <w:p>
            <w:pPr>
              <w:spacing w:after="0"/>
              <w:rPr>
                <w:sz w:val="18"/>
                <w:szCs w:val="18"/>
                <w:color w:val="auto"/>
              </w:rPr>
            </w:pPr>
          </w:p>
        </w:tc>
        <w:tc>
          <w:tcPr>
            <w:tcW w:w="1440" w:type="dxa"/>
            <w:vAlign w:val="bottom"/>
          </w:tcPr>
          <w:p>
            <w:pPr>
              <w:jc w:val="right"/>
              <w:ind w:right="5"/>
              <w:spacing w:after="0"/>
              <w:rPr>
                <w:sz w:val="20"/>
                <w:szCs w:val="20"/>
                <w:color w:val="auto"/>
              </w:rPr>
            </w:pPr>
            <w:r>
              <w:rPr>
                <w:rFonts w:ascii="Arial" w:cs="Arial" w:eastAsia="Arial" w:hAnsi="Arial"/>
                <w:sz w:val="16"/>
                <w:szCs w:val="16"/>
                <w:color w:val="auto"/>
              </w:rPr>
              <w:t>279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1,584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 Impairment</w:t>
            </w: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4820" w:type="dxa"/>
            <w:vAlign w:val="bottom"/>
          </w:tcPr>
          <w:p>
            <w:pPr>
              <w:ind w:left="140"/>
              <w:spacing w:after="0"/>
              <w:rPr>
                <w:sz w:val="20"/>
                <w:szCs w:val="20"/>
                <w:color w:val="auto"/>
              </w:rPr>
            </w:pPr>
            <w:r>
              <w:rPr>
                <w:rFonts w:ascii="Arial" w:cs="Arial" w:eastAsia="Arial" w:hAnsi="Arial"/>
                <w:sz w:val="16"/>
                <w:szCs w:val="16"/>
                <w:color w:val="auto"/>
              </w:rPr>
              <w:t>Total restructuring charges</w:t>
            </w:r>
          </w:p>
        </w:tc>
        <w:tc>
          <w:tcPr>
            <w:tcW w:w="440" w:type="dxa"/>
            <w:vAlign w:val="bottom"/>
            <w:tcBorders>
              <w:top w:val="single" w:sz="8" w:color="auto"/>
              <w:bottom w:val="single" w:sz="8" w:color="auto"/>
            </w:tcBorders>
          </w:tcPr>
          <w:p>
            <w:pPr>
              <w:jc w:val="right"/>
              <w:ind w:right="262"/>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6"/>
                <w:szCs w:val="16"/>
                <w:color w:val="auto"/>
              </w:rPr>
              <w:t>1,171</w:t>
            </w: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6"/>
                <w:szCs w:val="16"/>
                <w:color w:val="auto"/>
              </w:rPr>
              <w:t>177</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3,078</w:t>
            </w:r>
          </w:p>
        </w:tc>
        <w:tc>
          <w:tcPr>
            <w:tcW w:w="10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870</w:t>
            </w:r>
          </w:p>
        </w:tc>
      </w:tr>
      <w:tr>
        <w:trPr>
          <w:trHeight w:val="20"/>
        </w:trPr>
        <w:tc>
          <w:tcPr>
            <w:tcW w:w="48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table provides information regarding changes in the Company’s accrued restructuring balances for the periods indicated: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960" w:type="dxa"/>
            <w:vAlign w:val="bottom"/>
            <w:gridSpan w:val="3"/>
          </w:tcPr>
          <w:p>
            <w:pPr>
              <w:ind w:left="100"/>
              <w:spacing w:after="0"/>
              <w:rPr>
                <w:sz w:val="20"/>
                <w:szCs w:val="20"/>
                <w:color w:val="auto"/>
              </w:rPr>
            </w:pPr>
            <w:r>
              <w:rPr>
                <w:rFonts w:ascii="Arial" w:cs="Arial" w:eastAsia="Arial" w:hAnsi="Arial"/>
                <w:sz w:val="14"/>
                <w:szCs w:val="14"/>
                <w:b w:val="1"/>
                <w:bCs w:val="1"/>
                <w:color w:val="auto"/>
              </w:rPr>
              <w:t>Employee Severance and</w:t>
            </w: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Contract Termination</w:t>
            </w:r>
          </w:p>
        </w:tc>
        <w:tc>
          <w:tcPr>
            <w:tcW w:w="15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Asset Impairment</w:t>
            </w:r>
          </w:p>
        </w:tc>
        <w:tc>
          <w:tcPr>
            <w:tcW w:w="320" w:type="dxa"/>
            <w:vAlign w:val="bottom"/>
          </w:tcPr>
          <w:p>
            <w:pPr>
              <w:spacing w:after="0"/>
              <w:rPr>
                <w:sz w:val="14"/>
                <w:szCs w:val="14"/>
                <w:color w:val="auto"/>
              </w:rPr>
            </w:pPr>
          </w:p>
        </w:tc>
        <w:tc>
          <w:tcPr>
            <w:tcW w:w="11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80" w:type="dxa"/>
            <w:vAlign w:val="bottom"/>
            <w:vMerge w:val="restart"/>
          </w:tcPr>
          <w:p>
            <w:pPr>
              <w:jc w:val="right"/>
              <w:ind w:right="583"/>
              <w:spacing w:after="0"/>
              <w:rPr>
                <w:sz w:val="20"/>
                <w:szCs w:val="20"/>
                <w:color w:val="auto"/>
              </w:rPr>
            </w:pPr>
            <w:r>
              <w:rPr>
                <w:rFonts w:ascii="Arial" w:cs="Arial" w:eastAsia="Arial" w:hAnsi="Arial"/>
                <w:sz w:val="14"/>
                <w:szCs w:val="14"/>
                <w:b w:val="1"/>
                <w:bCs w:val="1"/>
                <w:color w:val="auto"/>
              </w:rPr>
              <w:t>Benefits</w:t>
            </w:r>
          </w:p>
        </w:tc>
        <w:tc>
          <w:tcPr>
            <w:tcW w:w="10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vMerge w:val="restart"/>
          </w:tcPr>
          <w:p>
            <w:pPr>
              <w:jc w:val="right"/>
              <w:ind w:right="364"/>
              <w:spacing w:after="0"/>
              <w:rPr>
                <w:sz w:val="20"/>
                <w:szCs w:val="20"/>
                <w:color w:val="auto"/>
              </w:rPr>
            </w:pPr>
            <w:r>
              <w:rPr>
                <w:rFonts w:ascii="Arial" w:cs="Arial" w:eastAsia="Arial" w:hAnsi="Arial"/>
                <w:sz w:val="14"/>
                <w:szCs w:val="14"/>
                <w:b w:val="1"/>
                <w:bCs w:val="1"/>
                <w:color w:val="auto"/>
              </w:rPr>
              <w:t>Charges</w:t>
            </w:r>
          </w:p>
        </w:tc>
        <w:tc>
          <w:tcPr>
            <w:tcW w:w="80" w:type="dxa"/>
            <w:vAlign w:val="bottom"/>
            <w:vMerge w:val="restart"/>
          </w:tcPr>
          <w:p>
            <w:pPr>
              <w:spacing w:after="0"/>
              <w:rPr>
                <w:sz w:val="10"/>
                <w:szCs w:val="10"/>
                <w:color w:val="auto"/>
              </w:rPr>
            </w:pPr>
          </w:p>
        </w:tc>
        <w:tc>
          <w:tcPr>
            <w:tcW w:w="154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48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gridSpan w:val="3"/>
          </w:tcPr>
          <w:p>
            <w:pPr>
              <w:jc w:val="right"/>
              <w:ind w:right="365"/>
              <w:spacing w:after="0"/>
              <w:rPr>
                <w:sz w:val="20"/>
                <w:szCs w:val="20"/>
                <w:color w:val="auto"/>
              </w:rPr>
            </w:pPr>
            <w:r>
              <w:rPr>
                <w:rFonts w:ascii="Arial" w:cs="Arial" w:eastAsia="Arial" w:hAnsi="Arial"/>
                <w:sz w:val="14"/>
                <w:szCs w:val="14"/>
                <w:i w:val="1"/>
                <w:iCs w:val="1"/>
                <w:color w:val="auto"/>
              </w:rPr>
              <w:t>(In thousands)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2023</w:t>
            </w:r>
          </w:p>
        </w:tc>
        <w:tc>
          <w:tcPr>
            <w:tcW w:w="380" w:type="dxa"/>
            <w:vAlign w:val="bottom"/>
            <w:shd w:val="clear" w:color="auto" w:fill="CCEEFF"/>
          </w:tcPr>
          <w:p>
            <w:pPr>
              <w:jc w:val="right"/>
              <w:ind w:right="205"/>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1,800</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25"/>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center"/>
              <w:ind w:left="503"/>
              <w:spacing w:after="0"/>
              <w:rPr>
                <w:sz w:val="20"/>
                <w:szCs w:val="20"/>
                <w:color w:val="auto"/>
              </w:rPr>
            </w:pPr>
            <w:r>
              <w:rPr>
                <w:rFonts w:ascii="Arial" w:cs="Arial" w:eastAsia="Arial" w:hAnsi="Arial"/>
                <w:sz w:val="16"/>
                <w:szCs w:val="16"/>
                <w:color w:val="auto"/>
                <w:w w:val="99"/>
              </w:rPr>
              <w:t>3,104</w:t>
            </w:r>
          </w:p>
        </w:tc>
        <w:tc>
          <w:tcPr>
            <w:tcW w:w="0" w:type="dxa"/>
            <w:vAlign w:val="bottom"/>
          </w:tcPr>
          <w:p>
            <w:pPr>
              <w:spacing w:after="0"/>
              <w:rPr>
                <w:sz w:val="1"/>
                <w:szCs w:val="1"/>
                <w:color w:val="auto"/>
              </w:rPr>
            </w:pPr>
          </w:p>
        </w:tc>
      </w:tr>
      <w:tr>
        <w:trPr>
          <w:trHeight w:val="208"/>
        </w:trPr>
        <w:tc>
          <w:tcPr>
            <w:tcW w:w="4800" w:type="dxa"/>
            <w:vAlign w:val="bottom"/>
          </w:tcPr>
          <w:p>
            <w:pPr>
              <w:ind w:left="140"/>
              <w:spacing w:after="0"/>
              <w:rPr>
                <w:sz w:val="20"/>
                <w:szCs w:val="20"/>
                <w:color w:val="auto"/>
              </w:rPr>
            </w:pPr>
            <w:r>
              <w:rPr>
                <w:rFonts w:ascii="Arial" w:cs="Arial" w:eastAsia="Arial" w:hAnsi="Arial"/>
                <w:sz w:val="16"/>
                <w:szCs w:val="16"/>
                <w:color w:val="auto"/>
              </w:rPr>
              <w:t>Charges</w:t>
            </w:r>
          </w:p>
        </w:tc>
        <w:tc>
          <w:tcPr>
            <w:tcW w:w="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1,584</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center"/>
              <w:ind w:left="503"/>
              <w:spacing w:after="0"/>
              <w:rPr>
                <w:sz w:val="20"/>
                <w:szCs w:val="20"/>
                <w:color w:val="auto"/>
              </w:rPr>
            </w:pPr>
            <w:r>
              <w:rPr>
                <w:rFonts w:ascii="Arial" w:cs="Arial" w:eastAsia="Arial" w:hAnsi="Arial"/>
                <w:sz w:val="16"/>
                <w:szCs w:val="16"/>
                <w:color w:val="auto"/>
                <w:w w:val="99"/>
              </w:rPr>
              <w:t>3,078</w:t>
            </w: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w:t>
            </w: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483"/>
              <w:spacing w:after="0"/>
              <w:rPr>
                <w:sz w:val="20"/>
                <w:szCs w:val="20"/>
                <w:color w:val="auto"/>
              </w:rPr>
            </w:pPr>
            <w:r>
              <w:rPr>
                <w:rFonts w:ascii="Arial" w:cs="Arial" w:eastAsia="Arial" w:hAnsi="Arial"/>
                <w:sz w:val="16"/>
                <w:szCs w:val="16"/>
                <w:color w:val="auto"/>
                <w:w w:val="98"/>
              </w:rPr>
              <w:t>(3,653)</w:t>
            </w:r>
          </w:p>
        </w:tc>
        <w:tc>
          <w:tcPr>
            <w:tcW w:w="0" w:type="dxa"/>
            <w:vAlign w:val="bottom"/>
          </w:tcPr>
          <w:p>
            <w:pPr>
              <w:spacing w:after="0"/>
              <w:rPr>
                <w:sz w:val="1"/>
                <w:szCs w:val="1"/>
                <w:color w:val="auto"/>
              </w:rPr>
            </w:pPr>
          </w:p>
        </w:tc>
      </w:tr>
      <w:tr>
        <w:trPr>
          <w:trHeight w:val="208"/>
        </w:trPr>
        <w:tc>
          <w:tcPr>
            <w:tcW w:w="48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Non-cash settlement and other</w:t>
            </w:r>
          </w:p>
        </w:tc>
        <w:tc>
          <w:tcPr>
            <w:tcW w:w="3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w:t>
            </w: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483"/>
              <w:spacing w:after="0"/>
              <w:rPr>
                <w:sz w:val="20"/>
                <w:szCs w:val="20"/>
                <w:color w:val="auto"/>
              </w:rPr>
            </w:pPr>
            <w:r>
              <w:rPr>
                <w:rFonts w:ascii="Arial" w:cs="Arial" w:eastAsia="Arial" w:hAnsi="Arial"/>
                <w:sz w:val="16"/>
                <w:szCs w:val="16"/>
                <w:color w:val="auto"/>
                <w:w w:val="98"/>
              </w:rPr>
              <w:t>(1,207)</w:t>
            </w: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June 30, 2024</w:t>
            </w:r>
          </w:p>
        </w:tc>
        <w:tc>
          <w:tcPr>
            <w:tcW w:w="380" w:type="dxa"/>
            <w:vAlign w:val="bottom"/>
            <w:shd w:val="clear" w:color="auto" w:fill="CCEEFF"/>
          </w:tcPr>
          <w:p>
            <w:pPr>
              <w:jc w:val="right"/>
              <w:ind w:right="205"/>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800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25"/>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center"/>
              <w:ind w:left="503"/>
              <w:spacing w:after="0"/>
              <w:rPr>
                <w:sz w:val="20"/>
                <w:szCs w:val="20"/>
                <w:color w:val="auto"/>
              </w:rPr>
            </w:pPr>
            <w:r>
              <w:rPr>
                <w:rFonts w:ascii="Arial" w:cs="Arial" w:eastAsia="Arial" w:hAnsi="Arial"/>
                <w:sz w:val="16"/>
                <w:szCs w:val="16"/>
                <w:color w:val="auto"/>
                <w:w w:val="99"/>
              </w:rPr>
              <w:t>1,322</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9.</w:t>
        <w:tab/>
        <w:t>DEBT</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provides information regarding the Company’s debt: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40" w:type="dxa"/>
            <w:vAlign w:val="bottom"/>
          </w:tcPr>
          <w:p>
            <w:pPr>
              <w:jc w:val="right"/>
              <w:ind w:right="183"/>
              <w:spacing w:after="0"/>
              <w:rPr>
                <w:sz w:val="20"/>
                <w:szCs w:val="20"/>
                <w:color w:val="auto"/>
              </w:rPr>
            </w:pPr>
            <w:r>
              <w:rPr>
                <w:rFonts w:ascii="Arial" w:cs="Arial" w:eastAsia="Arial" w:hAnsi="Arial"/>
                <w:sz w:val="14"/>
                <w:szCs w:val="14"/>
                <w:b w:val="1"/>
                <w:bCs w:val="1"/>
                <w:color w:val="auto"/>
              </w:rPr>
              <w:t>December 31,</w:t>
            </w:r>
          </w:p>
        </w:tc>
      </w:tr>
      <w:tr>
        <w:trPr>
          <w:trHeight w:val="179"/>
        </w:trPr>
        <w:tc>
          <w:tcPr>
            <w:tcW w:w="8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2023</w:t>
            </w:r>
          </w:p>
        </w:tc>
      </w:tr>
      <w:tr>
        <w:trPr>
          <w:trHeight w:val="224"/>
        </w:trPr>
        <w:tc>
          <w:tcPr>
            <w:tcW w:w="8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gridSpan w:val="4"/>
          </w:tcPr>
          <w:p>
            <w:pPr>
              <w:jc w:val="right"/>
              <w:ind w:right="963"/>
              <w:spacing w:after="0"/>
              <w:rPr>
                <w:sz w:val="20"/>
                <w:szCs w:val="20"/>
                <w:color w:val="auto"/>
              </w:rPr>
            </w:pPr>
            <w:r>
              <w:rPr>
                <w:rFonts w:ascii="Arial" w:cs="Arial" w:eastAsia="Arial" w:hAnsi="Arial"/>
                <w:sz w:val="14"/>
                <w:szCs w:val="14"/>
                <w:i w:val="1"/>
                <w:iCs w:val="1"/>
                <w:color w:val="auto"/>
              </w:rPr>
              <w:t>(In thousands)</w:t>
            </w: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8"/>
        </w:trPr>
        <w:tc>
          <w:tcPr>
            <w:tcW w:w="8260" w:type="dxa"/>
            <w:vAlign w:val="bottom"/>
          </w:tcPr>
          <w:p>
            <w:pPr>
              <w:ind w:left="140"/>
              <w:spacing w:after="0"/>
              <w:rPr>
                <w:sz w:val="20"/>
                <w:szCs w:val="20"/>
                <w:color w:val="auto"/>
              </w:rPr>
            </w:pPr>
            <w:r>
              <w:rPr>
                <w:rFonts w:ascii="Arial" w:cs="Arial" w:eastAsia="Arial" w:hAnsi="Arial"/>
                <w:sz w:val="16"/>
                <w:szCs w:val="16"/>
                <w:color w:val="auto"/>
              </w:rPr>
              <w:t>Notes due 2028</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575,000</w:t>
            </w:r>
          </w:p>
        </w:tc>
        <w:tc>
          <w:tcPr>
            <w:tcW w:w="100" w:type="dxa"/>
            <w:vAlign w:val="bottom"/>
          </w:tcPr>
          <w:p>
            <w:pPr>
              <w:spacing w:after="0"/>
              <w:rPr>
                <w:sz w:val="18"/>
                <w:szCs w:val="18"/>
                <w:color w:val="auto"/>
              </w:rPr>
            </w:pP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575,000</w:t>
            </w:r>
          </w:p>
        </w:tc>
      </w:tr>
      <w:tr>
        <w:trPr>
          <w:trHeight w:val="210"/>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unamortized debt issuance costs</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(5,408)</w:t>
            </w:r>
          </w:p>
        </w:tc>
      </w:tr>
      <w:tr>
        <w:trPr>
          <w:trHeight w:val="201"/>
        </w:trPr>
        <w:tc>
          <w:tcPr>
            <w:tcW w:w="8260" w:type="dxa"/>
            <w:vAlign w:val="bottom"/>
          </w:tcPr>
          <w:p>
            <w:pPr>
              <w:ind w:left="340"/>
              <w:spacing w:after="0"/>
              <w:rPr>
                <w:sz w:val="20"/>
                <w:szCs w:val="20"/>
                <w:color w:val="auto"/>
              </w:rPr>
            </w:pPr>
            <w:r>
              <w:rPr>
                <w:rFonts w:ascii="Arial" w:cs="Arial" w:eastAsia="Arial" w:hAnsi="Arial"/>
                <w:sz w:val="16"/>
                <w:szCs w:val="16"/>
                <w:color w:val="auto"/>
              </w:rPr>
              <w:t>Carrying amount of Notes due 2028</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570,244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569,592</w:t>
            </w:r>
          </w:p>
        </w:tc>
      </w:tr>
      <w:tr>
        <w:trPr>
          <w:trHeight w:val="249"/>
        </w:trPr>
        <w:tc>
          <w:tcPr>
            <w:tcW w:w="8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08"/>
        </w:trPr>
        <w:tc>
          <w:tcPr>
            <w:tcW w:w="8260" w:type="dxa"/>
            <w:vAlign w:val="bottom"/>
          </w:tcPr>
          <w:p>
            <w:pPr>
              <w:ind w:left="140"/>
              <w:spacing w:after="0"/>
              <w:rPr>
                <w:sz w:val="20"/>
                <w:szCs w:val="20"/>
                <w:color w:val="auto"/>
              </w:rPr>
            </w:pPr>
            <w:r>
              <w:rPr>
                <w:rFonts w:ascii="Arial" w:cs="Arial" w:eastAsia="Arial" w:hAnsi="Arial"/>
                <w:sz w:val="16"/>
                <w:szCs w:val="16"/>
                <w:color w:val="auto"/>
              </w:rPr>
              <w:t>Notes due 2026</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632,500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632,500</w:t>
            </w:r>
          </w:p>
        </w:tc>
      </w:tr>
      <w:tr>
        <w:trPr>
          <w:trHeight w:val="210"/>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unamortized debt issuance costs</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(4,317)</w:t>
            </w:r>
          </w:p>
        </w:tc>
      </w:tr>
      <w:tr>
        <w:trPr>
          <w:trHeight w:val="201"/>
        </w:trPr>
        <w:tc>
          <w:tcPr>
            <w:tcW w:w="8260" w:type="dxa"/>
            <w:vAlign w:val="bottom"/>
          </w:tcPr>
          <w:p>
            <w:pPr>
              <w:ind w:left="340"/>
              <w:spacing w:after="0"/>
              <w:rPr>
                <w:sz w:val="20"/>
                <w:szCs w:val="20"/>
                <w:color w:val="auto"/>
              </w:rPr>
            </w:pPr>
            <w:r>
              <w:rPr>
                <w:rFonts w:ascii="Arial" w:cs="Arial" w:eastAsia="Arial" w:hAnsi="Arial"/>
                <w:sz w:val="16"/>
                <w:szCs w:val="16"/>
                <w:color w:val="auto"/>
              </w:rPr>
              <w:t>Carrying amount of Notes due 2026</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629,188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628,183</w:t>
            </w:r>
          </w:p>
        </w:tc>
      </w:tr>
      <w:tr>
        <w:trPr>
          <w:trHeight w:val="249"/>
        </w:trPr>
        <w:tc>
          <w:tcPr>
            <w:tcW w:w="8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08"/>
        </w:trPr>
        <w:tc>
          <w:tcPr>
            <w:tcW w:w="8260" w:type="dxa"/>
            <w:vAlign w:val="bottom"/>
          </w:tcPr>
          <w:p>
            <w:pPr>
              <w:ind w:left="140"/>
              <w:spacing w:after="0"/>
              <w:rPr>
                <w:sz w:val="20"/>
                <w:szCs w:val="20"/>
                <w:color w:val="auto"/>
              </w:rPr>
            </w:pPr>
            <w:r>
              <w:rPr>
                <w:rFonts w:ascii="Arial" w:cs="Arial" w:eastAsia="Arial" w:hAnsi="Arial"/>
                <w:sz w:val="16"/>
                <w:szCs w:val="16"/>
                <w:color w:val="auto"/>
              </w:rPr>
              <w:t>Notes due 2025</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102,173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102,175</w:t>
            </w:r>
          </w:p>
        </w:tc>
      </w:tr>
      <w:tr>
        <w:trPr>
          <w:trHeight w:val="210"/>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unamortized debt discount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(5,644)</w:t>
            </w:r>
          </w:p>
        </w:tc>
      </w:tr>
      <w:tr>
        <w:trPr>
          <w:trHeight w:val="208"/>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unamortized debt issuance costs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w:t>
            </w:r>
          </w:p>
        </w:tc>
      </w:tr>
      <w:tr>
        <w:trPr>
          <w:trHeight w:val="203"/>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Carrying amount of Notes due 2025</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136765" cy="132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p>
      <w:pPr>
        <w:spacing w:after="0" w:line="24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Total carrying amount of debt</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debt, current</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Debt, non-current</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1,298,024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1,293,738</w:t>
            </w:r>
          </w:p>
        </w:tc>
      </w:tr>
      <w:tr>
        <w:trPr>
          <w:trHeight w:val="210"/>
        </w:trPr>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(98,592)</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4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1,199,432</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1,293,738</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-5241290</wp:posOffset>
            </wp:positionH>
            <wp:positionV relativeFrom="paragraph">
              <wp:posOffset>-173355</wp:posOffset>
            </wp:positionV>
            <wp:extent cx="7136765" cy="157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765" cy="157480"/>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556260</wp:posOffset>
            </wp:positionV>
            <wp:extent cx="69373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373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40" w:space="720"/>
            <w:col w:w="2980"/>
          </w:cols>
          <w:pgMar w:left="320" w:top="2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tables present the total amount of interest cost recognized in the consolidated statement of operations relating to the Notes: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7"/>
          </w:tcPr>
          <w:p>
            <w:pPr>
              <w:jc w:val="center"/>
              <w:ind w:right="323"/>
              <w:spacing w:after="0"/>
              <w:rPr>
                <w:sz w:val="20"/>
                <w:szCs w:val="20"/>
                <w:color w:val="auto"/>
              </w:rPr>
            </w:pPr>
            <w:r>
              <w:rPr>
                <w:rFonts w:ascii="Arial" w:cs="Arial" w:eastAsia="Arial" w:hAnsi="Arial"/>
                <w:sz w:val="14"/>
                <w:szCs w:val="14"/>
                <w:b w:val="1"/>
                <w:bCs w:val="1"/>
                <w:color w:val="auto"/>
                <w:w w:val="99"/>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5"/>
          </w:tcPr>
          <w:p>
            <w:pPr>
              <w:jc w:val="center"/>
              <w:ind w:left="146"/>
              <w:spacing w:after="0"/>
              <w:rPr>
                <w:sz w:val="20"/>
                <w:szCs w:val="20"/>
                <w:color w:val="auto"/>
              </w:rPr>
            </w:pPr>
            <w:r>
              <w:rPr>
                <w:rFonts w:ascii="Arial" w:cs="Arial" w:eastAsia="Arial" w:hAnsi="Arial"/>
                <w:sz w:val="14"/>
                <w:szCs w:val="14"/>
                <w:b w:val="1"/>
                <w:bCs w:val="1"/>
                <w:color w:val="auto"/>
                <w:w w:val="99"/>
              </w:rPr>
              <w:t>June 30,</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restart"/>
          </w:tcPr>
          <w:p>
            <w:pPr>
              <w:jc w:val="right"/>
              <w:ind w:right="25"/>
              <w:spacing w:after="0"/>
              <w:rPr>
                <w:sz w:val="20"/>
                <w:szCs w:val="20"/>
                <w:color w:val="auto"/>
              </w:rPr>
            </w:pPr>
            <w:r>
              <w:rPr>
                <w:rFonts w:ascii="Arial" w:cs="Arial" w:eastAsia="Arial" w:hAnsi="Arial"/>
                <w:sz w:val="14"/>
                <w:szCs w:val="14"/>
                <w:b w:val="1"/>
                <w:bCs w:val="1"/>
                <w:color w:val="auto"/>
                <w:w w:val="97"/>
              </w:rPr>
              <w:t>Notes due</w:t>
            </w:r>
          </w:p>
        </w:tc>
        <w:tc>
          <w:tcPr>
            <w:tcW w:w="120" w:type="dxa"/>
            <w:vAlign w:val="bottom"/>
          </w:tcPr>
          <w:p>
            <w:pPr>
              <w:spacing w:after="0"/>
              <w:rPr>
                <w:sz w:val="18"/>
                <w:szCs w:val="18"/>
                <w:color w:val="auto"/>
              </w:rPr>
            </w:pPr>
          </w:p>
        </w:tc>
        <w:tc>
          <w:tcPr>
            <w:tcW w:w="900" w:type="dxa"/>
            <w:vAlign w:val="bottom"/>
            <w:gridSpan w:val="4"/>
            <w:vMerge w:val="restart"/>
          </w:tcPr>
          <w:p>
            <w:pPr>
              <w:jc w:val="right"/>
              <w:ind w:right="44"/>
              <w:spacing w:after="0"/>
              <w:rPr>
                <w:sz w:val="20"/>
                <w:szCs w:val="20"/>
                <w:color w:val="auto"/>
              </w:rPr>
            </w:pPr>
            <w:r>
              <w:rPr>
                <w:rFonts w:ascii="Arial" w:cs="Arial" w:eastAsia="Arial" w:hAnsi="Arial"/>
                <w:sz w:val="14"/>
                <w:szCs w:val="14"/>
                <w:b w:val="1"/>
                <w:bCs w:val="1"/>
                <w:color w:val="auto"/>
              </w:rPr>
              <w:t>Notes due</w:t>
            </w:r>
          </w:p>
        </w:tc>
        <w:tc>
          <w:tcPr>
            <w:tcW w:w="120" w:type="dxa"/>
            <w:vAlign w:val="bottom"/>
          </w:tcPr>
          <w:p>
            <w:pPr>
              <w:spacing w:after="0"/>
              <w:rPr>
                <w:sz w:val="18"/>
                <w:szCs w:val="18"/>
                <w:color w:val="auto"/>
              </w:rPr>
            </w:pPr>
          </w:p>
        </w:tc>
        <w:tc>
          <w:tcPr>
            <w:tcW w:w="900" w:type="dxa"/>
            <w:vAlign w:val="bottom"/>
            <w:gridSpan w:val="5"/>
            <w:vMerge w:val="restart"/>
          </w:tcPr>
          <w:p>
            <w:pPr>
              <w:jc w:val="right"/>
              <w:ind w:right="45"/>
              <w:spacing w:after="0"/>
              <w:rPr>
                <w:sz w:val="20"/>
                <w:szCs w:val="20"/>
                <w:color w:val="auto"/>
              </w:rPr>
            </w:pPr>
            <w:r>
              <w:rPr>
                <w:rFonts w:ascii="Arial" w:cs="Arial" w:eastAsia="Arial" w:hAnsi="Arial"/>
                <w:sz w:val="14"/>
                <w:szCs w:val="14"/>
                <w:b w:val="1"/>
                <w:bCs w:val="1"/>
                <w:color w:val="auto"/>
              </w:rPr>
              <w:t>Notes due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8"/>
              </w:rPr>
              <w:t>Convertible</w:t>
            </w:r>
          </w:p>
        </w:tc>
        <w:tc>
          <w:tcPr>
            <w:tcW w:w="60" w:type="dxa"/>
            <w:vAlign w:val="bottom"/>
          </w:tcPr>
          <w:p>
            <w:pPr>
              <w:spacing w:after="0"/>
              <w:rPr>
                <w:sz w:val="18"/>
                <w:szCs w:val="18"/>
                <w:color w:val="auto"/>
              </w:rPr>
            </w:pPr>
          </w:p>
        </w:tc>
        <w:tc>
          <w:tcPr>
            <w:tcW w:w="920" w:type="dxa"/>
            <w:vAlign w:val="bottom"/>
            <w:gridSpan w:val="2"/>
            <w:vMerge w:val="restart"/>
          </w:tcPr>
          <w:p>
            <w:pPr>
              <w:jc w:val="right"/>
              <w:ind w:right="123"/>
              <w:spacing w:after="0"/>
              <w:rPr>
                <w:sz w:val="20"/>
                <w:szCs w:val="20"/>
                <w:color w:val="auto"/>
              </w:rPr>
            </w:pPr>
            <w:r>
              <w:rPr>
                <w:rFonts w:ascii="Arial" w:cs="Arial" w:eastAsia="Arial" w:hAnsi="Arial"/>
                <w:sz w:val="14"/>
                <w:szCs w:val="14"/>
                <w:b w:val="1"/>
                <w:bCs w:val="1"/>
                <w:color w:val="auto"/>
              </w:rPr>
              <w:t>Notes due</w:t>
            </w:r>
          </w:p>
        </w:tc>
        <w:tc>
          <w:tcPr>
            <w:tcW w:w="100" w:type="dxa"/>
            <w:vAlign w:val="bottom"/>
          </w:tcPr>
          <w:p>
            <w:pPr>
              <w:spacing w:after="0"/>
              <w:rPr>
                <w:sz w:val="18"/>
                <w:szCs w:val="18"/>
                <w:color w:val="auto"/>
              </w:rPr>
            </w:pPr>
          </w:p>
        </w:tc>
        <w:tc>
          <w:tcPr>
            <w:tcW w:w="920" w:type="dxa"/>
            <w:vAlign w:val="bottom"/>
            <w:gridSpan w:val="2"/>
            <w:vMerge w:val="restart"/>
          </w:tcPr>
          <w:p>
            <w:pPr>
              <w:jc w:val="right"/>
              <w:ind w:right="125"/>
              <w:spacing w:after="0"/>
              <w:rPr>
                <w:sz w:val="20"/>
                <w:szCs w:val="20"/>
                <w:color w:val="auto"/>
              </w:rPr>
            </w:pPr>
            <w:r>
              <w:rPr>
                <w:rFonts w:ascii="Arial" w:cs="Arial" w:eastAsia="Arial" w:hAnsi="Arial"/>
                <w:sz w:val="14"/>
                <w:szCs w:val="14"/>
                <w:b w:val="1"/>
                <w:bCs w:val="1"/>
                <w:color w:val="auto"/>
              </w:rPr>
              <w:t>Notes due</w:t>
            </w:r>
          </w:p>
        </w:tc>
        <w:tc>
          <w:tcPr>
            <w:tcW w:w="100" w:type="dxa"/>
            <w:vAlign w:val="bottom"/>
          </w:tcPr>
          <w:p>
            <w:pPr>
              <w:spacing w:after="0"/>
              <w:rPr>
                <w:sz w:val="18"/>
                <w:szCs w:val="18"/>
                <w:color w:val="auto"/>
              </w:rPr>
            </w:pPr>
          </w:p>
        </w:tc>
        <w:tc>
          <w:tcPr>
            <w:tcW w:w="920" w:type="dxa"/>
            <w:vAlign w:val="bottom"/>
            <w:gridSpan w:val="2"/>
            <w:vMerge w:val="restart"/>
          </w:tcPr>
          <w:p>
            <w:pPr>
              <w:jc w:val="right"/>
              <w:ind w:right="124"/>
              <w:spacing w:after="0"/>
              <w:rPr>
                <w:sz w:val="20"/>
                <w:szCs w:val="20"/>
                <w:color w:val="auto"/>
              </w:rPr>
            </w:pPr>
            <w:r>
              <w:rPr>
                <w:rFonts w:ascii="Arial" w:cs="Arial" w:eastAsia="Arial" w:hAnsi="Arial"/>
                <w:sz w:val="14"/>
                <w:szCs w:val="14"/>
                <w:b w:val="1"/>
                <w:bCs w:val="1"/>
                <w:color w:val="auto"/>
              </w:rPr>
              <w:t>Notes due</w:t>
            </w:r>
          </w:p>
        </w:tc>
        <w:tc>
          <w:tcPr>
            <w:tcW w:w="100" w:type="dxa"/>
            <w:vAlign w:val="bottom"/>
          </w:tcPr>
          <w:p>
            <w:pPr>
              <w:spacing w:after="0"/>
              <w:rPr>
                <w:sz w:val="18"/>
                <w:szCs w:val="18"/>
                <w:color w:val="auto"/>
              </w:rPr>
            </w:pPr>
          </w:p>
        </w:tc>
        <w:tc>
          <w:tcPr>
            <w:tcW w:w="920" w:type="dxa"/>
            <w:vAlign w:val="bottom"/>
            <w:gridSpan w:val="2"/>
            <w:vMerge w:val="restart"/>
          </w:tcPr>
          <w:p>
            <w:pPr>
              <w:jc w:val="right"/>
              <w:ind w:right="84"/>
              <w:spacing w:after="0"/>
              <w:rPr>
                <w:sz w:val="20"/>
                <w:szCs w:val="20"/>
                <w:color w:val="auto"/>
              </w:rPr>
            </w:pPr>
            <w:r>
              <w:rPr>
                <w:rFonts w:ascii="Arial" w:cs="Arial" w:eastAsia="Arial" w:hAnsi="Arial"/>
                <w:sz w:val="14"/>
                <w:szCs w:val="14"/>
                <w:b w:val="1"/>
                <w:bCs w:val="1"/>
                <w:color w:val="auto"/>
              </w:rPr>
              <w:t>Notes due</w:t>
            </w:r>
          </w:p>
        </w:tc>
        <w:tc>
          <w:tcPr>
            <w:tcW w:w="0" w:type="dxa"/>
            <w:vAlign w:val="bottom"/>
          </w:tcPr>
          <w:p>
            <w:pPr>
              <w:spacing w:after="0"/>
              <w:rPr>
                <w:sz w:val="1"/>
                <w:szCs w:val="1"/>
                <w:color w:val="auto"/>
              </w:rPr>
            </w:pPr>
          </w:p>
        </w:tc>
      </w:tr>
      <w:tr>
        <w:trPr>
          <w:trHeight w:val="144"/>
        </w:trPr>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7"/>
          </w:tcPr>
          <w:p>
            <w:pPr>
              <w:jc w:val="center"/>
              <w:ind w:right="100"/>
              <w:spacing w:after="0" w:line="144" w:lineRule="exact"/>
              <w:rPr>
                <w:sz w:val="20"/>
                <w:szCs w:val="20"/>
                <w:color w:val="auto"/>
              </w:rPr>
            </w:pPr>
            <w:r>
              <w:rPr>
                <w:rFonts w:ascii="Arial" w:cs="Arial" w:eastAsia="Arial" w:hAnsi="Arial"/>
                <w:sz w:val="14"/>
                <w:szCs w:val="14"/>
                <w:b w:val="1"/>
                <w:bCs w:val="1"/>
                <w:color w:val="auto"/>
                <w:w w:val="98"/>
              </w:rPr>
              <w:t>Senior Notes due</w:t>
            </w:r>
          </w:p>
        </w:tc>
        <w:tc>
          <w:tcPr>
            <w:tcW w:w="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205"/>
              <w:spacing w:after="0" w:line="135" w:lineRule="exact"/>
              <w:rPr>
                <w:sz w:val="20"/>
                <w:szCs w:val="20"/>
                <w:color w:val="auto"/>
              </w:rPr>
            </w:pPr>
            <w:r>
              <w:rPr>
                <w:rFonts w:ascii="Arial" w:cs="Arial" w:eastAsia="Arial" w:hAnsi="Arial"/>
                <w:sz w:val="14"/>
                <w:szCs w:val="14"/>
                <w:b w:val="1"/>
                <w:bCs w:val="1"/>
                <w:color w:val="auto"/>
              </w:rPr>
              <w:t>2028</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jc w:val="right"/>
              <w:ind w:right="224"/>
              <w:spacing w:after="0" w:line="135" w:lineRule="exact"/>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tcPr>
          <w:p>
            <w:pPr>
              <w:jc w:val="right"/>
              <w:ind w:right="225"/>
              <w:spacing w:after="0" w:line="135" w:lineRule="exact"/>
              <w:rPr>
                <w:sz w:val="20"/>
                <w:szCs w:val="20"/>
                <w:color w:val="auto"/>
              </w:rPr>
            </w:pPr>
            <w:r>
              <w:rPr>
                <w:rFonts w:ascii="Arial" w:cs="Arial" w:eastAsia="Arial" w:hAnsi="Arial"/>
                <w:sz w:val="14"/>
                <w:szCs w:val="14"/>
                <w:b w:val="1"/>
                <w:bCs w:val="1"/>
                <w:color w:val="auto"/>
                <w:w w:val="96"/>
              </w:rPr>
              <w:t>2025</w:t>
            </w:r>
          </w:p>
        </w:tc>
        <w:tc>
          <w:tcPr>
            <w:tcW w:w="120" w:type="dxa"/>
            <w:vAlign w:val="bottom"/>
          </w:tcPr>
          <w:p>
            <w:pPr>
              <w:spacing w:after="0"/>
              <w:rPr>
                <w:sz w:val="11"/>
                <w:szCs w:val="11"/>
                <w:color w:val="auto"/>
              </w:rPr>
            </w:pPr>
          </w:p>
        </w:tc>
        <w:tc>
          <w:tcPr>
            <w:tcW w:w="1320" w:type="dxa"/>
            <w:vAlign w:val="bottom"/>
            <w:gridSpan w:val="7"/>
          </w:tcPr>
          <w:p>
            <w:pPr>
              <w:jc w:val="right"/>
              <w:ind w:right="160"/>
              <w:spacing w:after="0" w:line="135" w:lineRule="exact"/>
              <w:rPr>
                <w:sz w:val="20"/>
                <w:szCs w:val="20"/>
                <w:color w:val="auto"/>
              </w:rPr>
            </w:pPr>
            <w:r>
              <w:rPr>
                <w:rFonts w:ascii="Arial" w:cs="Arial" w:eastAsia="Arial" w:hAnsi="Arial"/>
                <w:sz w:val="14"/>
                <w:szCs w:val="14"/>
                <w:b w:val="1"/>
                <w:bCs w:val="1"/>
                <w:color w:val="auto"/>
              </w:rPr>
              <w:t>2023 (the “Notes</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jc w:val="right"/>
              <w:ind w:right="303"/>
              <w:spacing w:after="0" w:line="135" w:lineRule="exact"/>
              <w:rPr>
                <w:sz w:val="20"/>
                <w:szCs w:val="20"/>
                <w:color w:val="auto"/>
              </w:rPr>
            </w:pPr>
            <w:r>
              <w:rPr>
                <w:rFonts w:ascii="Arial" w:cs="Arial" w:eastAsia="Arial" w:hAnsi="Arial"/>
                <w:sz w:val="14"/>
                <w:szCs w:val="14"/>
                <w:b w:val="1"/>
                <w:bCs w:val="1"/>
                <w:color w:val="auto"/>
                <w:w w:val="89"/>
              </w:rPr>
              <w:t>2028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305"/>
              <w:spacing w:after="0" w:line="135" w:lineRule="exact"/>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304"/>
              <w:spacing w:after="0" w:line="13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264"/>
              <w:spacing w:after="0" w:line="135"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2"/>
        </w:trPr>
        <w:tc>
          <w:tcPr>
            <w:tcW w:w="2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4"/>
                <w:szCs w:val="14"/>
                <w:b w:val="1"/>
                <w:bCs w:val="1"/>
                <w:color w:val="auto"/>
                <w:w w:val="97"/>
              </w:rPr>
              <w:t>due 2023”)</w:t>
            </w: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5"/>
          </w:tcPr>
          <w:p>
            <w:pPr>
              <w:jc w:val="center"/>
              <w:ind w:left="146"/>
              <w:spacing w:after="0"/>
              <w:rPr>
                <w:sz w:val="20"/>
                <w:szCs w:val="20"/>
                <w:color w:val="auto"/>
              </w:rPr>
            </w:pPr>
            <w:r>
              <w:rPr>
                <w:rFonts w:ascii="Arial" w:cs="Arial" w:eastAsia="Arial" w:hAnsi="Arial"/>
                <w:sz w:val="14"/>
                <w:szCs w:val="14"/>
                <w:i w:val="1"/>
                <w:iCs w:val="1"/>
                <w:color w:val="auto"/>
                <w:w w:val="98"/>
              </w:rPr>
              <w:t>(In thousands)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320" w:type="dxa"/>
            <w:vAlign w:val="bottom"/>
            <w:gridSpan w:val="2"/>
            <w:shd w:val="clear" w:color="auto" w:fill="CCEEFF"/>
          </w:tcPr>
          <w:p>
            <w:pPr>
              <w:jc w:val="right"/>
              <w:ind w:right="27"/>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13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64</w:t>
            </w: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8"/>
        </w:trPr>
        <w:tc>
          <w:tcPr>
            <w:tcW w:w="2820" w:type="dxa"/>
            <w:vAlign w:val="bottom"/>
          </w:tcPr>
          <w:p>
            <w:pPr>
              <w:ind w:left="20"/>
              <w:spacing w:after="0"/>
              <w:rPr>
                <w:sz w:val="20"/>
                <w:szCs w:val="20"/>
                <w:color w:val="auto"/>
              </w:rPr>
            </w:pPr>
            <w:r>
              <w:rPr>
                <w:rFonts w:ascii="Arial" w:cs="Arial" w:eastAsia="Arial" w:hAnsi="Arial"/>
                <w:sz w:val="16"/>
                <w:szCs w:val="16"/>
                <w:color w:val="auto"/>
              </w:rPr>
              <w:t>Amortization of debt discount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1,205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65"/>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64"/>
              <w:spacing w:after="0"/>
              <w:rPr>
                <w:sz w:val="20"/>
                <w:szCs w:val="20"/>
                <w:color w:val="auto"/>
              </w:rPr>
            </w:pPr>
            <w:r>
              <w:rPr>
                <w:rFonts w:ascii="Arial" w:cs="Arial" w:eastAsia="Arial" w:hAnsi="Arial"/>
                <w:sz w:val="16"/>
                <w:szCs w:val="16"/>
                <w:color w:val="auto"/>
              </w:rPr>
              <w:t>1,144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issuance costs</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327</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6"/>
                <w:szCs w:val="16"/>
                <w:color w:val="auto"/>
              </w:rPr>
              <w:t>502</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3"/>
        </w:trPr>
        <w:tc>
          <w:tcPr>
            <w:tcW w:w="2820" w:type="dxa"/>
            <w:vAlign w:val="bottom"/>
          </w:tcPr>
          <w:p>
            <w:pPr>
              <w:ind w:left="140"/>
              <w:spacing w:after="0"/>
              <w:rPr>
                <w:sz w:val="20"/>
                <w:szCs w:val="20"/>
                <w:color w:val="auto"/>
              </w:rPr>
            </w:pPr>
            <w:r>
              <w:rPr>
                <w:rFonts w:ascii="Arial" w:cs="Arial" w:eastAsia="Arial" w:hAnsi="Arial"/>
                <w:sz w:val="16"/>
                <w:szCs w:val="16"/>
                <w:color w:val="auto"/>
              </w:rPr>
              <w:t>Total interest cost recognized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326</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w w:val="89"/>
              </w:rPr>
              <w:t>$</w:t>
            </w:r>
          </w:p>
        </w:tc>
        <w:tc>
          <w:tcPr>
            <w:tcW w:w="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1,392</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27"/>
              <w:spacing w:after="0"/>
              <w:rPr>
                <w:sz w:val="20"/>
                <w:szCs w:val="20"/>
                <w:color w:val="auto"/>
              </w:rPr>
            </w:pPr>
            <w:r>
              <w:rPr>
                <w:rFonts w:ascii="Arial" w:cs="Arial" w:eastAsia="Arial" w:hAnsi="Arial"/>
                <w:sz w:val="16"/>
                <w:szCs w:val="16"/>
                <w:color w:val="auto"/>
                <w:w w:val="89"/>
              </w:rPr>
              <w: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gridSpan w:val="2"/>
          </w:tcPr>
          <w:p>
            <w:pPr>
              <w:spacing w:after="0"/>
              <w:rPr>
                <w:sz w:val="17"/>
                <w:szCs w:val="17"/>
                <w:color w:val="auto"/>
              </w:rPr>
            </w:pPr>
          </w:p>
        </w:tc>
        <w:tc>
          <w:tcPr>
            <w:tcW w:w="3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327</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color w:val="auto"/>
              </w:rPr>
              <w:t>502</w:t>
            </w: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1,331</w:t>
            </w: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1"/>
        </w:trPr>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6"/>
          </w:tcPr>
          <w:p>
            <w:pPr>
              <w:jc w:val="center"/>
              <w:ind w:right="83"/>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5"/>
          </w:tcPr>
          <w:p>
            <w:pPr>
              <w:jc w:val="center"/>
              <w:ind w:left="506"/>
              <w:spacing w:after="0"/>
              <w:rPr>
                <w:sz w:val="20"/>
                <w:szCs w:val="20"/>
                <w:color w:val="auto"/>
              </w:rPr>
            </w:pPr>
            <w:r>
              <w:rPr>
                <w:rFonts w:ascii="Arial" w:cs="Arial" w:eastAsia="Arial" w:hAnsi="Arial"/>
                <w:sz w:val="14"/>
                <w:szCs w:val="14"/>
                <w:b w:val="1"/>
                <w:bCs w:val="1"/>
                <w:color w:val="auto"/>
                <w:w w:val="99"/>
              </w:rPr>
              <w:t>June 30,</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rPr>
              <w:t>Notes due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Notes due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3"/>
          </w:tcPr>
          <w:p>
            <w:pPr>
              <w:jc w:val="center"/>
              <w:spacing w:after="0"/>
              <w:rPr>
                <w:sz w:val="20"/>
                <w:szCs w:val="20"/>
                <w:color w:val="auto"/>
              </w:rPr>
            </w:pPr>
            <w:r>
              <w:rPr>
                <w:rFonts w:ascii="Arial" w:cs="Arial" w:eastAsia="Arial" w:hAnsi="Arial"/>
                <w:sz w:val="14"/>
                <w:szCs w:val="14"/>
                <w:b w:val="1"/>
                <w:bCs w:val="1"/>
                <w:color w:val="auto"/>
              </w:rPr>
              <w:t>Notes due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7"/>
              </w:rPr>
              <w:t>Notes due</w:t>
            </w:r>
          </w:p>
        </w:tc>
        <w:tc>
          <w:tcPr>
            <w:tcW w:w="60" w:type="dxa"/>
            <w:vAlign w:val="bottom"/>
          </w:tcPr>
          <w:p>
            <w:pPr>
              <w:spacing w:after="0"/>
              <w:rPr>
                <w:sz w:val="15"/>
                <w:szCs w:val="15"/>
                <w:color w:val="auto"/>
              </w:rPr>
            </w:pPr>
          </w:p>
        </w:tc>
        <w:tc>
          <w:tcPr>
            <w:tcW w:w="920" w:type="dxa"/>
            <w:vAlign w:val="bottom"/>
            <w:gridSpan w:val="2"/>
          </w:tcPr>
          <w:p>
            <w:pPr>
              <w:jc w:val="right"/>
              <w:ind w:right="43"/>
              <w:spacing w:after="0"/>
              <w:rPr>
                <w:sz w:val="20"/>
                <w:szCs w:val="20"/>
                <w:color w:val="auto"/>
              </w:rPr>
            </w:pPr>
            <w:r>
              <w:rPr>
                <w:rFonts w:ascii="Arial" w:cs="Arial" w:eastAsia="Arial" w:hAnsi="Arial"/>
                <w:sz w:val="14"/>
                <w:szCs w:val="14"/>
                <w:b w:val="1"/>
                <w:bCs w:val="1"/>
                <w:color w:val="auto"/>
              </w:rPr>
              <w:t>Notes due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45"/>
              <w:spacing w:after="0"/>
              <w:rPr>
                <w:sz w:val="20"/>
                <w:szCs w:val="20"/>
                <w:color w:val="auto"/>
              </w:rPr>
            </w:pPr>
            <w:r>
              <w:rPr>
                <w:rFonts w:ascii="Arial" w:cs="Arial" w:eastAsia="Arial" w:hAnsi="Arial"/>
                <w:sz w:val="14"/>
                <w:szCs w:val="14"/>
                <w:b w:val="1"/>
                <w:bCs w:val="1"/>
                <w:color w:val="auto"/>
              </w:rPr>
              <w:t>Notes due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44"/>
              <w:spacing w:after="0"/>
              <w:rPr>
                <w:sz w:val="20"/>
                <w:szCs w:val="20"/>
                <w:color w:val="auto"/>
              </w:rPr>
            </w:pPr>
            <w:r>
              <w:rPr>
                <w:rFonts w:ascii="Arial" w:cs="Arial" w:eastAsia="Arial" w:hAnsi="Arial"/>
                <w:sz w:val="14"/>
                <w:szCs w:val="14"/>
                <w:b w:val="1"/>
                <w:bCs w:val="1"/>
                <w:color w:val="auto"/>
                <w:w w:val="97"/>
              </w:rPr>
              <w:t>Notes due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44"/>
              <w:spacing w:after="0"/>
              <w:rPr>
                <w:sz w:val="20"/>
                <w:szCs w:val="20"/>
                <w:color w:val="auto"/>
              </w:rPr>
            </w:pPr>
            <w:r>
              <w:rPr>
                <w:rFonts w:ascii="Arial" w:cs="Arial" w:eastAsia="Arial" w:hAnsi="Arial"/>
                <w:sz w:val="14"/>
                <w:szCs w:val="14"/>
                <w:b w:val="1"/>
                <w:bCs w:val="1"/>
                <w:color w:val="auto"/>
                <w:w w:val="97"/>
              </w:rPr>
              <w:t>Notes due</w:t>
            </w:r>
          </w:p>
        </w:tc>
        <w:tc>
          <w:tcPr>
            <w:tcW w:w="0" w:type="dxa"/>
            <w:vAlign w:val="bottom"/>
          </w:tcPr>
          <w:p>
            <w:pPr>
              <w:spacing w:after="0"/>
              <w:rPr>
                <w:sz w:val="1"/>
                <w:szCs w:val="1"/>
                <w:color w:val="auto"/>
              </w:rPr>
            </w:pPr>
          </w:p>
        </w:tc>
      </w:tr>
      <w:tr>
        <w:trPr>
          <w:trHeight w:val="179"/>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2026</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166"/>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ind w:right="243"/>
              <w:spacing w:after="0"/>
              <w:rPr>
                <w:sz w:val="20"/>
                <w:szCs w:val="20"/>
                <w:color w:val="auto"/>
              </w:rPr>
            </w:pPr>
            <w:r>
              <w:rPr>
                <w:rFonts w:ascii="Arial" w:cs="Arial" w:eastAsia="Arial" w:hAnsi="Arial"/>
                <w:sz w:val="14"/>
                <w:szCs w:val="14"/>
                <w:b w:val="1"/>
                <w:bCs w:val="1"/>
                <w:color w:val="auto"/>
              </w:rPr>
              <w:t>2028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45"/>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4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24"/>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5"/>
        </w:trPr>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gridSpan w:val="6"/>
          </w:tcPr>
          <w:p>
            <w:pPr>
              <w:jc w:val="center"/>
              <w:ind w:right="43"/>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5"/>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w w:val="99"/>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9"/>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3"/>
            <w:shd w:val="clear" w:color="auto" w:fill="CCEEFF"/>
          </w:tcPr>
          <w:p>
            <w:pPr>
              <w:jc w:val="center"/>
              <w:ind w:left="366"/>
              <w:spacing w:after="0"/>
              <w:rPr>
                <w:sz w:val="20"/>
                <w:szCs w:val="20"/>
                <w:color w:val="auto"/>
              </w:rPr>
            </w:pPr>
            <w:r>
              <w:rPr>
                <w:rFonts w:ascii="Arial" w:cs="Arial" w:eastAsia="Arial" w:hAnsi="Arial"/>
                <w:sz w:val="16"/>
                <w:szCs w:val="16"/>
                <w:color w:val="auto"/>
                <w:w w:val="99"/>
              </w:rPr>
              <w:t>—</w:t>
            </w: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8"/>
        </w:trPr>
        <w:tc>
          <w:tcPr>
            <w:tcW w:w="2820" w:type="dxa"/>
            <w:vAlign w:val="bottom"/>
          </w:tcPr>
          <w:p>
            <w:pPr>
              <w:ind w:left="20"/>
              <w:spacing w:after="0"/>
              <w:rPr>
                <w:sz w:val="20"/>
                <w:szCs w:val="20"/>
                <w:color w:val="auto"/>
              </w:rPr>
            </w:pPr>
            <w:r>
              <w:rPr>
                <w:rFonts w:ascii="Arial" w:cs="Arial" w:eastAsia="Arial" w:hAnsi="Arial"/>
                <w:sz w:val="16"/>
                <w:szCs w:val="16"/>
                <w:color w:val="auto"/>
              </w:rPr>
              <w:t>Amortization of debt discount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4"/>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2,382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center"/>
              <w:ind w:left="366"/>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6"/>
                <w:szCs w:val="16"/>
                <w:color w:val="auto"/>
              </w:rPr>
              <w:t>2,249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issuance costs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jc w:val="right"/>
              <w:ind w:right="4"/>
              <w:spacing w:after="0"/>
              <w:rPr>
                <w:sz w:val="20"/>
                <w:szCs w:val="20"/>
                <w:color w:val="auto"/>
              </w:rPr>
            </w:pPr>
            <w:r>
              <w:rPr>
                <w:rFonts w:ascii="Arial" w:cs="Arial" w:eastAsia="Arial" w:hAnsi="Arial"/>
                <w:sz w:val="16"/>
                <w:szCs w:val="16"/>
                <w:color w:val="auto"/>
              </w:rPr>
              <w:t>652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ind w:right="4"/>
              <w:spacing w:after="0"/>
              <w:rPr>
                <w:sz w:val="20"/>
                <w:szCs w:val="20"/>
                <w:color w:val="auto"/>
              </w:rPr>
            </w:pPr>
            <w:r>
              <w:rPr>
                <w:rFonts w:ascii="Arial" w:cs="Arial" w:eastAsia="Arial" w:hAnsi="Arial"/>
                <w:sz w:val="16"/>
                <w:szCs w:val="16"/>
                <w:color w:val="auto"/>
              </w:rPr>
              <w:t>1,005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center"/>
              <w:ind w:left="406"/>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643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987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3"/>
        </w:trPr>
        <w:tc>
          <w:tcPr>
            <w:tcW w:w="2820" w:type="dxa"/>
            <w:vAlign w:val="bottom"/>
          </w:tcPr>
          <w:p>
            <w:pPr>
              <w:ind w:left="140"/>
              <w:spacing w:after="0"/>
              <w:rPr>
                <w:sz w:val="20"/>
                <w:szCs w:val="20"/>
                <w:color w:val="auto"/>
              </w:rPr>
            </w:pPr>
            <w:r>
              <w:rPr>
                <w:rFonts w:ascii="Arial" w:cs="Arial" w:eastAsia="Arial" w:hAnsi="Arial"/>
                <w:sz w:val="16"/>
                <w:szCs w:val="16"/>
                <w:color w:val="auto"/>
              </w:rPr>
              <w:t>Total interest cost recognized</w:t>
            </w:r>
          </w:p>
        </w:tc>
        <w:tc>
          <w:tcPr>
            <w:tcW w:w="120" w:type="dxa"/>
            <w:vAlign w:val="bottom"/>
          </w:tcPr>
          <w:p>
            <w:pPr>
              <w:spacing w:after="0"/>
              <w:rPr>
                <w:sz w:val="17"/>
                <w:szCs w:val="17"/>
                <w:color w:val="auto"/>
              </w:rPr>
            </w:pPr>
          </w:p>
        </w:tc>
        <w:tc>
          <w:tcPr>
            <w:tcW w:w="780" w:type="dxa"/>
            <w:vAlign w:val="bottom"/>
            <w:gridSpan w:val="2"/>
          </w:tcPr>
          <w:p>
            <w:pPr>
              <w:jc w:val="right"/>
              <w:ind w:right="365"/>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4"/>
              <w:spacing w:after="0"/>
              <w:rPr>
                <w:sz w:val="20"/>
                <w:szCs w:val="20"/>
                <w:color w:val="auto"/>
              </w:rPr>
            </w:pPr>
            <w:r>
              <w:rPr>
                <w:rFonts w:ascii="Arial" w:cs="Arial" w:eastAsia="Arial" w:hAnsi="Arial"/>
                <w:sz w:val="16"/>
                <w:szCs w:val="16"/>
                <w:color w:val="auto"/>
              </w:rPr>
              <w:t>652</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4"/>
              <w:spacing w:after="0"/>
              <w:rPr>
                <w:sz w:val="20"/>
                <w:szCs w:val="20"/>
                <w:color w:val="auto"/>
              </w:rPr>
            </w:pPr>
            <w:r>
              <w:rPr>
                <w:rFonts w:ascii="Arial" w:cs="Arial" w:eastAsia="Arial" w:hAnsi="Arial"/>
                <w:sz w:val="16"/>
                <w:szCs w:val="16"/>
                <w:color w:val="auto"/>
              </w:rPr>
              <w:t>1,005</w:t>
            </w:r>
          </w:p>
        </w:tc>
        <w:tc>
          <w:tcPr>
            <w:tcW w:w="2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2,759</w:t>
            </w: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3"/>
          </w:tcPr>
          <w:p>
            <w:pPr>
              <w:jc w:val="center"/>
              <w:ind w:left="366"/>
              <w:spacing w:after="0"/>
              <w:rPr>
                <w:sz w:val="20"/>
                <w:szCs w:val="20"/>
                <w:color w:val="auto"/>
              </w:rPr>
            </w:pPr>
            <w:r>
              <w:rPr>
                <w:rFonts w:ascii="Arial" w:cs="Arial" w:eastAsia="Arial" w:hAnsi="Arial"/>
                <w:sz w:val="16"/>
                <w:szCs w:val="16"/>
                <w:color w:val="auto"/>
                <w:w w:val="99"/>
              </w:rPr>
              <w:t>—</w:t>
            </w:r>
          </w:p>
        </w:tc>
        <w:tc>
          <w:tcPr>
            <w:tcW w:w="300" w:type="dxa"/>
            <w:vAlign w:val="bottom"/>
            <w:gridSpan w:val="2"/>
          </w:tcPr>
          <w:p>
            <w:pPr>
              <w:jc w:val="right"/>
              <w:ind w:right="7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
              <w:spacing w:after="0"/>
              <w:rPr>
                <w:sz w:val="20"/>
                <w:szCs w:val="20"/>
                <w:color w:val="auto"/>
              </w:rPr>
            </w:pPr>
            <w:r>
              <w:rPr>
                <w:rFonts w:ascii="Arial" w:cs="Arial" w:eastAsia="Arial" w:hAnsi="Arial"/>
                <w:sz w:val="16"/>
                <w:szCs w:val="16"/>
                <w:color w:val="auto"/>
              </w:rPr>
              <w:t>643</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
              <w:spacing w:after="0"/>
              <w:rPr>
                <w:sz w:val="20"/>
                <w:szCs w:val="20"/>
                <w:color w:val="auto"/>
              </w:rPr>
            </w:pPr>
            <w:r>
              <w:rPr>
                <w:rFonts w:ascii="Arial" w:cs="Arial" w:eastAsia="Arial" w:hAnsi="Arial"/>
                <w:sz w:val="16"/>
                <w:szCs w:val="16"/>
                <w:color w:val="auto"/>
              </w:rPr>
              <w:t>987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
              <w:spacing w:after="0"/>
              <w:rPr>
                <w:sz w:val="20"/>
                <w:szCs w:val="20"/>
                <w:color w:val="auto"/>
              </w:rPr>
            </w:pPr>
            <w:r>
              <w:rPr>
                <w:rFonts w:ascii="Arial" w:cs="Arial" w:eastAsia="Arial" w:hAnsi="Arial"/>
                <w:sz w:val="16"/>
                <w:szCs w:val="16"/>
                <w:color w:val="auto"/>
              </w:rPr>
              <w:t>2,618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Convertible Senior Notes due 2028</w:t>
      </w:r>
    </w:p>
    <w:p>
      <w:pPr>
        <w:spacing w:after="0" w:line="120" w:lineRule="exact"/>
        <w:rPr>
          <w:sz w:val="20"/>
          <w:szCs w:val="20"/>
          <w:color w:val="auto"/>
        </w:rPr>
      </w:pPr>
    </w:p>
    <w:p>
      <w:pPr>
        <w:jc w:val="both"/>
        <w:ind w:firstLine="470"/>
        <w:spacing w:after="0" w:line="266" w:lineRule="auto"/>
        <w:rPr>
          <w:sz w:val="20"/>
          <w:szCs w:val="20"/>
          <w:color w:val="auto"/>
        </w:rPr>
      </w:pPr>
      <w:r>
        <w:rPr>
          <w:rFonts w:ascii="Arial" w:cs="Arial" w:eastAsia="Arial" w:hAnsi="Arial"/>
          <w:sz w:val="17"/>
          <w:szCs w:val="17"/>
          <w:color w:val="auto"/>
        </w:rPr>
        <w:t>On March 1, 2021, the Company issued $575.0 million aggregate principal amount of its 0.0% convertible senior notes due 2028 (the “Notes due 2028”). The Notes due 2028 will not bear regular interest, and the principal amount of the Notes due 2028 will not accrete. The Notes due 2028 are general unsecured obligations and are governed by an indenture between the Company and U.S. Bank National Association, as trustee. The Notes due 2028 will mature on March 1, 2028, unless earlier repurchased by the Company or converted at the option of the holders. The Company received approximately $566.4 million in net proceeds, after deducting the initial purchasers’ discount, from the issuance of the Notes due 2028.</w:t>
      </w:r>
    </w:p>
    <w:p>
      <w:pPr>
        <w:spacing w:after="0" w:line="276"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The initial conversion rate for the Notes due 2028 is 3.5104 shares of common stock per $1,000 principal amount of the Notes due 2028 (which represents an initial conversion price of approximately $284.87 per share). Upon conversion, the Company will settle conversions of the Notes due 2028 through payment or delivery, as the case may be, of cash, shares of its common stock or a combination of cash and shares of its common stock, at the Company’s election.</w:t>
      </w:r>
    </w:p>
    <w:p>
      <w:pPr>
        <w:spacing w:after="0" w:line="61"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The Company may not redeem the Notes due 2028 prior to September 6, 2024. The Company may redeem for cash all or any portion of the Notes due 2028, at the Company’s election, on or after September 6, 2024, if the last reported sale price of the Company’s common stock has been greater than or equal to 130% of the conversion price then in effect for the Notes due 2028 (</w:t>
      </w:r>
      <w:r>
        <w:rPr>
          <w:rFonts w:ascii="Arial" w:cs="Arial" w:eastAsia="Arial" w:hAnsi="Arial"/>
          <w:sz w:val="17"/>
          <w:szCs w:val="17"/>
          <w:i w:val="1"/>
          <w:iCs w:val="1"/>
          <w:color w:val="auto"/>
        </w:rPr>
        <w:t>i.e.,</w:t>
      </w:r>
      <w:r>
        <w:rPr>
          <w:rFonts w:ascii="Arial" w:cs="Arial" w:eastAsia="Arial" w:hAnsi="Arial"/>
          <w:sz w:val="17"/>
          <w:szCs w:val="17"/>
          <w:color w:val="auto"/>
        </w:rPr>
        <w:t xml:space="preserve"> $370.33, which is 130% of the current conversion price for the Notes due 2028) for at least 20 trading days (whether or not consecutive) during any 30 consecutive trading day period ending on, and including, the trading day immediately preceding the date on which the Company provides notice of redemption. The redemption price will equal 100% of the principal amount of the Notes due 2028 to be redeemed, plus accrued and unpaid special interest, if any to, but excluding, the relevant redemption date. No sinking fund is provided for the Notes due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485775</wp:posOffset>
            </wp:positionV>
            <wp:extent cx="69373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37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7"/>
          <w:szCs w:val="17"/>
          <w:color w:val="auto"/>
        </w:rPr>
        <w:t>The Notes due 2028 may be converted on any day prior to the close of business on the business day immediately preceding September 1, 2027, in multiples of $1,000 principal amount, at the option of the holder only under any of the following circumstances: (1) during any calendar quarter commencing after the calendar quarter ending on June 30, 2021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Notes due 2028 on each applicable trading day; (2) during the five business day period after any five consecutive trading day period (the “Measurement Period”) in which the “trading price” (as defined in the relevant indenture) per $1,000 principal amount of notes for each trading day of the Measurement Period was less than 98% of the product of the last reported sale price of the Company’s common stock and the conversion rate for the Notes due 2028 on each such trading day; (3) if the Company calls any or all of the Notes due 2028 for redemption, at any time prior to the close of business on the scheduled trading day immediately preceding the redemption date; or (4) upon the occurrence of specified corporate events. On and after September 1, 2027 until the close of business on the second scheduled trading day immediately preceding the maturity date of March 1, 2028, holders of the Notes due 2028 may convert their notes at any time, regardless of the foregoing circumstances. Upon the occurrence of a fundamental change (as defined in the relevant indenture), holders may require the Company to repurchase all or a portion of their Notes due 2028 for cash at a price equal to 100% of the principal amount of the notes to be repurchased plus any accrued and unpaid special interest, if any, to, but excluding, the fundamental change repurchase date.</w:t>
      </w:r>
    </w:p>
    <w:p>
      <w:pPr>
        <w:spacing w:after="0" w:line="77"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As of June 30, 2024, the unamortized deferred issuance cost for the Notes due 2028 was $4.8 million on the condensed consolidated balance sheet.</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due 2028 Hedge and Warrant Transactions</w:t>
      </w:r>
    </w:p>
    <w:p>
      <w:pPr>
        <w:spacing w:after="0" w:line="12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In connection with the offering of the Notes due 2028, the Company entered into privately-negotiated convertible note hedge transactions (“Notes due 2028 Hedge”) pursuant to which the Company has the option to purchase a total of approximately 2.0 million shares of its common stock (subject to anti-dilution adjustments), which is the same number of shares initially issuable upon conversion of the Notes due 2028, at a price of $284.87 per share. The total cost of the convertible note hedge transactions was approximately $161.6 million. The convertible note hedge transactions are expected generally to reduce potential dilution to the Company’s common stock upon any conversion of the Notes due 2028 and/or offset any cash payments the Company is required to make in excess of the principal amount of converted notes, as the case may be.</w:t>
      </w:r>
    </w:p>
    <w:p>
      <w:pPr>
        <w:spacing w:after="0" w:line="278"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Additionally, the Company separately entered into privately-negotiated warrant transactions (the “2028 Warrants”) whereby the Company sold warrants to acquire approximately 2.0 million shares of the Company’s common stock (subject to anti-dilution adjustments) at an initial strike price of $397.91 per share. The Company received aggregate proceeds of approximately $123.4 million from the sale of the 2028 Warrants. If the market value per share of the Company’s common stock, as measured under the 2028 Warrants, exceeds the strike price of the 2028 Warrants, the 2028 Warrants will have a dilutive effect on the Company’s earnings per share, unless the Company elects, subject to certain conditions, to settle the 2028 Warrants in cash. Taken together, the purchase of the Notes due 2028 Hedge and the sale of the 2028 Warrants are intended to reduce potential dilution from the conversion of the Notes due 2028 and to effectively increase the overall conversion price from $284.87 to $397.91 per share. The 2028 Warrants are only exercisable on the applicable expiration dates in accordance with the Notes due 2028 Hedge. Subject to the other terms of the 2028 Warrants, the first expiration date applicable to the Notes due 2028 Hedge is June 1, 2028, and the final expiration date applicable to the Notes due 2028 Hedge is July 27, 2028.</w:t>
      </w:r>
    </w:p>
    <w:p>
      <w:pPr>
        <w:spacing w:after="0" w:line="70"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Given that the transactions meet certain accounting criteria, the Notes due 2028 Hedge and the 2028 Warrants transactions are recorded in stockholders’ equity, and they are not accounted for as derivatives and are not remeasured each reporting period.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Convertible Senior Notes due 2026</w:t>
      </w:r>
    </w:p>
    <w:p>
      <w:pPr>
        <w:spacing w:after="0" w:line="120"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On March 1, 2021, the Company issued $ 575.0 million aggregate principal amount of 0.0% convertible senior notes due 2026 (the “Notes due 2026”). In addition, on March 12, 2021, the Company issued an additional $57.5 million aggregate principal amount of the Notes due 2026 pursuant to the initial purchasers’ full exercise of the over-allotment option for additional Notes due 2026. The Notes due 2026 will not bear regular interest,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481330</wp:posOffset>
            </wp:positionV>
            <wp:extent cx="69373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37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principal amount of the Notes due 2026 will not accrete. The Notes due 2026 are general unsecured obligations and are governed by an indenture between the Company and U.S. Bank National Association, as trustee. The Notes due 2026 will mature on March 1, 2026, unless repurchased earlier by the Company or converted at the option of the holders. The Company received approximately $623.0 million in net proceeds, after deducting the initial purchasers’ discount, from the issuance of the Notes due 2026.</w:t>
      </w:r>
    </w:p>
    <w:p>
      <w:pPr>
        <w:spacing w:after="0" w:line="61"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The initial conversion rate for the Notes due 2026 is 3.2523 shares of common stock per $1,000 principal amount of the Notes due 2026 (which represents an initial conversion price of approximately $307.47 per share). Upon conversion, the Company will settle conversions of Notes due 2026 through payment or delivery, as the case may be, of cash, shares of its common stock or a combination of cash and shares of its common stock, at the Company’s election.</w:t>
      </w:r>
    </w:p>
    <w:p>
      <w:pPr>
        <w:spacing w:after="0" w:line="61" w:lineRule="exact"/>
        <w:rPr>
          <w:sz w:val="20"/>
          <w:szCs w:val="20"/>
          <w:color w:val="auto"/>
        </w:rPr>
      </w:pPr>
    </w:p>
    <w:p>
      <w:pPr>
        <w:jc w:val="both"/>
        <w:ind w:firstLine="470"/>
        <w:spacing w:after="0" w:line="262" w:lineRule="auto"/>
        <w:rPr>
          <w:sz w:val="20"/>
          <w:szCs w:val="20"/>
          <w:color w:val="auto"/>
        </w:rPr>
      </w:pPr>
      <w:r>
        <w:rPr>
          <w:rFonts w:ascii="Arial" w:cs="Arial" w:eastAsia="Arial" w:hAnsi="Arial"/>
          <w:sz w:val="17"/>
          <w:szCs w:val="17"/>
          <w:color w:val="auto"/>
        </w:rPr>
        <w:t>The Company may not redeem the Notes due 2026 prior to September 6, 2023. The Company may redeem for cash all or any portion of the Notes due 2026, at the Company’s election, on or after September 6, 2023, if the last reported sale price of the Company’s common stock has been greater than or equal to 130% of the conversion price then in effect for the Notes due 2026 (</w:t>
      </w:r>
      <w:r>
        <w:rPr>
          <w:rFonts w:ascii="Arial" w:cs="Arial" w:eastAsia="Arial" w:hAnsi="Arial"/>
          <w:sz w:val="17"/>
          <w:szCs w:val="17"/>
          <w:i w:val="1"/>
          <w:iCs w:val="1"/>
          <w:color w:val="auto"/>
        </w:rPr>
        <w:t>i.e</w:t>
      </w:r>
      <w:r>
        <w:rPr>
          <w:rFonts w:ascii="Arial" w:cs="Arial" w:eastAsia="Arial" w:hAnsi="Arial"/>
          <w:sz w:val="17"/>
          <w:szCs w:val="17"/>
          <w:color w:val="auto"/>
        </w:rPr>
        <w:t>., $399.71, which is 130% of the current conversion price for the Notes due 2026) for at least 20 trading days (whether or not consecutive) during a period of 30 consecutive trading day period ending on, and including, the trading day immediately preceding the date on which the Company provides notice of redemption. The redemption price will equal 100% of the principal amount of the Notes due 2026 to be redeemed, plus accrued and unpaid special interest, if any, to, but excluding, the relevant redemption date for the Notes due 2026. The redemption price will be increased as described in the relevant indentures by a number of additional shares of the Company in connection with such optional redemption by the Company. No sinking fund is provided for the Notes due 2026.</w:t>
      </w:r>
    </w:p>
    <w:p>
      <w:pPr>
        <w:spacing w:after="0" w:line="279"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7"/>
          <w:szCs w:val="17"/>
          <w:color w:val="auto"/>
        </w:rPr>
        <w:t>The Notes due 2026 may be converted on any day prior to the close of business on the business day immediately preceding September 1, 2025, in multiples of $1,000 principal amount, at the option of the holder only under any of the following circumstances: (1) during any calendar quarter commencing after the calendar quarter ending on June 30, 2021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of the Notes due 2026 on each applicable trading day; (2) during the five business day period after any five consecutive trading day period (the “measurement period”) in which the “trading price” (as defined in the relevant indenture) per $1,000 principal amount of notes for each trading day of the measurement period was less than 98% of the product of the last reported sale price of the Company’s common stock and the conversion rate for Notes due 2026 on each such trading day; (3) if the Company calls any or all of the Notes due 2026 for redemption, at any time prior to the close of business on the scheduled trading day immediately preceding the redemption date; or (4) upon the occurrence of specified corporate events. On and after September 1, 2025 until the close of business on the second scheduled trading day immediately preceding the maturity date of March 1, 2026, holders of the Notes due 2026 may convert their notes at any time, regardless of the foregoing circumstances. Upon the occurrence of a fundamental change (as defined in the relevant indenture), holders may require the Company to repurchase all or a portion of their Notes due 2026 for cash at a price equal to 100% of the principal amount of the notes to be repurchased plus any accrued and unpaid special interest, if any, to, but excluding, the fundamental change repurchase date.</w:t>
      </w:r>
    </w:p>
    <w:p>
      <w:pPr>
        <w:spacing w:after="0" w:line="77"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As of June 30, 2024, the unamortized deferred issuance cost for the Notes due 2026 was $3.3 million on the condensed consolidated balance sheet.</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due 2026 Hedge and Warrant Transactions</w:t>
      </w:r>
    </w:p>
    <w:p>
      <w:pPr>
        <w:spacing w:after="0" w:line="120"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In connection with the offering of the Notes due 2026 (including in connection with the issuance of additional Notes due 2026 upon the initial purchasers’ exercise of their over-allotment option), the Company entered into privately-negotiated convertible note hedge transactions (the “Notes due 2026 Hedge”) pursuant to which the Company has the option to purchase a total of approximately 2.1 million shares of its common stock (subject to anti-dilution adjustments), which is the same number of shares initially issuable upon conversion of the Notes due 2026, at a price of $307.47 per share, which is the initial conversion price of the Notes due 2026. The total cost of the Notes due 2026 Hedge was approximately $124.6 million. The Notes due 2026 Hedge are expected generally to reduce potential dilution to the Company’s common stock upon any conversion of the Notes due 2026 and/or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485775</wp:posOffset>
            </wp:positionV>
            <wp:extent cx="69373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37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any cash payments the Company is required to make in excess of the principal amount of converted notes, as the case may be.</w:t>
      </w:r>
    </w:p>
    <w:p>
      <w:pPr>
        <w:spacing w:after="0" w:line="118"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Additionally, the Company separately entered into privately-negotiated warrant transactions, including in connection with the issuance of additional Notes due 2026 upon the initial purchasers’ exercise of their over-allotment option (the “2026 Warrants”), whereby the Company sold warrants to acquire approximately 2.1 million shares of the Company’s common stock (subject to anti-dilution adjustments) at an initial strike price of $397.91 per share. The Company received aggregate proceeds of approximately $97.4 million from the sale of the 2026 Warrants. If the market value per share of the Company’s common stock, as measured under the 2026 Warrants, exceeds the strike price of the 2026 Warrants, the 2026 Warrants will have a dilutive effect on the Company’s earnings per share, unless the Company elects, subject to certain conditions, to settle the 2026 Warrants in cash. Taken together, the purchase of the Notes due 2026 Hedge and the sale of the 2026 Warrants are intended to reduce potential dilution from the conversion of the Notes due 2026 and to effectively increase the overall conversion price from $307.47 to $397.91 per share. The 2026 Warrants are only exercisable on the applicable expiration dates in accordance with the 2026 Warrants. Subject to the other terms of the 2026 Warrants, the first expiration date applicable to the Warrants is June 1, 2026, and the final expiration date applicable to the 2026 Warrants is July 27, 2026.</w:t>
      </w:r>
    </w:p>
    <w:p>
      <w:pPr>
        <w:spacing w:after="0" w:line="75"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Given that the transactions meet certain accounting criteria, the Notes due 2026 Hedge and the 2026 Warrants transactions are recorded in stockholders’ equity, and they are not accounted for as derivatives and are not remeasured each reporting period.</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Convertible Senior Notes due 2025</w:t>
      </w:r>
    </w:p>
    <w:p>
      <w:pPr>
        <w:spacing w:after="0" w:line="120"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On March 9, 2020, the Company issued $320.0 million aggregate principal amount of its 0.25% convertible senior notes due 2025 (the “Notes due 2025”). The Notes due 2025 are general unsecured obligations and bear interest at an annual rate of 0.25% per year, payable semi-annually on March 1 and September 1 of each year. The Notes due 2025 are governed by an indenture between the Company and U.S. Bank National Association, as trustee. The Notes due 2025 will mature on March 1, 2025, unless earlier repurchased by the Company or converted at the option of the holders. The Company may not redeem the notes prior to the maturity date, and no sinking fund is provided for the notes. The Notes due 2025 may be converted, under certain circumstances as described below, based on an initial conversion rate of 12.2637 shares of common stock per $1,000 principal amount (which represents an initial conversion price of $81.54 per share). The conversion rate for the Notes due 2025 will be subject to adjustment upon the occurrence of certain specified events but will not be adjusted for accrued and unpaid interest. In addition, upon the occurrence of a make-whole fundamental change (as defined in the relevant indenture), the Company will, in certain circumstances, increase the conversion rate by a number of additional shares for a holder that elects to convert its notes in connection with such make-whole fundamental change. The Company received approximately $313.0 million in net proceeds, after deducting the initial purchasers’ discount, from the issuance of the Notes due 2025.</w:t>
      </w:r>
    </w:p>
    <w:p>
      <w:pPr>
        <w:spacing w:after="0" w:line="73"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7"/>
          <w:szCs w:val="17"/>
          <w:color w:val="auto"/>
        </w:rPr>
        <w:t>The Notes due 2025 may be converted prior to the close of business on the business day immediately preceding September 1, 2024, in multiples of $1,000 principal amount, at the option of the holder only under the following circumstances: (1) during any calendar quarter commencing after the calendar quarter ending on June 30, 2020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relevant indenture) per $1,000 principal amount of notes for each trading day of the measurement period was less than 98% of the product of the last reported sale price of the Company’s common stock and the conversion rate on each such trading day; or</w:t>
      </w:r>
    </w:p>
    <w:p>
      <w:pPr>
        <w:spacing w:after="0" w:line="1" w:lineRule="exact"/>
        <w:rPr>
          <w:sz w:val="20"/>
          <w:szCs w:val="20"/>
          <w:color w:val="auto"/>
        </w:rPr>
      </w:pPr>
    </w:p>
    <w:p>
      <w:pPr>
        <w:jc w:val="both"/>
        <w:ind w:firstLine="5"/>
        <w:spacing w:after="0" w:line="262" w:lineRule="auto"/>
        <w:tabs>
          <w:tab w:leader="none" w:pos="283" w:val="left"/>
        </w:tabs>
        <w:numPr>
          <w:ilvl w:val="0"/>
          <w:numId w:val="10"/>
        </w:numPr>
        <w:rPr>
          <w:rFonts w:ascii="Arial" w:cs="Arial" w:eastAsia="Arial" w:hAnsi="Arial"/>
          <w:sz w:val="17"/>
          <w:szCs w:val="17"/>
          <w:color w:val="auto"/>
        </w:rPr>
      </w:pPr>
      <w:r>
        <w:rPr>
          <w:rFonts w:ascii="Arial" w:cs="Arial" w:eastAsia="Arial" w:hAnsi="Arial"/>
          <w:sz w:val="17"/>
          <w:szCs w:val="17"/>
          <w:color w:val="auto"/>
        </w:rPr>
        <w:t>upon the occurrence of specified corporate events. On and after September 1, 2024 until the close of business on the second scheduled trading day immediately preceding the maturity date of March 1, 2025, holders may convert their notes at any time, regardless of the foregoing circumstances. Upon the occurrence of a fundamental change (as defined in the relevant indenture), holders may require the Company to repurchase all or a portion of their Notes due 2025 for cash at a price equal to 100% of the principal amount of the notes to be repurchased plus any accrued and unpaid interest to, but excluding, the fundamental change repurchase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484505</wp:posOffset>
            </wp:positionV>
            <wp:extent cx="69373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37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As of June 30, 2024 the sale price of the Company’s common stock was greater than or equal to $106.00 (130% of the notes conversion price) for at least 20 trading days (whether consecutive or not) during a period of 30 consecutive trading days preceding the quarter-ended June 30, 2024. As a result, the Notes due 2025 are convertible at the holders’ option through September 30, 2024. Further, as the Notes due 2025 mature in less than a year, the Company classified the net carrying amount of the Notes due 2025 of $98.6 million as Debt, current on the condensed consolidated balance sheet as of June 30, 2024.</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Partial repurchase of Notes due 2025</w:t>
      </w:r>
    </w:p>
    <w:p>
      <w:pPr>
        <w:spacing w:after="0" w:line="249"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On June 5, 2024, the Company received a request for conversion of $5,000 in the principal amount of the Notes due 2025. In July 2024, the principal amount of the converted Notes due 2025 was repaid in cash. In connection with the conversion, the Company also issued 16 shares of its common stock to the holders of the converted Notes due 2025, with an aggregate fair value of less than $0.1 million, representing the conversion value in excess of the principal amount of the Notes due 2025. These shares were offset by 14 shares the Company received from the corresponding exercise of the notes hedge.</w:t>
      </w:r>
    </w:p>
    <w:p>
      <w:pPr>
        <w:spacing w:after="0" w:line="19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On December 29, 2023, the Company received a request for conversion of $2,000 in the principal amount of the Notes due 2025. In February 2024, the principal amount of the converted Notes due 2025 was repaid in cash. In connection with the conversion, the Company also issued six shares of its common stock to the holders of the converted Notes due 2025, with an aggregate fair value of less than $0.1 million, representing the conversion value in excess of the principal amount of the Notes due 2025. Following this repurchase combined with repurchase in previous years, as of June 30, 2024, $102.2 million aggregate principal amount of the Notes due 2025 remained outstanding.</w:t>
      </w:r>
    </w:p>
    <w:p>
      <w:pPr>
        <w:spacing w:after="0" w:line="63"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The derived effective interest rate on the Notes due 2025 host contract was determined to be 5.18%, which remains unchanged from the date of issuance. The remaining unamortized debt discount was $3.3 million as of June 30, 2024, and will be amortized over approximately 0.7 years from June 30, 2024.</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due 2025 Hedge and Warrant Transactions</w:t>
      </w:r>
    </w:p>
    <w:p>
      <w:pPr>
        <w:spacing w:after="0" w:line="120"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In connection with the offering of the Notes due 2025, the Company entered into privately-negotiated convertible note hedge transactions (the “Notes due 2025 Hedge”) pursuant to which the Company has the option to purchase a total of approximately 3.9 million shares of its common stock (subject to anti-dilution adjustments), which is the same number of shares initially issuable upon conversion of the notes, at a price of $81.54 per share, which is the initial conversion price of the Notes due 2025. The total cost of the convertible note hedge transactions was approximately $89.1 million. The convertible note hedge transactions are expected generally to reduce potential dilution to the Company’s common stock upon any conversion of the Notes due 2025 and/or offset any cash payments the Company is required to make in excess of the principal amount of converted notes, as the case may be.</w:t>
      </w:r>
    </w:p>
    <w:p>
      <w:pPr>
        <w:spacing w:after="0" w:line="69"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Additionally, the Company separately entered into privately-negotiated warrant transactions in connection with the offering of the Notes due 2025 whereby the Company sold the 2025 Warrants to acquire approximately 3.9 million shares of the Company’s common stock (subject to anti-dilution adjustments) at an initial strike price of $106.94 per share. The Company received aggregate proceeds of approximately $71.6 million from the sale of the 2025 Warrants. If the market value per share of the Company’s common stock, as measured under the 2025 Warrants, exceeds the strike price of the 2025 Warrants, the 2025 Warrants will have a dilutive effect on the Company’s earnings per share, unless the Company elects, subject to certain conditions, to settle the 2025 Warrants in cash. Taken together, the purchase of the convertible note hedges in connection with the Notes due 2025 Hedge and the sale of the 2025 Warrants are intended to reduce potential dilution from the conversion of the Notes due 2025 and to effectively increase the overall conversion price from $ 81.54 to $ 106.94 per share. The 2025 Warrants are only exercisable on the applicable expiration dates in accordance with the agreements relating to each of the 2025 Warrants. Subject to the other terms of the 2025 Warrants, the first expiration date applicable to the 2025 Warrants is June 1, 2025, and the final expiration date applicable to the 2025 Warrants is September 23,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619125</wp:posOffset>
            </wp:positionV>
            <wp:extent cx="69373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37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ind w:firstLine="470"/>
        <w:spacing w:after="0" w:line="298" w:lineRule="auto"/>
        <w:rPr>
          <w:sz w:val="20"/>
          <w:szCs w:val="20"/>
          <w:color w:val="auto"/>
        </w:rPr>
      </w:pPr>
      <w:r>
        <w:rPr>
          <w:rFonts w:ascii="Arial" w:cs="Arial" w:eastAsia="Arial" w:hAnsi="Arial"/>
          <w:sz w:val="17"/>
          <w:szCs w:val="17"/>
          <w:color w:val="auto"/>
        </w:rPr>
        <w:t>As of June 30, 2024, options to purchase approximately 1.3 million shares of common stock remained outstanding under the Notes due 2025 Hedge, and 2025 Warrants exercisable to purchase approximately 1.3 million shares remained outstanding.</w:t>
      </w:r>
    </w:p>
    <w:p>
      <w:pPr>
        <w:spacing w:after="0" w:line="37" w:lineRule="exact"/>
        <w:rPr>
          <w:sz w:val="20"/>
          <w:szCs w:val="20"/>
          <w:color w:val="auto"/>
        </w:rPr>
      </w:pPr>
    </w:p>
    <w:p>
      <w:pPr>
        <w:ind w:firstLine="470"/>
        <w:spacing w:after="0" w:line="298" w:lineRule="auto"/>
        <w:rPr>
          <w:sz w:val="20"/>
          <w:szCs w:val="20"/>
          <w:color w:val="auto"/>
        </w:rPr>
      </w:pPr>
      <w:r>
        <w:rPr>
          <w:rFonts w:ascii="Arial" w:cs="Arial" w:eastAsia="Arial" w:hAnsi="Arial"/>
          <w:sz w:val="17"/>
          <w:szCs w:val="17"/>
          <w:color w:val="auto"/>
        </w:rPr>
        <w:t>Given that the transactions meet certain accounting criteria, the Notes due 2025 Hedge and the 2025 Warrants transactions are recorded in stockholders’ equity, and they are not accounted for as derivatives and are not remeasured each reporting period.</w:t>
      </w:r>
    </w:p>
    <w:p>
      <w:pPr>
        <w:spacing w:after="0" w:line="88" w:lineRule="exact"/>
        <w:rPr>
          <w:sz w:val="20"/>
          <w:szCs w:val="20"/>
          <w:color w:val="auto"/>
        </w:rPr>
      </w:pPr>
    </w:p>
    <w:p>
      <w:pPr>
        <w:ind w:left="440" w:hanging="435"/>
        <w:spacing w:after="0"/>
        <w:tabs>
          <w:tab w:leader="none" w:pos="44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Leases</w:t>
      </w:r>
    </w:p>
    <w:p>
      <w:pPr>
        <w:spacing w:after="0" w:line="120" w:lineRule="exact"/>
        <w:rPr>
          <w:sz w:val="20"/>
          <w:szCs w:val="20"/>
          <w:color w:val="auto"/>
        </w:rPr>
      </w:pPr>
    </w:p>
    <w:p>
      <w:pPr>
        <w:ind w:firstLine="470"/>
        <w:spacing w:after="0" w:line="298" w:lineRule="auto"/>
        <w:rPr>
          <w:sz w:val="20"/>
          <w:szCs w:val="20"/>
          <w:color w:val="auto"/>
        </w:rPr>
      </w:pPr>
      <w:r>
        <w:rPr>
          <w:rFonts w:ascii="Arial" w:cs="Arial" w:eastAsia="Arial" w:hAnsi="Arial"/>
          <w:sz w:val="17"/>
          <w:szCs w:val="17"/>
          <w:color w:val="auto"/>
        </w:rPr>
        <w:t>The Company leases office facilities under noncancellable operating leases that expire on various dates through 2034, some of which may include options to extend the leases for up to 12 years.</w:t>
      </w:r>
    </w:p>
    <w:p>
      <w:pPr>
        <w:spacing w:after="0" w:line="3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components of lease expense are presented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9"/>
              </w:rPr>
              <w:t>Three Months Ended</w:t>
            </w:r>
          </w:p>
        </w:tc>
        <w:tc>
          <w:tcPr>
            <w:tcW w:w="480" w:type="dxa"/>
            <w:vAlign w:val="bottom"/>
          </w:tcPr>
          <w:p>
            <w:pPr>
              <w:spacing w:after="0"/>
              <w:rPr>
                <w:sz w:val="14"/>
                <w:szCs w:val="14"/>
                <w:color w:val="auto"/>
              </w:rPr>
            </w:pPr>
          </w:p>
        </w:tc>
        <w:tc>
          <w:tcPr>
            <w:tcW w:w="1620" w:type="dxa"/>
            <w:vAlign w:val="bottom"/>
            <w:gridSpan w:val="3"/>
          </w:tcPr>
          <w:p>
            <w:pPr>
              <w:jc w:val="center"/>
              <w:ind w:left="308"/>
              <w:spacing w:after="0"/>
              <w:rPr>
                <w:sz w:val="20"/>
                <w:szCs w:val="20"/>
                <w:color w:val="auto"/>
              </w:rPr>
            </w:pPr>
            <w:r>
              <w:rPr>
                <w:rFonts w:ascii="Arial" w:cs="Arial" w:eastAsia="Arial" w:hAnsi="Arial"/>
                <w:sz w:val="14"/>
                <w:szCs w:val="14"/>
                <w:b w:val="1"/>
                <w:bCs w:val="1"/>
                <w:color w:val="auto"/>
                <w:w w:val="98"/>
              </w:rPr>
              <w:t>Six Months Ended</w:t>
            </w:r>
          </w:p>
        </w:tc>
        <w:tc>
          <w:tcPr>
            <w:tcW w:w="880" w:type="dxa"/>
            <w:vAlign w:val="bottom"/>
          </w:tcPr>
          <w:p>
            <w:pPr>
              <w:spacing w:after="0"/>
              <w:rPr>
                <w:sz w:val="14"/>
                <w:szCs w:val="14"/>
                <w:color w:val="auto"/>
              </w:rPr>
            </w:pPr>
          </w:p>
        </w:tc>
      </w:tr>
      <w:tr>
        <w:trPr>
          <w:trHeight w:val="183"/>
        </w:trPr>
        <w:tc>
          <w:tcPr>
            <w:tcW w:w="5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628"/>
              <w:spacing w:after="0"/>
              <w:rPr>
                <w:sz w:val="20"/>
                <w:szCs w:val="20"/>
                <w:color w:val="auto"/>
              </w:rPr>
            </w:pPr>
            <w:r>
              <w:rPr>
                <w:rFonts w:ascii="Arial" w:cs="Arial" w:eastAsia="Arial" w:hAnsi="Arial"/>
                <w:sz w:val="14"/>
                <w:szCs w:val="14"/>
                <w:b w:val="1"/>
                <w:bCs w:val="1"/>
                <w:color w:val="auto"/>
                <w:w w:val="99"/>
              </w:rPr>
              <w:t>June 30,</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left="348"/>
              <w:spacing w:after="0"/>
              <w:rPr>
                <w:sz w:val="20"/>
                <w:szCs w:val="20"/>
                <w:color w:val="auto"/>
              </w:rPr>
            </w:pPr>
            <w:r>
              <w:rPr>
                <w:rFonts w:ascii="Arial" w:cs="Arial" w:eastAsia="Arial" w:hAnsi="Arial"/>
                <w:sz w:val="14"/>
                <w:szCs w:val="14"/>
                <w:b w:val="1"/>
                <w:bCs w:val="1"/>
                <w:color w:val="auto"/>
                <w:w w:val="99"/>
              </w:rPr>
              <w:t>June 30,</w:t>
            </w:r>
          </w:p>
        </w:tc>
        <w:tc>
          <w:tcPr>
            <w:tcW w:w="880" w:type="dxa"/>
            <w:vAlign w:val="bottom"/>
            <w:tcBorders>
              <w:bottom w:val="single" w:sz="8" w:color="auto"/>
            </w:tcBorders>
          </w:tcPr>
          <w:p>
            <w:pPr>
              <w:spacing w:after="0"/>
              <w:rPr>
                <w:sz w:val="15"/>
                <w:szCs w:val="15"/>
                <w:color w:val="auto"/>
              </w:rPr>
            </w:pPr>
          </w:p>
        </w:tc>
      </w:tr>
      <w:tr>
        <w:trPr>
          <w:trHeight w:val="189"/>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w w:val="96"/>
              </w:rPr>
              <w:t>2023</w:t>
            </w:r>
          </w:p>
        </w:tc>
      </w:tr>
      <w:tr>
        <w:trPr>
          <w:trHeight w:val="224"/>
        </w:trPr>
        <w:tc>
          <w:tcPr>
            <w:tcW w:w="5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gridSpan w:val="3"/>
          </w:tcPr>
          <w:p>
            <w:pPr>
              <w:jc w:val="right"/>
              <w:ind w:right="2"/>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costs</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2,675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2,416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5,008</w:t>
            </w:r>
          </w:p>
        </w:tc>
      </w:tr>
    </w:tbl>
    <w:p>
      <w:pPr>
        <w:spacing w:after="0" w:line="21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components of lease liabilities are presented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June 30,</w:t>
            </w:r>
          </w:p>
        </w:tc>
        <w:tc>
          <w:tcPr>
            <w:tcW w:w="200" w:type="dxa"/>
            <w:vAlign w:val="bottom"/>
          </w:tcPr>
          <w:p>
            <w:pPr>
              <w:spacing w:after="0"/>
              <w:rPr>
                <w:sz w:val="14"/>
                <w:szCs w:val="14"/>
                <w:color w:val="auto"/>
              </w:rPr>
            </w:pPr>
          </w:p>
        </w:tc>
        <w:tc>
          <w:tcPr>
            <w:tcW w:w="1240" w:type="dxa"/>
            <w:vAlign w:val="bottom"/>
          </w:tcPr>
          <w:p>
            <w:pPr>
              <w:jc w:val="right"/>
              <w:ind w:right="184"/>
              <w:spacing w:after="0"/>
              <w:rPr>
                <w:sz w:val="20"/>
                <w:szCs w:val="20"/>
                <w:color w:val="auto"/>
              </w:rPr>
            </w:pPr>
            <w:r>
              <w:rPr>
                <w:rFonts w:ascii="Arial" w:cs="Arial" w:eastAsia="Arial" w:hAnsi="Arial"/>
                <w:sz w:val="14"/>
                <w:szCs w:val="14"/>
                <w:b w:val="1"/>
                <w:bCs w:val="1"/>
                <w:color w:val="auto"/>
              </w:rPr>
              <w:t>December 31,</w:t>
            </w:r>
          </w:p>
        </w:tc>
      </w:tr>
      <w:tr>
        <w:trPr>
          <w:trHeight w:val="179"/>
        </w:trPr>
        <w:tc>
          <w:tcPr>
            <w:tcW w:w="8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2023</w:t>
            </w:r>
          </w:p>
        </w:tc>
      </w:tr>
      <w:tr>
        <w:trPr>
          <w:trHeight w:val="182"/>
        </w:trPr>
        <w:tc>
          <w:tcPr>
            <w:tcW w:w="8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gridSpan w:val="4"/>
          </w:tcPr>
          <w:p>
            <w:pPr>
              <w:jc w:val="right"/>
              <w:ind w:right="64"/>
              <w:spacing w:after="0"/>
              <w:rPr>
                <w:sz w:val="20"/>
                <w:szCs w:val="20"/>
                <w:color w:val="auto"/>
              </w:rPr>
            </w:pPr>
            <w:r>
              <w:rPr>
                <w:rFonts w:ascii="Arial" w:cs="Arial" w:eastAsia="Arial" w:hAnsi="Arial"/>
                <w:sz w:val="14"/>
                <w:szCs w:val="14"/>
                <w:i w:val="1"/>
                <w:iCs w:val="1"/>
                <w:color w:val="auto"/>
                <w:w w:val="99"/>
              </w:rPr>
              <w:t>(In thousands except years and percentage</w:t>
            </w:r>
          </w:p>
        </w:tc>
      </w:tr>
      <w:tr>
        <w:trPr>
          <w:trHeight w:val="177"/>
        </w:trPr>
        <w:tc>
          <w:tcPr>
            <w:tcW w:w="8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3"/>
          </w:tcPr>
          <w:p>
            <w:pPr>
              <w:jc w:val="right"/>
              <w:ind w:right="2"/>
              <w:spacing w:after="0"/>
              <w:rPr>
                <w:sz w:val="20"/>
                <w:szCs w:val="20"/>
                <w:color w:val="auto"/>
              </w:rPr>
            </w:pPr>
            <w:r>
              <w:rPr>
                <w:rFonts w:ascii="Arial" w:cs="Arial" w:eastAsia="Arial" w:hAnsi="Arial"/>
                <w:sz w:val="14"/>
                <w:szCs w:val="14"/>
                <w:i w:val="1"/>
                <w:iCs w:val="1"/>
                <w:color w:val="auto"/>
              </w:rPr>
              <w:t>data)</w:t>
            </w:r>
          </w:p>
        </w:tc>
        <w:tc>
          <w:tcPr>
            <w:tcW w:w="1240" w:type="dxa"/>
            <w:vAlign w:val="bottom"/>
          </w:tcPr>
          <w:p>
            <w:pPr>
              <w:spacing w:after="0"/>
              <w:rPr>
                <w:sz w:val="15"/>
                <w:szCs w:val="15"/>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current (Accrued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5,220</w:t>
            </w:r>
          </w:p>
        </w:tc>
      </w:tr>
      <w:tr>
        <w:trPr>
          <w:trHeight w:val="208"/>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lease liabilities, non-current (Other liabilities)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18,200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18,802</w:t>
            </w:r>
          </w:p>
        </w:tc>
      </w:tr>
      <w:tr>
        <w:trPr>
          <w:trHeight w:val="228"/>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operating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23,323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24,022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55"/>
        </w:trPr>
        <w:tc>
          <w:tcPr>
            <w:tcW w:w="8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lease information:</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Weighted average remaining lease term</w:t>
            </w: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color w:val="auto"/>
                <w:w w:val="97"/>
              </w:rPr>
              <w:t>6.0 years</w:t>
            </w:r>
          </w:p>
        </w:tc>
        <w:tc>
          <w:tcPr>
            <w:tcW w:w="200" w:type="dxa"/>
            <w:vAlign w:val="bottom"/>
          </w:tcPr>
          <w:p>
            <w:pPr>
              <w:spacing w:after="0"/>
              <w:rPr>
                <w:sz w:val="18"/>
                <w:szCs w:val="18"/>
                <w:color w:val="auto"/>
              </w:rPr>
            </w:pPr>
          </w:p>
        </w:tc>
        <w:tc>
          <w:tcPr>
            <w:tcW w:w="1240" w:type="dxa"/>
            <w:vAlign w:val="bottom"/>
          </w:tcPr>
          <w:p>
            <w:pPr>
              <w:jc w:val="right"/>
              <w:ind w:right="324"/>
              <w:spacing w:after="0"/>
              <w:rPr>
                <w:sz w:val="20"/>
                <w:szCs w:val="20"/>
                <w:color w:val="auto"/>
              </w:rPr>
            </w:pPr>
            <w:r>
              <w:rPr>
                <w:rFonts w:ascii="Arial" w:cs="Arial" w:eastAsia="Arial" w:hAnsi="Arial"/>
                <w:sz w:val="16"/>
                <w:szCs w:val="16"/>
                <w:color w:val="auto"/>
              </w:rPr>
              <w:t>5.8 years</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discount rate</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65"/>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64"/>
              <w:spacing w:after="0"/>
              <w:rPr>
                <w:sz w:val="20"/>
                <w:szCs w:val="20"/>
                <w:color w:val="auto"/>
              </w:rPr>
            </w:pPr>
            <w:r>
              <w:rPr>
                <w:rFonts w:ascii="Arial" w:cs="Arial" w:eastAsia="Arial" w:hAnsi="Arial"/>
                <w:sz w:val="16"/>
                <w:szCs w:val="16"/>
                <w:color w:val="auto"/>
              </w:rPr>
              <w:t>7.0%</w:t>
            </w:r>
          </w:p>
        </w:tc>
      </w:tr>
    </w:tbl>
    <w:p>
      <w:pPr>
        <w:spacing w:after="0" w:line="17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Supplemental cash flow and other information related to operating leases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r>
      <w:tr>
        <w:trPr>
          <w:trHeight w:val="179"/>
        </w:trPr>
        <w:tc>
          <w:tcPr>
            <w:tcW w:w="5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82"/>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r>
      <w:tr>
        <w:trPr>
          <w:trHeight w:val="189"/>
        </w:trPr>
        <w:tc>
          <w:tcPr>
            <w:tcW w:w="5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7"/>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7"/>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w w:val="96"/>
              </w:rPr>
              <w:t>2023</w:t>
            </w:r>
          </w:p>
        </w:tc>
      </w:tr>
      <w:tr>
        <w:trPr>
          <w:trHeight w:val="220"/>
        </w:trPr>
        <w:tc>
          <w:tcPr>
            <w:tcW w:w="5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gridSpan w:val="3"/>
          </w:tcPr>
          <w:p>
            <w:pPr>
              <w:jc w:val="right"/>
              <w:ind w:right="2"/>
              <w:spacing w:after="0"/>
              <w:rPr>
                <w:sz w:val="20"/>
                <w:szCs w:val="20"/>
                <w:color w:val="auto"/>
              </w:rPr>
            </w:pPr>
            <w:r>
              <w:rPr>
                <w:rFonts w:ascii="Arial" w:cs="Arial" w:eastAsia="Arial" w:hAnsi="Arial"/>
                <w:sz w:val="14"/>
                <w:szCs w:val="14"/>
                <w:i w:val="1"/>
                <w:iCs w:val="1"/>
                <w:color w:val="auto"/>
              </w:rPr>
              <w:t>(In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5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cash flows from operating leases</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1,788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3,490</w:t>
            </w:r>
          </w:p>
        </w:tc>
      </w:tr>
      <w:tr>
        <w:trPr>
          <w:trHeight w:val="209"/>
        </w:trPr>
        <w:tc>
          <w:tcPr>
            <w:tcW w:w="5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07"/>
        </w:trPr>
        <w:tc>
          <w:tcPr>
            <w:tcW w:w="5220" w:type="dxa"/>
            <w:vAlign w:val="bottom"/>
          </w:tcPr>
          <w:p>
            <w:pPr>
              <w:ind w:left="140"/>
              <w:spacing w:after="0"/>
              <w:rPr>
                <w:sz w:val="20"/>
                <w:szCs w:val="20"/>
                <w:color w:val="auto"/>
              </w:rPr>
            </w:pPr>
            <w:r>
              <w:rPr>
                <w:rFonts w:ascii="Arial" w:cs="Arial" w:eastAsia="Arial" w:hAnsi="Arial"/>
                <w:sz w:val="16"/>
                <w:szCs w:val="16"/>
                <w:color w:val="auto"/>
              </w:rPr>
              <w:t>Lease liabilities arising from obtaining right-of-use assets</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655</w:t>
            </w:r>
          </w:p>
        </w:tc>
        <w:tc>
          <w:tcPr>
            <w:tcW w:w="100" w:type="dxa"/>
            <w:vAlign w:val="bottom"/>
          </w:tcPr>
          <w:p>
            <w:pPr>
              <w:spacing w:after="0"/>
              <w:rPr>
                <w:sz w:val="17"/>
                <w:szCs w:val="17"/>
                <w:color w:val="auto"/>
              </w:rPr>
            </w:pPr>
          </w:p>
        </w:tc>
        <w:tc>
          <w:tcPr>
            <w:tcW w:w="4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
              <w:spacing w:after="0"/>
              <w:rPr>
                <w:sz w:val="20"/>
                <w:szCs w:val="20"/>
                <w:color w:val="auto"/>
              </w:rPr>
            </w:pPr>
            <w:r>
              <w:rPr>
                <w:rFonts w:ascii="Arial" w:cs="Arial" w:eastAsia="Arial" w:hAnsi="Arial"/>
                <w:sz w:val="16"/>
                <w:szCs w:val="16"/>
                <w:color w:val="auto"/>
              </w:rPr>
              <w:t>2,852</w:t>
            </w:r>
          </w:p>
        </w:tc>
        <w:tc>
          <w:tcPr>
            <w:tcW w:w="100" w:type="dxa"/>
            <w:vAlign w:val="bottom"/>
          </w:tcPr>
          <w:p>
            <w:pPr>
              <w:spacing w:after="0"/>
              <w:rPr>
                <w:sz w:val="17"/>
                <w:szCs w:val="17"/>
                <w:color w:val="auto"/>
              </w:rPr>
            </w:pPr>
          </w:p>
        </w:tc>
        <w:tc>
          <w:tcPr>
            <w:tcW w:w="480" w:type="dxa"/>
            <w:vAlign w:val="bottom"/>
          </w:tcPr>
          <w:p>
            <w:pPr>
              <w:jc w:val="right"/>
              <w:ind w:right="30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2,350</w:t>
            </w:r>
          </w:p>
        </w:tc>
        <w:tc>
          <w:tcPr>
            <w:tcW w:w="100" w:type="dxa"/>
            <w:vAlign w:val="bottom"/>
          </w:tcPr>
          <w:p>
            <w:pPr>
              <w:spacing w:after="0"/>
              <w:rPr>
                <w:sz w:val="17"/>
                <w:szCs w:val="17"/>
                <w:color w:val="auto"/>
              </w:rPr>
            </w:pPr>
          </w:p>
        </w:tc>
        <w:tc>
          <w:tcPr>
            <w:tcW w:w="560" w:type="dxa"/>
            <w:vAlign w:val="bottom"/>
          </w:tcPr>
          <w:p>
            <w:pPr>
              <w:jc w:val="right"/>
              <w:ind w:right="362"/>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4,368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557530</wp:posOffset>
            </wp:positionV>
            <wp:extent cx="69373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37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800" w:type="dxa"/>
            <w:vAlign w:val="bottom"/>
          </w:tcPr>
          <w:p>
            <w:pPr>
              <w:jc w:val="center"/>
              <w:ind w:left="1379"/>
              <w:spacing w:after="0"/>
              <w:rPr>
                <w:sz w:val="20"/>
                <w:szCs w:val="20"/>
                <w:color w:val="auto"/>
              </w:rPr>
            </w:pPr>
            <w:r>
              <w:rPr>
                <w:rFonts w:ascii="Arial" w:cs="Arial" w:eastAsia="Arial" w:hAnsi="Arial"/>
                <w:sz w:val="17"/>
                <w:szCs w:val="17"/>
                <w:b w:val="1"/>
                <w:bCs w:val="1"/>
                <w:color w:val="auto"/>
              </w:rPr>
              <w:t>ENPHASE ENERGY, INC.</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83"/>
        </w:trPr>
        <w:tc>
          <w:tcPr>
            <w:tcW w:w="9800" w:type="dxa"/>
            <w:vAlign w:val="bottom"/>
          </w:tcPr>
          <w:p>
            <w:pPr>
              <w:jc w:val="center"/>
              <w:ind w:left="1379"/>
              <w:spacing w:after="0"/>
              <w:rPr>
                <w:sz w:val="20"/>
                <w:szCs w:val="20"/>
                <w:color w:val="auto"/>
              </w:rPr>
            </w:pPr>
            <w:r>
              <w:rPr>
                <w:rFonts w:ascii="Arial" w:cs="Arial" w:eastAsia="Arial" w:hAnsi="Arial"/>
                <w:sz w:val="17"/>
                <w:szCs w:val="17"/>
                <w:b w:val="1"/>
                <w:bCs w:val="1"/>
                <w:color w:val="auto"/>
              </w:rPr>
              <w:t>NOTES TO CONDENSED CONSOLIDATED FINANCIAL STATEMENTS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0"/>
        </w:trPr>
        <w:tc>
          <w:tcPr>
            <w:tcW w:w="9800" w:type="dxa"/>
            <w:vAlign w:val="bottom"/>
          </w:tcPr>
          <w:p>
            <w:pPr>
              <w:jc w:val="center"/>
              <w:ind w:left="1359"/>
              <w:spacing w:after="0"/>
              <w:rPr>
                <w:sz w:val="20"/>
                <w:szCs w:val="20"/>
                <w:color w:val="auto"/>
              </w:rPr>
            </w:pPr>
            <w:r>
              <w:rPr>
                <w:rFonts w:ascii="Arial" w:cs="Arial" w:eastAsia="Arial" w:hAnsi="Arial"/>
                <w:sz w:val="17"/>
                <w:szCs w:val="17"/>
                <w:b w:val="1"/>
                <w:bCs w:val="1"/>
                <w:color w:val="auto"/>
              </w:rPr>
              <w:t>(Unaudited)</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619"/>
        </w:trPr>
        <w:tc>
          <w:tcPr>
            <w:tcW w:w="9800" w:type="dxa"/>
            <w:vAlign w:val="bottom"/>
          </w:tcPr>
          <w:p>
            <w:pPr>
              <w:ind w:left="480"/>
              <w:spacing w:after="0"/>
              <w:rPr>
                <w:sz w:val="20"/>
                <w:szCs w:val="20"/>
                <w:color w:val="auto"/>
              </w:rPr>
            </w:pPr>
            <w:r>
              <w:rPr>
                <w:rFonts w:ascii="Arial" w:cs="Arial" w:eastAsia="Arial" w:hAnsi="Arial"/>
                <w:sz w:val="17"/>
                <w:szCs w:val="17"/>
                <w:color w:val="auto"/>
              </w:rPr>
              <w:t>Undiscounted cash flows of operating lease liabilities as of June 30, 2024 were as follows: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0"/>
        </w:trPr>
        <w:tc>
          <w:tcPr>
            <w:tcW w:w="98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Lease Amounts</w:t>
            </w:r>
          </w:p>
        </w:tc>
      </w:tr>
      <w:tr>
        <w:trPr>
          <w:trHeight w:val="185"/>
        </w:trPr>
        <w:tc>
          <w:tcPr>
            <w:tcW w:w="9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203"/>
              <w:spacing w:after="0"/>
              <w:rPr>
                <w:sz w:val="20"/>
                <w:szCs w:val="20"/>
                <w:color w:val="auto"/>
              </w:rPr>
            </w:pPr>
            <w:r>
              <w:rPr>
                <w:rFonts w:ascii="Arial" w:cs="Arial" w:eastAsia="Arial" w:hAnsi="Arial"/>
                <w:sz w:val="14"/>
                <w:szCs w:val="14"/>
                <w:i w:val="1"/>
                <w:iCs w:val="1"/>
                <w:color w:val="auto"/>
              </w:rPr>
              <w:t>(In thousands)</w:t>
            </w:r>
          </w:p>
        </w:tc>
      </w:tr>
      <w:tr>
        <w:trPr>
          <w:trHeight w:val="213"/>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8"/>
        </w:trPr>
        <w:tc>
          <w:tcPr>
            <w:tcW w:w="9800" w:type="dxa"/>
            <w:vAlign w:val="bottom"/>
          </w:tcPr>
          <w:p>
            <w:pPr>
              <w:ind w:left="200"/>
              <w:spacing w:after="0"/>
              <w:rPr>
                <w:sz w:val="20"/>
                <w:szCs w:val="20"/>
                <w:color w:val="auto"/>
              </w:rPr>
            </w:pPr>
            <w:r>
              <w:rPr>
                <w:rFonts w:ascii="Arial" w:cs="Arial" w:eastAsia="Arial" w:hAnsi="Arial"/>
                <w:sz w:val="16"/>
                <w:szCs w:val="16"/>
                <w:color w:val="auto"/>
              </w:rPr>
              <w:t>2024 (remaining six months)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3,260</w:t>
            </w:r>
          </w:p>
        </w:tc>
      </w:tr>
      <w:tr>
        <w:trPr>
          <w:trHeight w:val="210"/>
        </w:trPr>
        <w:tc>
          <w:tcPr>
            <w:tcW w:w="9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2025</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6,219</w:t>
            </w:r>
          </w:p>
        </w:tc>
      </w:tr>
      <w:tr>
        <w:trPr>
          <w:trHeight w:val="208"/>
        </w:trPr>
        <w:tc>
          <w:tcPr>
            <w:tcW w:w="9800" w:type="dxa"/>
            <w:vAlign w:val="bottom"/>
          </w:tcPr>
          <w:p>
            <w:pPr>
              <w:ind w:left="200"/>
              <w:spacing w:after="0"/>
              <w:rPr>
                <w:sz w:val="20"/>
                <w:szCs w:val="20"/>
                <w:color w:val="auto"/>
              </w:rPr>
            </w:pPr>
            <w:r>
              <w:rPr>
                <w:rFonts w:ascii="Arial" w:cs="Arial" w:eastAsia="Arial" w:hAnsi="Arial"/>
                <w:sz w:val="16"/>
                <w:szCs w:val="16"/>
                <w:color w:val="auto"/>
              </w:rPr>
              <w:t>2026</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4,557</w:t>
            </w:r>
          </w:p>
        </w:tc>
      </w:tr>
      <w:tr>
        <w:trPr>
          <w:trHeight w:val="210"/>
        </w:trPr>
        <w:tc>
          <w:tcPr>
            <w:tcW w:w="9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2027</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3,211</w:t>
            </w:r>
          </w:p>
        </w:tc>
      </w:tr>
      <w:tr>
        <w:trPr>
          <w:trHeight w:val="208"/>
        </w:trPr>
        <w:tc>
          <w:tcPr>
            <w:tcW w:w="9800" w:type="dxa"/>
            <w:vAlign w:val="bottom"/>
          </w:tcPr>
          <w:p>
            <w:pPr>
              <w:ind w:left="200"/>
              <w:spacing w:after="0"/>
              <w:rPr>
                <w:sz w:val="20"/>
                <w:szCs w:val="20"/>
                <w:color w:val="auto"/>
              </w:rPr>
            </w:pPr>
            <w:r>
              <w:rPr>
                <w:rFonts w:ascii="Arial" w:cs="Arial" w:eastAsia="Arial" w:hAnsi="Arial"/>
                <w:sz w:val="16"/>
                <w:szCs w:val="16"/>
                <w:color w:val="auto"/>
              </w:rPr>
              <w:t>2028</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2,801</w:t>
            </w:r>
          </w:p>
        </w:tc>
      </w:tr>
      <w:tr>
        <w:trPr>
          <w:trHeight w:val="210"/>
        </w:trPr>
        <w:tc>
          <w:tcPr>
            <w:tcW w:w="9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Thereafter</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8,995</w:t>
            </w:r>
          </w:p>
        </w:tc>
      </w:tr>
      <w:tr>
        <w:trPr>
          <w:trHeight w:val="201"/>
        </w:trPr>
        <w:tc>
          <w:tcPr>
            <w:tcW w:w="9800" w:type="dxa"/>
            <w:vAlign w:val="bottom"/>
          </w:tcPr>
          <w:p>
            <w:pPr>
              <w:ind w:left="220"/>
              <w:spacing w:after="0"/>
              <w:rPr>
                <w:sz w:val="20"/>
                <w:szCs w:val="20"/>
                <w:color w:val="auto"/>
              </w:rPr>
            </w:pPr>
            <w:r>
              <w:rPr>
                <w:rFonts w:ascii="Arial" w:cs="Arial" w:eastAsia="Arial" w:hAnsi="Arial"/>
                <w:sz w:val="16"/>
                <w:szCs w:val="16"/>
                <w:color w:val="auto"/>
              </w:rPr>
              <w:t>Total lease payments</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29,043</w:t>
            </w:r>
          </w:p>
        </w:tc>
      </w:tr>
      <w:tr>
        <w:trPr>
          <w:trHeight w:val="209"/>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imputed lease interest</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(5,720)</w:t>
            </w:r>
          </w:p>
        </w:tc>
      </w:tr>
      <w:tr>
        <w:trPr>
          <w:trHeight w:val="203"/>
        </w:trPr>
        <w:tc>
          <w:tcPr>
            <w:tcW w:w="9800" w:type="dxa"/>
            <w:vAlign w:val="bottom"/>
          </w:tcPr>
          <w:p>
            <w:pPr>
              <w:ind w:left="220"/>
              <w:spacing w:after="0"/>
              <w:rPr>
                <w:sz w:val="20"/>
                <w:szCs w:val="20"/>
                <w:color w:val="auto"/>
              </w:rPr>
            </w:pPr>
            <w:r>
              <w:rPr>
                <w:rFonts w:ascii="Arial" w:cs="Arial" w:eastAsia="Arial" w:hAnsi="Arial"/>
                <w:sz w:val="16"/>
                <w:szCs w:val="16"/>
                <w:color w:val="auto"/>
              </w:rPr>
              <w:t>Total lease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23,323</w:t>
            </w:r>
          </w:p>
        </w:tc>
      </w:tr>
      <w:tr>
        <w:trPr>
          <w:trHeight w:val="20"/>
        </w:trPr>
        <w:tc>
          <w:tcPr>
            <w:tcW w:w="9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 Obligations</w:t>
      </w:r>
    </w:p>
    <w:p>
      <w:pPr>
        <w:spacing w:after="0" w:line="120"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The Company has contractual obligations related to component inventory that its contract manufacturers procure on its behalf in accordance with its production forecast as well as other inventory related purchase commitments. As of June 30, 2024, these purchase obligations totaled approximately $159.3 million.</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w:t>
      </w:r>
    </w:p>
    <w:p>
      <w:pPr>
        <w:spacing w:after="0" w:line="120"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The Company is subject to various legal proceedings and claims that have arisen in the ordinary course of business and that have not been fully resolved. An accrual for a loss contingency or loss recovery is recognized when it is probable and the amount of loss or recovery can be reasonably estimated. The outcome of litigation is inherently uncertain. If one or more legal matters were resolved against the Company in a reporting period for amounts above management’s expectations, the Company’s business, results of operations, financial position and cash flows for that reporting period could be materially adversely affected. As of June 30, 2024 and December 31, 2023, in the opinion of management, there was not at least a reasonable possibility the Company may have incurred a material loss, or a material loss greater than a recorded accrual, concerning loss contingencies for asserted legal and other claims, except for the complaint described below.</w:t>
      </w:r>
    </w:p>
    <w:p>
      <w:pPr>
        <w:spacing w:after="0" w:line="69" w:lineRule="exact"/>
        <w:rPr>
          <w:sz w:val="20"/>
          <w:szCs w:val="20"/>
          <w:color w:val="auto"/>
        </w:rPr>
      </w:pPr>
    </w:p>
    <w:p>
      <w:pPr>
        <w:jc w:val="both"/>
        <w:ind w:firstLine="470"/>
        <w:spacing w:after="0" w:line="265" w:lineRule="auto"/>
        <w:rPr>
          <w:sz w:val="20"/>
          <w:szCs w:val="20"/>
          <w:color w:val="auto"/>
        </w:rPr>
      </w:pPr>
      <w:r>
        <w:rPr>
          <w:rFonts w:ascii="Arial" w:cs="Arial" w:eastAsia="Arial" w:hAnsi="Arial"/>
          <w:sz w:val="17"/>
          <w:szCs w:val="17"/>
          <w:color w:val="auto"/>
        </w:rPr>
        <w:t>On July 17, 2024, Zola Electric International, Ltd. (“Zola”) filed a complaint with the United States District Court for the Northern District of California against the Company, alleging breach of contract and breach of the covenant of good faith and fair dealing related to a joint development agreement and master supply agreement between Zola and the Company. Zola does not quantify any alleged damages in the complaint, but in addition to attorneys' fees and costs, seeks an order compelling specific performance of the Company's contractual obligations, as well as damages in an amount to be proven at trial. Due to the early stage of this proceeding, the Company cannot reasonably estimate the potential range of loss, if any, or the likelihood of a potential adverse outcome. The Company intends to defend this case vigorously.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483235</wp:posOffset>
            </wp:positionV>
            <wp:extent cx="69373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37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66" w:lineRule="exact"/>
        <w:rPr>
          <w:sz w:val="20"/>
          <w:szCs w:val="20"/>
          <w:color w:val="auto"/>
        </w:rPr>
      </w:pPr>
    </w:p>
    <w:p>
      <w:pPr>
        <w:ind w:left="440" w:hanging="435"/>
        <w:spacing w:after="0"/>
        <w:tabs>
          <w:tab w:leader="none" w:pos="44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w:t>
      </w:r>
    </w:p>
    <w:p>
      <w:pPr>
        <w:spacing w:after="0" w:line="120" w:lineRule="exact"/>
        <w:rPr>
          <w:sz w:val="20"/>
          <w:szCs w:val="20"/>
          <w:color w:val="auto"/>
        </w:rPr>
      </w:pPr>
    </w:p>
    <w:p>
      <w:pPr>
        <w:jc w:val="both"/>
        <w:ind w:firstLine="470"/>
        <w:spacing w:after="0" w:line="274" w:lineRule="auto"/>
        <w:rPr>
          <w:sz w:val="20"/>
          <w:szCs w:val="20"/>
          <w:color w:val="auto"/>
        </w:rPr>
      </w:pPr>
      <w:r>
        <w:rPr>
          <w:rFonts w:ascii="Arial" w:cs="Arial" w:eastAsia="Arial" w:hAnsi="Arial"/>
          <w:sz w:val="17"/>
          <w:szCs w:val="17"/>
          <w:color w:val="auto"/>
        </w:rPr>
        <w:t>In July 2023, the board of directors authorized a share repurchase program (the “2023 Repurchase Program”) pursuant to which the Company was authorized to repurchase up to $1.0 billion of the Company’s common stock. The Company may repurchase shares of common stock from time to time through solicited or unsolicited transactions in the open market, in privately negotiated transactions or pursuant to a Rule 10b5-1 plan.</w:t>
      </w:r>
    </w:p>
    <w:p>
      <w:pPr>
        <w:spacing w:after="0" w:line="271"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During the three months ended June 30, 2024, the Company repurchased and subsequently retired 891,896 shares of common stock from the open market at an average cost of $112.02 per share for a total of $99.9 million. During the six months ended June 30, 2024, the Company repurchased and subsequently retired 1,224,631 shares of common stock from the open market at an average cost of $115.87 per share for a total of $141.9 million. As of June 30, 2024, $648.1 million remains available for repurchase of shares under the 2023 Repurchase Program.</w:t>
      </w:r>
    </w:p>
    <w:p>
      <w:pPr>
        <w:spacing w:after="0" w:line="61"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During the three months ended June 30, 2023, the Company repurchased and subsequently retired 1,254,474 shares of common stock from the open market at an average cost of $159.43 per share for a total of $200.0 million. Of the 1,254,474 shares repurchased, 833,517 shares were retired as of June 30, 2023 and recorded as “Repurchase of common stock” in the condensed consolidated statements of changes in stockholders’ equity. The remaining 420,957 shares repurchased were retired in July 2023 and recorded as “Treasury stock, at cost” in the consolidated statements of changes in stockholders’ equity.</w:t>
      </w:r>
    </w:p>
    <w:p>
      <w:pPr>
        <w:spacing w:after="0" w:line="113" w:lineRule="exact"/>
        <w:rPr>
          <w:sz w:val="20"/>
          <w:szCs w:val="20"/>
          <w:color w:val="auto"/>
        </w:rPr>
      </w:pPr>
    </w:p>
    <w:p>
      <w:pPr>
        <w:ind w:left="440" w:hanging="435"/>
        <w:spacing w:after="0"/>
        <w:tabs>
          <w:tab w:leader="none" w:pos="44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STOCK-BASED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 Expense</w:t>
      </w:r>
    </w:p>
    <w:p>
      <w:pPr>
        <w:spacing w:after="0" w:line="120"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Stock-based compensation expense for all stock-based awards, which includes shares purchased under the Company’s employee stock purchase plan (“ESPP”), restricted stock units (“RSUs”) and performance stock units (“PSUs”), expected to vest is measured at fair value on the date of grant and recognized ratably over the requisite service period.</w:t>
      </w:r>
    </w:p>
    <w:p>
      <w:pPr>
        <w:spacing w:after="0" w:line="55"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In addition, as part of certain business acquisitions, the Company was obligated to issue shares of common stock of the Company as payment subject to achievement of certain targets. For such payments, the Company recorded stock-based compensation classified as post-combination expense recognized ratably over the measurement period presuming the targets will be met.</w:t>
      </w:r>
    </w:p>
    <w:p>
      <w:pPr>
        <w:spacing w:after="0" w:line="55"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The following table summarizes the components of total stock-based compensation expense included in the condensed consolidated statements of operations for the periods presented:</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400" w:type="dxa"/>
            <w:vAlign w:val="bottom"/>
            <w:gridSpan w:val="4"/>
          </w:tcPr>
          <w:p>
            <w:pPr>
              <w:jc w:val="right"/>
              <w:ind w:right="185"/>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179"/>
        </w:trPr>
        <w:tc>
          <w:tcPr>
            <w:tcW w:w="51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585"/>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r>
      <w:tr>
        <w:trPr>
          <w:trHeight w:val="189"/>
        </w:trPr>
        <w:tc>
          <w:tcPr>
            <w:tcW w:w="51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w w:val="96"/>
              </w:rPr>
              <w:t>2023</w:t>
            </w:r>
          </w:p>
        </w:tc>
      </w:tr>
      <w:tr>
        <w:trPr>
          <w:trHeight w:val="224"/>
        </w:trPr>
        <w:tc>
          <w:tcPr>
            <w:tcW w:w="5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40" w:type="dxa"/>
            <w:vAlign w:val="bottom"/>
            <w:gridSpan w:val="3"/>
          </w:tcPr>
          <w:p>
            <w:pPr>
              <w:jc w:val="right"/>
              <w:ind w:right="2"/>
              <w:spacing w:after="0"/>
              <w:rPr>
                <w:sz w:val="20"/>
                <w:szCs w:val="20"/>
                <w:color w:val="auto"/>
              </w:rPr>
            </w:pPr>
            <w:r>
              <w:rPr>
                <w:rFonts w:ascii="Arial" w:cs="Arial" w:eastAsia="Arial" w:hAnsi="Arial"/>
                <w:sz w:val="14"/>
                <w:szCs w:val="14"/>
                <w:i w:val="1"/>
                <w:iCs w:val="1"/>
                <w:color w:val="auto"/>
              </w:rPr>
              <w:t>(In thousands)</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3"/>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860" w:type="dxa"/>
            <w:vAlign w:val="bottom"/>
            <w:shd w:val="clear" w:color="auto" w:fill="CCEEFF"/>
          </w:tcPr>
          <w:p>
            <w:pPr>
              <w:jc w:val="right"/>
              <w:ind w:right="686"/>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3,730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5"/>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7,067</w:t>
            </w:r>
          </w:p>
        </w:tc>
      </w:tr>
      <w:tr>
        <w:trPr>
          <w:trHeight w:val="208"/>
        </w:trPr>
        <w:tc>
          <w:tcPr>
            <w:tcW w:w="518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860" w:type="dxa"/>
            <w:vAlign w:val="bottom"/>
          </w:tcPr>
          <w:p>
            <w:pPr>
              <w:spacing w:after="0"/>
              <w:rPr>
                <w:sz w:val="18"/>
                <w:szCs w:val="18"/>
                <w:color w:val="auto"/>
              </w:rPr>
            </w:pPr>
          </w:p>
        </w:tc>
        <w:tc>
          <w:tcPr>
            <w:tcW w:w="560" w:type="dxa"/>
            <w:vAlign w:val="bottom"/>
          </w:tcPr>
          <w:p>
            <w:pPr>
              <w:jc w:val="right"/>
              <w:ind w:right="3"/>
              <w:spacing w:after="0"/>
              <w:rPr>
                <w:sz w:val="20"/>
                <w:szCs w:val="20"/>
                <w:color w:val="auto"/>
              </w:rPr>
            </w:pPr>
            <w:r>
              <w:rPr>
                <w:rFonts w:ascii="Arial" w:cs="Arial" w:eastAsia="Arial" w:hAnsi="Arial"/>
                <w:sz w:val="16"/>
                <w:szCs w:val="16"/>
                <w:color w:val="auto"/>
                <w:w w:val="93"/>
              </w:rPr>
              <w:t>20,210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23,765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44,760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45,243</w:t>
            </w:r>
          </w:p>
        </w:tc>
      </w:tr>
      <w:tr>
        <w:trPr>
          <w:trHeight w:val="210"/>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93"/>
              </w:rPr>
              <w:t>16,784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14,515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34,962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35,934</w:t>
            </w:r>
          </w:p>
        </w:tc>
      </w:tr>
      <w:tr>
        <w:trPr>
          <w:trHeight w:val="208"/>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w w:val="93"/>
              </w:rPr>
              <w:t>12,033</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12,488</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25,956</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25,577</w:t>
            </w:r>
          </w:p>
        </w:tc>
      </w:tr>
      <w:tr>
        <w:trPr>
          <w:trHeight w:val="227"/>
        </w:trPr>
        <w:tc>
          <w:tcPr>
            <w:tcW w:w="5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860" w:type="dxa"/>
            <w:vAlign w:val="bottom"/>
            <w:tcBorders>
              <w:bottom w:val="single" w:sz="8" w:color="auto"/>
            </w:tcBorders>
            <w:shd w:val="clear" w:color="auto" w:fill="CCEEFF"/>
          </w:tcPr>
          <w:p>
            <w:pPr>
              <w:jc w:val="right"/>
              <w:ind w:right="686"/>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w w:val="93"/>
              </w:rPr>
              <w:t>52,757</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54,166</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113,590</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113,821</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the various types of stock-based compensation expense for the periods presented:</w:t>
      </w:r>
    </w:p>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400" w:type="dxa"/>
            <w:vAlign w:val="bottom"/>
            <w:gridSpan w:val="4"/>
          </w:tcPr>
          <w:p>
            <w:pPr>
              <w:jc w:val="right"/>
              <w:ind w:right="185"/>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183"/>
        </w:trPr>
        <w:tc>
          <w:tcPr>
            <w:tcW w:w="51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565"/>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r>
      <w:tr>
        <w:trPr>
          <w:trHeight w:val="189"/>
        </w:trPr>
        <w:tc>
          <w:tcPr>
            <w:tcW w:w="514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2023</w:t>
            </w:r>
          </w:p>
        </w:tc>
      </w:tr>
      <w:tr>
        <w:trPr>
          <w:trHeight w:val="224"/>
        </w:trPr>
        <w:tc>
          <w:tcPr>
            <w:tcW w:w="5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40" w:type="dxa"/>
            <w:vAlign w:val="bottom"/>
            <w:gridSpan w:val="3"/>
          </w:tcPr>
          <w:p>
            <w:pPr>
              <w:jc w:val="right"/>
              <w:ind w:right="2"/>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3"/>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RSUs and PSUs</w:t>
            </w:r>
          </w:p>
        </w:tc>
        <w:tc>
          <w:tcPr>
            <w:tcW w:w="880" w:type="dxa"/>
            <w:vAlign w:val="bottom"/>
            <w:shd w:val="clear" w:color="auto" w:fill="CCEEFF"/>
          </w:tcPr>
          <w:p>
            <w:pPr>
              <w:jc w:val="right"/>
              <w:ind w:right="706"/>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51,320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5"/>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93"/>
              </w:rPr>
              <w:t>51,852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110,107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108,809</w:t>
            </w:r>
          </w:p>
        </w:tc>
      </w:tr>
      <w:tr>
        <w:trPr>
          <w:trHeight w:val="208"/>
        </w:trPr>
        <w:tc>
          <w:tcPr>
            <w:tcW w:w="5140" w:type="dxa"/>
            <w:vAlign w:val="bottom"/>
          </w:tcPr>
          <w:p>
            <w:pPr>
              <w:spacing w:after="0"/>
              <w:rPr>
                <w:sz w:val="20"/>
                <w:szCs w:val="20"/>
                <w:color w:val="auto"/>
              </w:rPr>
            </w:pPr>
            <w:r>
              <w:rPr>
                <w:rFonts w:ascii="Arial" w:cs="Arial" w:eastAsia="Arial" w:hAnsi="Arial"/>
                <w:sz w:val="16"/>
                <w:szCs w:val="16"/>
                <w:color w:val="auto"/>
              </w:rPr>
              <w:t>Employee stock purchase plan</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1,437</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ind w:right="3"/>
              <w:spacing w:after="0"/>
              <w:rPr>
                <w:sz w:val="20"/>
                <w:szCs w:val="20"/>
                <w:color w:val="auto"/>
              </w:rPr>
            </w:pPr>
            <w:r>
              <w:rPr>
                <w:rFonts w:ascii="Arial" w:cs="Arial" w:eastAsia="Arial" w:hAnsi="Arial"/>
                <w:sz w:val="16"/>
                <w:szCs w:val="16"/>
                <w:color w:val="auto"/>
              </w:rPr>
              <w:t>1,803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5"/>
              <w:spacing w:after="0"/>
              <w:rPr>
                <w:sz w:val="20"/>
                <w:szCs w:val="20"/>
                <w:color w:val="auto"/>
              </w:rPr>
            </w:pPr>
            <w:r>
              <w:rPr>
                <w:rFonts w:ascii="Arial" w:cs="Arial" w:eastAsia="Arial" w:hAnsi="Arial"/>
                <w:sz w:val="16"/>
                <w:szCs w:val="16"/>
                <w:color w:val="auto"/>
              </w:rPr>
              <w:t>3,483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3,843</w:t>
            </w: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Post combination expense</w:t>
            </w: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1,169</w:t>
            </w:r>
          </w:p>
        </w:tc>
      </w:tr>
      <w:tr>
        <w:trPr>
          <w:trHeight w:val="201"/>
        </w:trPr>
        <w:tc>
          <w:tcPr>
            <w:tcW w:w="5140" w:type="dxa"/>
            <w:vAlign w:val="bottom"/>
          </w:tcPr>
          <w:p>
            <w:pPr>
              <w:ind w:left="380"/>
              <w:spacing w:after="0"/>
              <w:rPr>
                <w:sz w:val="20"/>
                <w:szCs w:val="20"/>
                <w:color w:val="auto"/>
              </w:rPr>
            </w:pPr>
            <w:r>
              <w:rPr>
                <w:rFonts w:ascii="Arial" w:cs="Arial" w:eastAsia="Arial" w:hAnsi="Arial"/>
                <w:sz w:val="16"/>
                <w:szCs w:val="16"/>
                <w:color w:val="auto"/>
              </w:rPr>
              <w:t>Total</w:t>
            </w:r>
          </w:p>
        </w:tc>
        <w:tc>
          <w:tcPr>
            <w:tcW w:w="880" w:type="dxa"/>
            <w:vAlign w:val="bottom"/>
            <w:tcBorders>
              <w:top w:val="single" w:sz="8" w:color="auto"/>
              <w:bottom w:val="single" w:sz="8" w:color="auto"/>
            </w:tcBorders>
          </w:tcPr>
          <w:p>
            <w:pPr>
              <w:jc w:val="right"/>
              <w:ind w:right="706"/>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52,757</w:t>
            </w:r>
          </w:p>
        </w:tc>
        <w:tc>
          <w:tcPr>
            <w:tcW w:w="10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685"/>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w w:val="93"/>
              </w:rPr>
              <w:t>54,166</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6"/>
                <w:szCs w:val="16"/>
                <w:color w:val="auto"/>
              </w:rPr>
              <w:t>113,590</w:t>
            </w:r>
          </w:p>
        </w:tc>
        <w:tc>
          <w:tcPr>
            <w:tcW w:w="10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113,821</w:t>
            </w:r>
          </w:p>
        </w:tc>
      </w:tr>
      <w:tr>
        <w:trPr>
          <w:trHeight w:val="20"/>
        </w:trPr>
        <w:tc>
          <w:tcPr>
            <w:tcW w:w="5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548005</wp:posOffset>
            </wp:positionV>
            <wp:extent cx="69373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37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ind w:firstLine="470"/>
        <w:spacing w:after="0" w:line="298" w:lineRule="auto"/>
        <w:rPr>
          <w:sz w:val="20"/>
          <w:szCs w:val="20"/>
          <w:color w:val="auto"/>
        </w:rPr>
      </w:pPr>
      <w:r>
        <w:rPr>
          <w:rFonts w:ascii="Arial" w:cs="Arial" w:eastAsia="Arial" w:hAnsi="Arial"/>
          <w:sz w:val="17"/>
          <w:szCs w:val="17"/>
          <w:color w:val="auto"/>
        </w:rPr>
        <w:t>As of June 30, 2024, there was approximately $383.4 million of total unrecognized stock-based compensation expense related to unvested equity awards, which are expected to be recognized over a weighted-average period of 2.5 years.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Awards Activity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Options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stock option activity:</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540" w:type="dxa"/>
            <w:vAlign w:val="bottom"/>
            <w:gridSpan w:val="2"/>
          </w:tcPr>
          <w:p>
            <w:pPr>
              <w:jc w:val="center"/>
              <w:ind w:right="120"/>
              <w:spacing w:after="0" w:line="140" w:lineRule="exact"/>
              <w:rPr>
                <w:sz w:val="20"/>
                <w:szCs w:val="20"/>
                <w:color w:val="auto"/>
              </w:rPr>
            </w:pPr>
            <w:r>
              <w:rPr>
                <w:rFonts w:ascii="Arial" w:cs="Arial" w:eastAsia="Arial" w:hAnsi="Arial"/>
                <w:sz w:val="14"/>
                <w:szCs w:val="14"/>
                <w:b w:val="1"/>
                <w:bCs w:val="1"/>
                <w:color w:val="auto"/>
                <w:w w:val="97"/>
              </w:rPr>
              <w:t>Average</w:t>
            </w:r>
          </w:p>
        </w:tc>
        <w:tc>
          <w:tcPr>
            <w:tcW w:w="180" w:type="dxa"/>
            <w:vAlign w:val="bottom"/>
          </w:tcPr>
          <w:p>
            <w:pPr>
              <w:spacing w:after="0"/>
              <w:rPr>
                <w:sz w:val="12"/>
                <w:szCs w:val="12"/>
                <w:color w:val="auto"/>
              </w:rPr>
            </w:pPr>
          </w:p>
        </w:tc>
        <w:tc>
          <w:tcPr>
            <w:tcW w:w="1260" w:type="dxa"/>
            <w:vAlign w:val="bottom"/>
            <w:vMerge w:val="restart"/>
          </w:tcPr>
          <w:p>
            <w:pPr>
              <w:jc w:val="center"/>
              <w:ind w:right="126"/>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rPr>
              <w:t>Average</w:t>
            </w:r>
          </w:p>
        </w:tc>
        <w:tc>
          <w:tcPr>
            <w:tcW w:w="154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rPr>
              <w:t>Remaining</w:t>
            </w:r>
          </w:p>
        </w:tc>
        <w:tc>
          <w:tcPr>
            <w:tcW w:w="1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4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44" w:lineRule="exact"/>
              <w:rPr>
                <w:sz w:val="20"/>
                <w:szCs w:val="20"/>
                <w:color w:val="auto"/>
              </w:rPr>
            </w:pPr>
            <w:r>
              <w:rPr>
                <w:rFonts w:ascii="Arial" w:cs="Arial" w:eastAsia="Arial" w:hAnsi="Arial"/>
                <w:sz w:val="14"/>
                <w:szCs w:val="14"/>
                <w:b w:val="1"/>
                <w:bCs w:val="1"/>
                <w:color w:val="auto"/>
              </w:rPr>
              <w:t>Exercise Price</w:t>
            </w:r>
          </w:p>
        </w:tc>
        <w:tc>
          <w:tcPr>
            <w:tcW w:w="1540" w:type="dxa"/>
            <w:vAlign w:val="bottom"/>
            <w:gridSpan w:val="2"/>
          </w:tcPr>
          <w:p>
            <w:pPr>
              <w:jc w:val="center"/>
              <w:ind w:right="120"/>
              <w:spacing w:after="0" w:line="144" w:lineRule="exact"/>
              <w:rPr>
                <w:sz w:val="20"/>
                <w:szCs w:val="20"/>
                <w:color w:val="auto"/>
              </w:rPr>
            </w:pPr>
            <w:r>
              <w:rPr>
                <w:rFonts w:ascii="Arial" w:cs="Arial" w:eastAsia="Arial" w:hAnsi="Arial"/>
                <w:sz w:val="14"/>
                <w:szCs w:val="14"/>
                <w:b w:val="1"/>
                <w:bCs w:val="1"/>
                <w:color w:val="auto"/>
              </w:rPr>
              <w:t>Contractual</w:t>
            </w:r>
          </w:p>
        </w:tc>
        <w:tc>
          <w:tcPr>
            <w:tcW w:w="180" w:type="dxa"/>
            <w:vAlign w:val="bottom"/>
          </w:tcPr>
          <w:p>
            <w:pPr>
              <w:spacing w:after="0"/>
              <w:rPr>
                <w:sz w:val="12"/>
                <w:szCs w:val="12"/>
                <w:color w:val="auto"/>
              </w:rPr>
            </w:pPr>
          </w:p>
        </w:tc>
        <w:tc>
          <w:tcPr>
            <w:tcW w:w="1260" w:type="dxa"/>
            <w:vAlign w:val="bottom"/>
          </w:tcPr>
          <w:p>
            <w:pPr>
              <w:jc w:val="center"/>
              <w:ind w:right="126"/>
              <w:spacing w:after="0" w:line="144"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Outstanding</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99"/>
              </w:rPr>
              <w:t>per Share</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9"/>
                <w:szCs w:val="9"/>
                <w:b w:val="1"/>
                <w:bCs w:val="1"/>
                <w:color w:val="auto"/>
                <w:w w:val="95"/>
              </w:rPr>
              <w:t>(1)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w w:val="95"/>
              </w:rPr>
              <w:t>(Years)</w:t>
            </w:r>
          </w:p>
        </w:tc>
        <w:tc>
          <w:tcPr>
            <w:tcW w:w="180" w:type="dxa"/>
            <w:vAlign w:val="bottom"/>
          </w:tcPr>
          <w:p>
            <w:pPr>
              <w:spacing w:after="0"/>
              <w:rPr>
                <w:sz w:val="16"/>
                <w:szCs w:val="16"/>
                <w:color w:val="auto"/>
              </w:rPr>
            </w:pPr>
          </w:p>
        </w:tc>
        <w:tc>
          <w:tcPr>
            <w:tcW w:w="1260" w:type="dxa"/>
            <w:vAlign w:val="bottom"/>
          </w:tcPr>
          <w:p>
            <w:pPr>
              <w:jc w:val="center"/>
              <w:ind w:right="126"/>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Outstanding at December 31, 2023</w:t>
            </w:r>
          </w:p>
        </w:tc>
        <w:tc>
          <w:tcPr>
            <w:tcW w:w="14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692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gridSpan w:val="2"/>
          </w:tcPr>
          <w:p>
            <w:pPr>
              <w:ind w:left="200"/>
              <w:spacing w:after="0"/>
              <w:rPr>
                <w:sz w:val="20"/>
                <w:szCs w:val="20"/>
                <w:color w:val="auto"/>
              </w:rPr>
            </w:pPr>
            <w:r>
              <w:rPr>
                <w:rFonts w:ascii="Arial" w:cs="Arial" w:eastAsia="Arial" w:hAnsi="Arial"/>
                <w:sz w:val="16"/>
                <w:szCs w:val="16"/>
                <w:color w:val="auto"/>
              </w:rPr>
              <w:t>Exercised</w:t>
            </w:r>
          </w:p>
        </w:tc>
        <w:tc>
          <w:tcPr>
            <w:tcW w:w="1420" w:type="dxa"/>
            <w:vAlign w:val="bottom"/>
          </w:tcPr>
          <w:p>
            <w:pPr>
              <w:jc w:val="right"/>
              <w:spacing w:after="0"/>
              <w:rPr>
                <w:sz w:val="20"/>
                <w:szCs w:val="20"/>
                <w:color w:val="auto"/>
              </w:rPr>
            </w:pPr>
            <w:r>
              <w:rPr>
                <w:rFonts w:ascii="Arial" w:cs="Arial" w:eastAsia="Arial" w:hAnsi="Arial"/>
                <w:sz w:val="16"/>
                <w:szCs w:val="16"/>
                <w:color w:val="auto"/>
              </w:rPr>
              <w:t>(672)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5"/>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6"/>
              <w:spacing w:after="0"/>
              <w:rPr>
                <w:sz w:val="20"/>
                <w:szCs w:val="20"/>
                <w:color w:val="auto"/>
              </w:rPr>
            </w:pPr>
            <w:r>
              <w:rPr>
                <w:rFonts w:ascii="Arial" w:cs="Arial" w:eastAsia="Arial" w:hAnsi="Arial"/>
                <w:sz w:val="16"/>
                <w:szCs w:val="16"/>
                <w:color w:val="auto"/>
              </w:rPr>
              <w:t>81,367</w:t>
            </w: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51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Canceled</w:t>
            </w:r>
          </w:p>
        </w:tc>
        <w:tc>
          <w:tcPr>
            <w:tcW w:w="14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gridSpan w:val="2"/>
          </w:tcPr>
          <w:p>
            <w:pPr>
              <w:spacing w:after="0"/>
              <w:rPr>
                <w:sz w:val="20"/>
                <w:szCs w:val="20"/>
                <w:color w:val="auto"/>
              </w:rPr>
            </w:pPr>
            <w:r>
              <w:rPr>
                <w:rFonts w:ascii="Arial" w:cs="Arial" w:eastAsia="Arial" w:hAnsi="Arial"/>
                <w:sz w:val="16"/>
                <w:szCs w:val="16"/>
                <w:color w:val="auto"/>
              </w:rPr>
              <w:t>Outstanding at June 30, 2024</w:t>
            </w:r>
          </w:p>
        </w:tc>
        <w:tc>
          <w:tcPr>
            <w:tcW w:w="14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20</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
              <w:spacing w:after="0"/>
              <w:rPr>
                <w:sz w:val="20"/>
                <w:szCs w:val="20"/>
                <w:color w:val="auto"/>
              </w:rPr>
            </w:pPr>
            <w:r>
              <w:rPr>
                <w:rFonts w:ascii="Arial" w:cs="Arial" w:eastAsia="Arial" w:hAnsi="Arial"/>
                <w:sz w:val="16"/>
                <w:szCs w:val="16"/>
                <w:color w:val="auto"/>
              </w:rPr>
              <w:t>10.44</w:t>
            </w: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8"/>
              </w:rPr>
              <w:t>0.8</w:t>
            </w:r>
          </w:p>
        </w:tc>
        <w:tc>
          <w:tcPr>
            <w:tcW w:w="12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6"/>
              <w:spacing w:after="0"/>
              <w:rPr>
                <w:sz w:val="20"/>
                <w:szCs w:val="20"/>
                <w:color w:val="auto"/>
              </w:rPr>
            </w:pPr>
            <w:r>
              <w:rPr>
                <w:rFonts w:ascii="Arial" w:cs="Arial" w:eastAsia="Arial" w:hAnsi="Arial"/>
                <w:sz w:val="16"/>
                <w:szCs w:val="16"/>
                <w:color w:val="auto"/>
              </w:rPr>
              <w:t>1,776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Borders>
              <w:bottom w:val="single" w:sz="8" w:color="CCEEFF"/>
            </w:tcBorders>
            <w:shd w:val="clear" w:color="auto" w:fill="CCEEFF"/>
          </w:tcPr>
          <w:p>
            <w:pPr>
              <w:spacing w:after="0"/>
              <w:rPr>
                <w:sz w:val="19"/>
                <w:szCs w:val="19"/>
                <w:color w:val="auto"/>
              </w:rPr>
            </w:pPr>
          </w:p>
        </w:tc>
        <w:tc>
          <w:tcPr>
            <w:tcW w:w="5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Vested and expected to vest at June 30, 2024</w:t>
            </w:r>
          </w:p>
        </w:tc>
        <w:tc>
          <w:tcPr>
            <w:tcW w:w="14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20</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10.44</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0.8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6"/>
                <w:szCs w:val="16"/>
                <w:color w:val="auto"/>
              </w:rPr>
              <w:t>1,776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Exercisable at June 30, 2024</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5160" w:type="dxa"/>
            <w:vAlign w:val="bottom"/>
            <w:gridSpan w:val="2"/>
            <w:vMerge w:val="continue"/>
          </w:tcPr>
          <w:p>
            <w:pPr>
              <w:spacing w:after="0"/>
              <w:rPr>
                <w:sz w:val="15"/>
                <w:szCs w:val="15"/>
                <w:color w:val="auto"/>
              </w:rPr>
            </w:pPr>
          </w:p>
        </w:tc>
        <w:tc>
          <w:tcPr>
            <w:tcW w:w="1420" w:type="dxa"/>
            <w:vAlign w:val="bottom"/>
            <w:tcBorders>
              <w:bottom w:val="single" w:sz="8" w:color="auto"/>
            </w:tcBorders>
          </w:tcPr>
          <w:p>
            <w:pPr>
              <w:jc w:val="right"/>
              <w:ind w:right="5"/>
              <w:spacing w:after="0" w:line="181" w:lineRule="exact"/>
              <w:rPr>
                <w:sz w:val="20"/>
                <w:szCs w:val="20"/>
                <w:color w:val="auto"/>
              </w:rPr>
            </w:pPr>
            <w:r>
              <w:rPr>
                <w:rFonts w:ascii="Arial" w:cs="Arial" w:eastAsia="Arial" w:hAnsi="Arial"/>
                <w:sz w:val="16"/>
                <w:szCs w:val="16"/>
                <w:color w:val="auto"/>
              </w:rPr>
              <w:t>20</w:t>
            </w:r>
          </w:p>
        </w:tc>
        <w:tc>
          <w:tcPr>
            <w:tcW w:w="28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5"/>
              <w:spacing w:after="0" w:line="181" w:lineRule="exact"/>
              <w:rPr>
                <w:sz w:val="20"/>
                <w:szCs w:val="20"/>
                <w:color w:val="auto"/>
              </w:rPr>
            </w:pPr>
            <w:r>
              <w:rPr>
                <w:rFonts w:ascii="Arial" w:cs="Arial" w:eastAsia="Arial" w:hAnsi="Arial"/>
                <w:sz w:val="16"/>
                <w:szCs w:val="16"/>
                <w:color w:val="auto"/>
              </w:rPr>
              <w:t>10.44</w:t>
            </w:r>
          </w:p>
        </w:tc>
        <w:tc>
          <w:tcPr>
            <w:tcW w:w="100" w:type="dxa"/>
            <w:vAlign w:val="bottom"/>
          </w:tcPr>
          <w:p>
            <w:pPr>
              <w:spacing w:after="0"/>
              <w:rPr>
                <w:sz w:val="15"/>
                <w:szCs w:val="15"/>
                <w:color w:val="auto"/>
              </w:rPr>
            </w:pPr>
          </w:p>
        </w:tc>
        <w:tc>
          <w:tcPr>
            <w:tcW w:w="1420" w:type="dxa"/>
            <w:vAlign w:val="bottom"/>
          </w:tcPr>
          <w:p>
            <w:pPr>
              <w:jc w:val="center"/>
              <w:spacing w:after="0" w:line="181" w:lineRule="exact"/>
              <w:rPr>
                <w:sz w:val="20"/>
                <w:szCs w:val="20"/>
                <w:color w:val="auto"/>
              </w:rPr>
            </w:pPr>
            <w:r>
              <w:rPr>
                <w:rFonts w:ascii="Arial" w:cs="Arial" w:eastAsia="Arial" w:hAnsi="Arial"/>
                <w:sz w:val="16"/>
                <w:szCs w:val="16"/>
                <w:color w:val="auto"/>
                <w:w w:val="98"/>
              </w:rPr>
              <w:t>0.8</w:t>
            </w:r>
          </w:p>
        </w:tc>
        <w:tc>
          <w:tcPr>
            <w:tcW w:w="120" w:type="dxa"/>
            <w:vAlign w:val="bottom"/>
          </w:tcPr>
          <w:p>
            <w:pPr>
              <w:spacing w:after="0"/>
              <w:rPr>
                <w:sz w:val="15"/>
                <w:szCs w:val="15"/>
                <w:color w:val="auto"/>
              </w:rPr>
            </w:pPr>
          </w:p>
        </w:tc>
        <w:tc>
          <w:tcPr>
            <w:tcW w:w="180" w:type="dxa"/>
            <w:vAlign w:val="bottom"/>
          </w:tcPr>
          <w:p>
            <w:pPr>
              <w:jc w:val="right"/>
              <w:ind w:right="2"/>
              <w:spacing w:after="0" w:line="181" w:lineRule="exact"/>
              <w:rPr>
                <w:sz w:val="20"/>
                <w:szCs w:val="20"/>
                <w:color w:val="auto"/>
              </w:rPr>
            </w:pPr>
            <w:r>
              <w:rPr>
                <w:rFonts w:ascii="Arial" w:cs="Arial" w:eastAsia="Arial" w:hAnsi="Arial"/>
                <w:sz w:val="16"/>
                <w:szCs w:val="16"/>
                <w:color w:val="auto"/>
                <w:w w:val="89"/>
              </w:rPr>
              <w:t>$</w:t>
            </w:r>
          </w:p>
        </w:tc>
        <w:tc>
          <w:tcPr>
            <w:tcW w:w="1260" w:type="dxa"/>
            <w:vAlign w:val="bottom"/>
          </w:tcPr>
          <w:p>
            <w:pPr>
              <w:jc w:val="right"/>
              <w:ind w:right="6"/>
              <w:spacing w:after="0" w:line="181" w:lineRule="exact"/>
              <w:rPr>
                <w:sz w:val="20"/>
                <w:szCs w:val="20"/>
                <w:color w:val="auto"/>
              </w:rPr>
            </w:pPr>
            <w:r>
              <w:rPr>
                <w:rFonts w:ascii="Arial" w:cs="Arial" w:eastAsia="Arial" w:hAnsi="Arial"/>
                <w:sz w:val="16"/>
                <w:szCs w:val="16"/>
                <w:color w:val="auto"/>
              </w:rPr>
              <w:t>1,776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480" w:hanging="475"/>
        <w:spacing w:after="0" w:line="261" w:lineRule="auto"/>
        <w:tabs>
          <w:tab w:leader="none" w:pos="403"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intrinsic value of options exercised is based upon the value of the Company’s stock at exercise. The intrinsic value of options outstanding, vested and expected to vest, and exercisable as of June 30, 2024 is based on the closing price of the last trading day during the period ended June 30, 2024. The Company’s stock fair value used in this computation was $99.71 per share.</w:t>
      </w:r>
    </w:p>
    <w:p>
      <w:pPr>
        <w:spacing w:after="0" w:line="6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information about stock options outstanding at June 30,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9"/>
              </w:rPr>
              <w:t>Options Outstanding</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tcBorders>
              <w:bottom w:val="single" w:sz="8" w:color="auto"/>
            </w:tcBorders>
            <w:gridSpan w:val="4"/>
          </w:tcPr>
          <w:p>
            <w:pPr>
              <w:jc w:val="right"/>
              <w:ind w:right="745"/>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41"/>
        </w:trPr>
        <w:tc>
          <w:tcPr>
            <w:tcW w:w="16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1" w:lineRule="exact"/>
              <w:rPr>
                <w:sz w:val="20"/>
                <w:szCs w:val="20"/>
                <w:color w:val="auto"/>
              </w:rPr>
            </w:pPr>
            <w:r>
              <w:rPr>
                <w:rFonts w:ascii="Arial" w:cs="Arial" w:eastAsia="Arial" w:hAnsi="Arial"/>
                <w:sz w:val="14"/>
                <w:szCs w:val="14"/>
                <w:b w:val="1"/>
                <w:bCs w:val="1"/>
                <w:color w:val="auto"/>
              </w:rPr>
              <w:t>Weighted-</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65"/>
              <w:spacing w:after="0" w:line="141"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16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restart"/>
          </w:tcPr>
          <w:p>
            <w:pPr>
              <w:jc w:val="center"/>
              <w:ind w:left="170"/>
              <w:spacing w:after="0"/>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4" w:lineRule="exact"/>
              <w:rPr>
                <w:sz w:val="20"/>
                <w:szCs w:val="20"/>
                <w:color w:val="auto"/>
              </w:rPr>
            </w:pPr>
            <w:r>
              <w:rPr>
                <w:rFonts w:ascii="Arial" w:cs="Arial" w:eastAsia="Arial" w:hAnsi="Arial"/>
                <w:sz w:val="14"/>
                <w:szCs w:val="14"/>
                <w:b w:val="1"/>
                <w:bCs w:val="1"/>
                <w:color w:val="auto"/>
              </w:rPr>
              <w:t>Average</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45"/>
              <w:spacing w:after="0" w:line="144" w:lineRule="exact"/>
              <w:rPr>
                <w:sz w:val="20"/>
                <w:szCs w:val="20"/>
                <w:color w:val="auto"/>
              </w:rPr>
            </w:pPr>
            <w:r>
              <w:rPr>
                <w:rFonts w:ascii="Arial" w:cs="Arial" w:eastAsia="Arial" w:hAnsi="Arial"/>
                <w:sz w:val="14"/>
                <w:szCs w:val="14"/>
                <w:b w:val="1"/>
                <w:bCs w:val="1"/>
                <w:color w:val="auto"/>
                <w:w w:val="97"/>
              </w:rPr>
              <w:t>Average</w:t>
            </w:r>
          </w:p>
        </w:tc>
        <w:tc>
          <w:tcPr>
            <w:tcW w:w="0" w:type="dxa"/>
            <w:vAlign w:val="bottom"/>
          </w:tcPr>
          <w:p>
            <w:pPr>
              <w:spacing w:after="0"/>
              <w:rPr>
                <w:sz w:val="1"/>
                <w:szCs w:val="1"/>
                <w:color w:val="auto"/>
              </w:rPr>
            </w:pPr>
          </w:p>
        </w:tc>
      </w:tr>
      <w:tr>
        <w:trPr>
          <w:trHeight w:val="140"/>
        </w:trPr>
        <w:tc>
          <w:tcPr>
            <w:tcW w:w="3620" w:type="dxa"/>
            <w:vAlign w:val="bottom"/>
            <w:gridSpan w:val="2"/>
            <w:vMerge w:val="restart"/>
          </w:tcPr>
          <w:p>
            <w:pPr>
              <w:ind w:left="980"/>
              <w:spacing w:after="0"/>
              <w:rPr>
                <w:sz w:val="20"/>
                <w:szCs w:val="20"/>
                <w:color w:val="auto"/>
              </w:rPr>
            </w:pPr>
            <w:r>
              <w:rPr>
                <w:rFonts w:ascii="Arial" w:cs="Arial" w:eastAsia="Arial" w:hAnsi="Arial"/>
                <w:sz w:val="14"/>
                <w:szCs w:val="14"/>
                <w:b w:val="1"/>
                <w:bCs w:val="1"/>
                <w:color w:val="auto"/>
              </w:rPr>
              <w:t>Range of Exercise Prices</w:t>
            </w:r>
          </w:p>
        </w:tc>
        <w:tc>
          <w:tcPr>
            <w:tcW w:w="100" w:type="dxa"/>
            <w:vAlign w:val="bottom"/>
            <w:vMerge w:val="restart"/>
          </w:tcPr>
          <w:p>
            <w:pPr>
              <w:spacing w:after="0"/>
              <w:rPr>
                <w:sz w:val="12"/>
                <w:szCs w:val="12"/>
                <w:color w:val="auto"/>
              </w:rPr>
            </w:pPr>
          </w:p>
        </w:tc>
        <w:tc>
          <w:tcPr>
            <w:tcW w:w="1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00"/>
              <w:spacing w:after="0" w:line="140" w:lineRule="exact"/>
              <w:rPr>
                <w:sz w:val="20"/>
                <w:szCs w:val="20"/>
                <w:color w:val="auto"/>
              </w:rPr>
            </w:pPr>
            <w:r>
              <w:rPr>
                <w:rFonts w:ascii="Arial" w:cs="Arial" w:eastAsia="Arial" w:hAnsi="Arial"/>
                <w:sz w:val="14"/>
                <w:szCs w:val="14"/>
                <w:b w:val="1"/>
                <w:bCs w:val="1"/>
                <w:color w:val="auto"/>
              </w:rPr>
              <w:t>Remaining</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0" w:lineRule="exact"/>
              <w:rPr>
                <w:sz w:val="20"/>
                <w:szCs w:val="20"/>
                <w:color w:val="auto"/>
              </w:rPr>
            </w:pPr>
            <w:r>
              <w:rPr>
                <w:rFonts w:ascii="Arial" w:cs="Arial" w:eastAsia="Arial" w:hAnsi="Arial"/>
                <w:sz w:val="14"/>
                <w:szCs w:val="14"/>
                <w:b w:val="1"/>
                <w:bCs w:val="1"/>
                <w:color w:val="auto"/>
                <w:w w:val="97"/>
              </w:rPr>
              <w:t>Exercise</w:t>
            </w:r>
          </w:p>
        </w:tc>
        <w:tc>
          <w:tcPr>
            <w:tcW w:w="1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45"/>
              <w:spacing w:after="0" w:line="140"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83"/>
        </w:trPr>
        <w:tc>
          <w:tcPr>
            <w:tcW w:w="362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160" w:type="dxa"/>
            <w:vAlign w:val="bottom"/>
            <w:tcBorders>
              <w:bottom w:val="single" w:sz="8" w:color="auto"/>
            </w:tcBorders>
          </w:tcPr>
          <w:p>
            <w:pPr>
              <w:jc w:val="center"/>
              <w:ind w:left="170"/>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rPr>
              <w:t>Price</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185"/>
        </w:trPr>
        <w:tc>
          <w:tcPr>
            <w:tcW w:w="16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left="170"/>
              <w:spacing w:after="0"/>
              <w:rPr>
                <w:sz w:val="20"/>
                <w:szCs w:val="20"/>
                <w:color w:val="auto"/>
              </w:rPr>
            </w:pPr>
            <w:r>
              <w:rPr>
                <w:rFonts w:ascii="Arial" w:cs="Arial" w:eastAsia="Arial" w:hAnsi="Arial"/>
                <w:sz w:val="14"/>
                <w:szCs w:val="14"/>
                <w:i w:val="1"/>
                <w:iCs w:val="1"/>
                <w:color w:val="auto"/>
                <w:w w:val="98"/>
              </w:rPr>
              <w:t>(In thousands)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w w:val="95"/>
              </w:rPr>
              <w:t>(Years)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$2.76</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520" w:type="dxa"/>
            <w:vAlign w:val="bottom"/>
            <w:gridSpan w:val="2"/>
            <w:shd w:val="clear" w:color="auto" w:fill="CCEEFF"/>
          </w:tcPr>
          <w:p>
            <w:pPr>
              <w:jc w:val="center"/>
              <w:ind w:left="22"/>
              <w:spacing w:after="0"/>
              <w:rPr>
                <w:sz w:val="20"/>
                <w:szCs w:val="20"/>
                <w:color w:val="auto"/>
              </w:rPr>
            </w:pPr>
            <w:r>
              <w:rPr>
                <w:rFonts w:ascii="Arial" w:cs="Arial" w:eastAsia="Arial" w:hAnsi="Arial"/>
                <w:sz w:val="16"/>
                <w:szCs w:val="16"/>
                <w:color w:val="auto"/>
                <w:w w:val="98"/>
              </w:rPr>
              <w:t>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08"/>
        </w:trPr>
        <w:tc>
          <w:tcPr>
            <w:tcW w:w="1660" w:type="dxa"/>
            <w:vAlign w:val="bottom"/>
          </w:tcPr>
          <w:p>
            <w:pPr>
              <w:jc w:val="right"/>
              <w:spacing w:after="0"/>
              <w:rPr>
                <w:sz w:val="20"/>
                <w:szCs w:val="20"/>
                <w:color w:val="auto"/>
              </w:rPr>
            </w:pPr>
            <w:r>
              <w:rPr>
                <w:rFonts w:ascii="Arial" w:cs="Arial" w:eastAsia="Arial" w:hAnsi="Arial"/>
                <w:sz w:val="16"/>
                <w:szCs w:val="16"/>
                <w:color w:val="auto"/>
              </w:rPr>
              <w:t>$2.80</w:t>
            </w:r>
          </w:p>
        </w:tc>
        <w:tc>
          <w:tcPr>
            <w:tcW w:w="2060" w:type="dxa"/>
            <w:vAlign w:val="bottom"/>
            <w:gridSpan w:val="2"/>
          </w:tcPr>
          <w:p>
            <w:pPr>
              <w:ind w:left="20"/>
              <w:spacing w:after="0"/>
              <w:rPr>
                <w:sz w:val="20"/>
                <w:szCs w:val="20"/>
                <w:color w:val="auto"/>
              </w:rPr>
            </w:pPr>
            <w:r>
              <w:rPr>
                <w:rFonts w:ascii="Arial" w:cs="Arial" w:eastAsia="Arial" w:hAnsi="Arial"/>
                <w:sz w:val="16"/>
                <w:szCs w:val="16"/>
                <w:color w:val="auto"/>
              </w:rPr>
              <w:t>—– $2.80</w:t>
            </w:r>
          </w:p>
        </w:tc>
        <w:tc>
          <w:tcPr>
            <w:tcW w:w="1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5</w:t>
            </w:r>
          </w:p>
        </w:tc>
        <w:tc>
          <w:tcPr>
            <w:tcW w:w="1520" w:type="dxa"/>
            <w:vAlign w:val="bottom"/>
            <w:gridSpan w:val="2"/>
          </w:tcPr>
          <w:p>
            <w:pPr>
              <w:jc w:val="center"/>
              <w:ind w:left="22"/>
              <w:spacing w:after="0"/>
              <w:rPr>
                <w:sz w:val="20"/>
                <w:szCs w:val="20"/>
                <w:color w:val="auto"/>
              </w:rPr>
            </w:pPr>
            <w:r>
              <w:rPr>
                <w:rFonts w:ascii="Arial" w:cs="Arial" w:eastAsia="Arial" w:hAnsi="Arial"/>
                <w:sz w:val="16"/>
                <w:szCs w:val="16"/>
                <w:color w:val="auto"/>
                <w:w w:val="98"/>
              </w:rPr>
              <w:t>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5"/>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10"/>
        </w:trPr>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$2.90</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520" w:type="dxa"/>
            <w:vAlign w:val="bottom"/>
            <w:gridSpan w:val="2"/>
            <w:shd w:val="clear" w:color="auto" w:fill="CCEEFF"/>
          </w:tcPr>
          <w:p>
            <w:pPr>
              <w:jc w:val="center"/>
              <w:ind w:left="22"/>
              <w:spacing w:after="0"/>
              <w:rPr>
                <w:sz w:val="20"/>
                <w:szCs w:val="20"/>
                <w:color w:val="auto"/>
              </w:rPr>
            </w:pPr>
            <w:r>
              <w:rPr>
                <w:rFonts w:ascii="Arial" w:cs="Arial" w:eastAsia="Arial" w:hAnsi="Arial"/>
                <w:sz w:val="16"/>
                <w:szCs w:val="16"/>
                <w:color w:val="auto"/>
                <w:w w:val="98"/>
              </w:rPr>
              <w:t>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08"/>
        </w:trPr>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$64.17</w:t>
            </w:r>
          </w:p>
        </w:tc>
        <w:tc>
          <w:tcPr>
            <w:tcW w:w="20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 $64.17</w:t>
            </w:r>
          </w:p>
        </w:tc>
        <w:tc>
          <w:tcPr>
            <w:tcW w:w="1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520" w:type="dxa"/>
            <w:vAlign w:val="bottom"/>
            <w:tcBorders>
              <w:bottom w:val="single" w:sz="8" w:color="CCEEFF"/>
            </w:tcBorders>
            <w:gridSpan w:val="2"/>
          </w:tcPr>
          <w:p>
            <w:pPr>
              <w:jc w:val="center"/>
              <w:ind w:left="22"/>
              <w:spacing w:after="0"/>
              <w:rPr>
                <w:sz w:val="20"/>
                <w:szCs w:val="20"/>
                <w:color w:val="auto"/>
              </w:rPr>
            </w:pPr>
            <w:r>
              <w:rPr>
                <w:rFonts w:ascii="Arial" w:cs="Arial" w:eastAsia="Arial" w:hAnsi="Arial"/>
                <w:sz w:val="16"/>
                <w:szCs w:val="16"/>
                <w:color w:val="auto"/>
                <w:w w:val="98"/>
              </w:rPr>
              <w:t>2.8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ind w:right="5"/>
              <w:spacing w:after="0"/>
              <w:rPr>
                <w:sz w:val="20"/>
                <w:szCs w:val="20"/>
                <w:color w:val="auto"/>
              </w:rPr>
            </w:pPr>
            <w:r>
              <w:rPr>
                <w:rFonts w:ascii="Arial" w:cs="Arial" w:eastAsia="Arial" w:hAnsi="Arial"/>
                <w:sz w:val="16"/>
                <w:szCs w:val="16"/>
                <w:color w:val="auto"/>
              </w:rPr>
              <w:t>64.17</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64.17</w:t>
            </w:r>
          </w:p>
        </w:tc>
        <w:tc>
          <w:tcPr>
            <w:tcW w:w="0" w:type="dxa"/>
            <w:vAlign w:val="bottom"/>
          </w:tcPr>
          <w:p>
            <w:pPr>
              <w:spacing w:after="0"/>
              <w:rPr>
                <w:sz w:val="1"/>
                <w:szCs w:val="1"/>
                <w:color w:val="auto"/>
              </w:rPr>
            </w:pPr>
          </w:p>
        </w:tc>
      </w:tr>
      <w:tr>
        <w:trPr>
          <w:trHeight w:val="228"/>
        </w:trPr>
        <w:tc>
          <w:tcPr>
            <w:tcW w:w="1660" w:type="dxa"/>
            <w:vAlign w:val="bottom"/>
            <w:tcBorders>
              <w:bottom w:val="single" w:sz="8" w:color="CCEEFF"/>
            </w:tcBorders>
            <w:shd w:val="clear" w:color="auto" w:fill="CCEEFF"/>
          </w:tcPr>
          <w:p>
            <w:pPr>
              <w:jc w:val="right"/>
              <w:ind w:right="883"/>
              <w:spacing w:after="0"/>
              <w:rPr>
                <w:sz w:val="20"/>
                <w:szCs w:val="20"/>
                <w:color w:val="auto"/>
              </w:rPr>
            </w:pPr>
            <w:r>
              <w:rPr>
                <w:rFonts w:ascii="Arial" w:cs="Arial" w:eastAsia="Arial" w:hAnsi="Arial"/>
                <w:sz w:val="16"/>
                <w:szCs w:val="16"/>
                <w:b w:val="1"/>
                <w:bCs w:val="1"/>
                <w:color w:val="auto"/>
              </w:rPr>
              <w:t>Total</w:t>
            </w:r>
          </w:p>
        </w:tc>
        <w:tc>
          <w:tcPr>
            <w:tcW w:w="1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20</w:t>
            </w:r>
          </w:p>
        </w:tc>
        <w:tc>
          <w:tcPr>
            <w:tcW w:w="1520" w:type="dxa"/>
            <w:vAlign w:val="bottom"/>
            <w:tcBorders>
              <w:bottom w:val="single" w:sz="8" w:color="CCEEFF"/>
            </w:tcBorders>
            <w:gridSpan w:val="2"/>
            <w:shd w:val="clear" w:color="auto" w:fill="CCEEFF"/>
          </w:tcPr>
          <w:p>
            <w:pPr>
              <w:jc w:val="center"/>
              <w:ind w:left="22"/>
              <w:spacing w:after="0"/>
              <w:rPr>
                <w:sz w:val="20"/>
                <w:szCs w:val="20"/>
                <w:color w:val="auto"/>
              </w:rPr>
            </w:pPr>
            <w:r>
              <w:rPr>
                <w:rFonts w:ascii="Arial" w:cs="Arial" w:eastAsia="Arial" w:hAnsi="Arial"/>
                <w:sz w:val="16"/>
                <w:szCs w:val="16"/>
                <w:color w:val="auto"/>
                <w:w w:val="98"/>
              </w:rPr>
              <w:t>0.8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10.44</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10.44</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556260</wp:posOffset>
            </wp:positionV>
            <wp:extent cx="69373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37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216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Restricted Stock Units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RSU activity:</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Weighted-</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20"/>
              <w:spacing w:after="0" w:line="140" w:lineRule="exact"/>
              <w:rPr>
                <w:sz w:val="20"/>
                <w:szCs w:val="20"/>
                <w:color w:val="auto"/>
              </w:rPr>
            </w:pPr>
            <w:r>
              <w:rPr>
                <w:rFonts w:ascii="Arial" w:cs="Arial" w:eastAsia="Arial" w:hAnsi="Arial"/>
                <w:sz w:val="14"/>
                <w:szCs w:val="14"/>
                <w:b w:val="1"/>
                <w:bCs w:val="1"/>
                <w:color w:val="auto"/>
              </w:rPr>
              <w:t>Average</w:t>
            </w:r>
          </w:p>
        </w:tc>
        <w:tc>
          <w:tcPr>
            <w:tcW w:w="1540" w:type="dxa"/>
            <w:vAlign w:val="bottom"/>
            <w:gridSpan w:val="2"/>
          </w:tcPr>
          <w:p>
            <w:pPr>
              <w:jc w:val="center"/>
              <w:ind w:right="120"/>
              <w:spacing w:after="0" w:line="140" w:lineRule="exact"/>
              <w:rPr>
                <w:sz w:val="20"/>
                <w:szCs w:val="20"/>
                <w:color w:val="auto"/>
              </w:rPr>
            </w:pPr>
            <w:r>
              <w:rPr>
                <w:rFonts w:ascii="Arial" w:cs="Arial" w:eastAsia="Arial" w:hAnsi="Arial"/>
                <w:sz w:val="14"/>
                <w:szCs w:val="14"/>
                <w:b w:val="1"/>
                <w:bCs w:val="1"/>
                <w:color w:val="auto"/>
                <w:w w:val="97"/>
              </w:rPr>
              <w:t>Average</w:t>
            </w:r>
          </w:p>
        </w:tc>
        <w:tc>
          <w:tcPr>
            <w:tcW w:w="180" w:type="dxa"/>
            <w:vAlign w:val="bottom"/>
          </w:tcPr>
          <w:p>
            <w:pPr>
              <w:spacing w:after="0"/>
              <w:rPr>
                <w:sz w:val="12"/>
                <w:szCs w:val="12"/>
                <w:color w:val="auto"/>
              </w:rPr>
            </w:pPr>
          </w:p>
        </w:tc>
        <w:tc>
          <w:tcPr>
            <w:tcW w:w="1260" w:type="dxa"/>
            <w:vAlign w:val="bottom"/>
            <w:vMerge w:val="restart"/>
          </w:tcPr>
          <w:p>
            <w:pPr>
              <w:jc w:val="center"/>
              <w:ind w:right="127"/>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Fair Value</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Remaining</w:t>
            </w:r>
          </w:p>
        </w:tc>
        <w:tc>
          <w:tcPr>
            <w:tcW w:w="1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42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20"/>
              <w:spacing w:after="0" w:line="140" w:lineRule="exact"/>
              <w:rPr>
                <w:sz w:val="20"/>
                <w:szCs w:val="20"/>
                <w:color w:val="auto"/>
              </w:rPr>
            </w:pPr>
            <w:r>
              <w:rPr>
                <w:rFonts w:ascii="Arial" w:cs="Arial" w:eastAsia="Arial" w:hAnsi="Arial"/>
                <w:sz w:val="14"/>
                <w:szCs w:val="14"/>
                <w:b w:val="1"/>
                <w:bCs w:val="1"/>
                <w:color w:val="auto"/>
                <w:w w:val="98"/>
              </w:rPr>
              <w:t>per Share at</w:t>
            </w:r>
          </w:p>
        </w:tc>
        <w:tc>
          <w:tcPr>
            <w:tcW w:w="1540" w:type="dxa"/>
            <w:vAlign w:val="bottom"/>
            <w:gridSpan w:val="2"/>
          </w:tcPr>
          <w:p>
            <w:pPr>
              <w:jc w:val="center"/>
              <w:ind w:right="120"/>
              <w:spacing w:after="0" w:line="140" w:lineRule="exact"/>
              <w:rPr>
                <w:sz w:val="20"/>
                <w:szCs w:val="20"/>
                <w:color w:val="auto"/>
              </w:rPr>
            </w:pPr>
            <w:r>
              <w:rPr>
                <w:rFonts w:ascii="Arial" w:cs="Arial" w:eastAsia="Arial" w:hAnsi="Arial"/>
                <w:sz w:val="14"/>
                <w:szCs w:val="14"/>
                <w:b w:val="1"/>
                <w:bCs w:val="1"/>
                <w:color w:val="auto"/>
              </w:rPr>
              <w:t>Contractual</w:t>
            </w:r>
          </w:p>
        </w:tc>
        <w:tc>
          <w:tcPr>
            <w:tcW w:w="180" w:type="dxa"/>
            <w:vAlign w:val="bottom"/>
          </w:tcPr>
          <w:p>
            <w:pPr>
              <w:spacing w:after="0"/>
              <w:rPr>
                <w:sz w:val="12"/>
                <w:szCs w:val="12"/>
                <w:color w:val="auto"/>
              </w:rPr>
            </w:pPr>
          </w:p>
        </w:tc>
        <w:tc>
          <w:tcPr>
            <w:tcW w:w="1260" w:type="dxa"/>
            <w:vAlign w:val="bottom"/>
          </w:tcPr>
          <w:p>
            <w:pPr>
              <w:jc w:val="center"/>
              <w:ind w:right="127"/>
              <w:spacing w:after="0" w:line="140"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Outstanding</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46"/>
              <w:spacing w:after="0"/>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27"/>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9"/>
                <w:szCs w:val="9"/>
                <w:b w:val="1"/>
                <w:bCs w:val="1"/>
                <w:color w:val="auto"/>
                <w:w w:val="95"/>
              </w:rPr>
              <w:t>(1)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w w:val="95"/>
              </w:rPr>
              <w:t>(Years)</w:t>
            </w:r>
          </w:p>
        </w:tc>
        <w:tc>
          <w:tcPr>
            <w:tcW w:w="180" w:type="dxa"/>
            <w:vAlign w:val="bottom"/>
          </w:tcPr>
          <w:p>
            <w:pPr>
              <w:spacing w:after="0"/>
              <w:rPr>
                <w:sz w:val="16"/>
                <w:szCs w:val="16"/>
                <w:color w:val="auto"/>
              </w:rPr>
            </w:pPr>
          </w:p>
        </w:tc>
        <w:tc>
          <w:tcPr>
            <w:tcW w:w="1260" w:type="dxa"/>
            <w:vAlign w:val="bottom"/>
          </w:tcPr>
          <w:p>
            <w:pPr>
              <w:jc w:val="center"/>
              <w:ind w:right="127"/>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13"/>
        </w:trPr>
        <w:tc>
          <w:tcPr>
            <w:tcW w:w="51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Outstanding at December 31, 2023</w:t>
            </w:r>
          </w:p>
        </w:tc>
        <w:tc>
          <w:tcPr>
            <w:tcW w:w="14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2,332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177.64</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gridSpan w:val="2"/>
          </w:tcPr>
          <w:p>
            <w:pPr>
              <w:ind w:left="20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ind w:right="5"/>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6"/>
              <w:spacing w:after="0"/>
              <w:rPr>
                <w:sz w:val="20"/>
                <w:szCs w:val="20"/>
                <w:color w:val="auto"/>
              </w:rPr>
            </w:pPr>
            <w:r>
              <w:rPr>
                <w:rFonts w:ascii="Arial" w:cs="Arial" w:eastAsia="Arial" w:hAnsi="Arial"/>
                <w:sz w:val="16"/>
                <w:szCs w:val="16"/>
                <w:color w:val="auto"/>
              </w:rPr>
              <w:t>110.92</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1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177.08</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72,803</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tcPr>
          <w:p>
            <w:pPr>
              <w:spacing w:after="0"/>
              <w:rPr>
                <w:sz w:val="18"/>
                <w:szCs w:val="18"/>
                <w:color w:val="auto"/>
              </w:rPr>
            </w:pPr>
          </w:p>
        </w:tc>
        <w:tc>
          <w:tcPr>
            <w:tcW w:w="516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Canceled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jc w:val="right"/>
              <w:ind w:right="6"/>
              <w:spacing w:after="0"/>
              <w:rPr>
                <w:sz w:val="20"/>
                <w:szCs w:val="20"/>
                <w:color w:val="auto"/>
              </w:rPr>
            </w:pPr>
            <w:r>
              <w:rPr>
                <w:rFonts w:ascii="Arial" w:cs="Arial" w:eastAsia="Arial" w:hAnsi="Arial"/>
                <w:sz w:val="16"/>
                <w:szCs w:val="16"/>
                <w:color w:val="auto"/>
              </w:rPr>
              <w:t>175.67</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1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Outstanding at June 30, 2024</w:t>
            </w:r>
          </w:p>
        </w:tc>
        <w:tc>
          <w:tcPr>
            <w:tcW w:w="14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1,931</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6"/>
                <w:szCs w:val="16"/>
                <w:color w:val="auto"/>
              </w:rPr>
              <w:t>164.00</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1.4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6"/>
                <w:szCs w:val="16"/>
                <w:color w:val="auto"/>
              </w:rPr>
              <w:t>192,558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180" w:type="dxa"/>
            <w:vAlign w:val="bottom"/>
            <w:gridSpan w:val="3"/>
          </w:tcPr>
          <w:p>
            <w:pPr>
              <w:ind w:left="20"/>
              <w:spacing w:after="0" w:line="181" w:lineRule="exact"/>
              <w:rPr>
                <w:sz w:val="20"/>
                <w:szCs w:val="20"/>
                <w:color w:val="auto"/>
              </w:rPr>
            </w:pPr>
            <w:r>
              <w:rPr>
                <w:rFonts w:ascii="Arial" w:cs="Arial" w:eastAsia="Arial" w:hAnsi="Arial"/>
                <w:sz w:val="16"/>
                <w:szCs w:val="16"/>
                <w:color w:val="auto"/>
              </w:rPr>
              <w:t>Expected to vest at June 30, 2024</w:t>
            </w:r>
          </w:p>
        </w:tc>
        <w:tc>
          <w:tcPr>
            <w:tcW w:w="1420" w:type="dxa"/>
            <w:vAlign w:val="bottom"/>
            <w:tcBorders>
              <w:bottom w:val="single" w:sz="8" w:color="auto"/>
            </w:tcBorders>
          </w:tcPr>
          <w:p>
            <w:pPr>
              <w:jc w:val="right"/>
              <w:ind w:right="5"/>
              <w:spacing w:after="0" w:line="181" w:lineRule="exact"/>
              <w:rPr>
                <w:sz w:val="20"/>
                <w:szCs w:val="20"/>
                <w:color w:val="auto"/>
              </w:rPr>
            </w:pPr>
            <w:r>
              <w:rPr>
                <w:rFonts w:ascii="Arial" w:cs="Arial" w:eastAsia="Arial" w:hAnsi="Arial"/>
                <w:sz w:val="16"/>
                <w:szCs w:val="16"/>
                <w:color w:val="auto"/>
              </w:rPr>
              <w:t>1,931</w:t>
            </w:r>
          </w:p>
        </w:tc>
        <w:tc>
          <w:tcPr>
            <w:tcW w:w="3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1220" w:type="dxa"/>
            <w:vAlign w:val="bottom"/>
          </w:tcPr>
          <w:p>
            <w:pPr>
              <w:jc w:val="right"/>
              <w:ind w:right="6"/>
              <w:spacing w:after="0" w:line="181" w:lineRule="exact"/>
              <w:rPr>
                <w:sz w:val="20"/>
                <w:szCs w:val="20"/>
                <w:color w:val="auto"/>
              </w:rPr>
            </w:pPr>
            <w:r>
              <w:rPr>
                <w:rFonts w:ascii="Arial" w:cs="Arial" w:eastAsia="Arial" w:hAnsi="Arial"/>
                <w:sz w:val="16"/>
                <w:szCs w:val="16"/>
                <w:color w:val="auto"/>
              </w:rPr>
              <w:t>164.00</w:t>
            </w:r>
          </w:p>
        </w:tc>
        <w:tc>
          <w:tcPr>
            <w:tcW w:w="100" w:type="dxa"/>
            <w:vAlign w:val="bottom"/>
          </w:tcPr>
          <w:p>
            <w:pPr>
              <w:spacing w:after="0"/>
              <w:rPr>
                <w:sz w:val="15"/>
                <w:szCs w:val="15"/>
                <w:color w:val="auto"/>
              </w:rPr>
            </w:pPr>
          </w:p>
        </w:tc>
        <w:tc>
          <w:tcPr>
            <w:tcW w:w="1420" w:type="dxa"/>
            <w:vAlign w:val="bottom"/>
          </w:tcPr>
          <w:p>
            <w:pPr>
              <w:jc w:val="center"/>
              <w:spacing w:after="0" w:line="181" w:lineRule="exact"/>
              <w:rPr>
                <w:sz w:val="20"/>
                <w:szCs w:val="20"/>
                <w:color w:val="auto"/>
              </w:rPr>
            </w:pPr>
            <w:r>
              <w:rPr>
                <w:rFonts w:ascii="Arial" w:cs="Arial" w:eastAsia="Arial" w:hAnsi="Arial"/>
                <w:sz w:val="16"/>
                <w:szCs w:val="16"/>
                <w:color w:val="auto"/>
                <w:w w:val="98"/>
              </w:rPr>
              <w:t>1.4</w:t>
            </w:r>
          </w:p>
        </w:tc>
        <w:tc>
          <w:tcPr>
            <w:tcW w:w="120" w:type="dxa"/>
            <w:vAlign w:val="bottom"/>
          </w:tcPr>
          <w:p>
            <w:pPr>
              <w:spacing w:after="0"/>
              <w:rPr>
                <w:sz w:val="15"/>
                <w:szCs w:val="15"/>
                <w:color w:val="auto"/>
              </w:rPr>
            </w:pPr>
          </w:p>
        </w:tc>
        <w:tc>
          <w:tcPr>
            <w:tcW w:w="180" w:type="dxa"/>
            <w:vAlign w:val="bottom"/>
          </w:tcPr>
          <w:p>
            <w:pPr>
              <w:jc w:val="right"/>
              <w:ind w:right="2"/>
              <w:spacing w:after="0" w:line="181" w:lineRule="exact"/>
              <w:rPr>
                <w:sz w:val="20"/>
                <w:szCs w:val="20"/>
                <w:color w:val="auto"/>
              </w:rPr>
            </w:pPr>
            <w:r>
              <w:rPr>
                <w:rFonts w:ascii="Arial" w:cs="Arial" w:eastAsia="Arial" w:hAnsi="Arial"/>
                <w:sz w:val="16"/>
                <w:szCs w:val="16"/>
                <w:color w:val="auto"/>
                <w:w w:val="89"/>
              </w:rPr>
              <w:t>$</w:t>
            </w:r>
          </w:p>
        </w:tc>
        <w:tc>
          <w:tcPr>
            <w:tcW w:w="1260" w:type="dxa"/>
            <w:vAlign w:val="bottom"/>
          </w:tcPr>
          <w:p>
            <w:pPr>
              <w:jc w:val="right"/>
              <w:ind w:right="7"/>
              <w:spacing w:after="0" w:line="181" w:lineRule="exact"/>
              <w:rPr>
                <w:sz w:val="20"/>
                <w:szCs w:val="20"/>
                <w:color w:val="auto"/>
              </w:rPr>
            </w:pPr>
            <w:r>
              <w:rPr>
                <w:rFonts w:ascii="Arial" w:cs="Arial" w:eastAsia="Arial" w:hAnsi="Arial"/>
                <w:sz w:val="16"/>
                <w:szCs w:val="16"/>
                <w:color w:val="auto"/>
              </w:rPr>
              <w:t>192,550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480" w:hanging="475"/>
        <w:spacing w:after="0" w:line="261" w:lineRule="auto"/>
        <w:tabs>
          <w:tab w:leader="none" w:pos="398"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intrinsic value of RSUs vested is based upon the value of the Company’s stock when vested. The intrinsic value of RSUs outstanding and expected to vest as of June 30, 2024 is based on the closing price of the last trading day during the period ended June 30, 2024. The Company’s stock fair value used in this computation was $99.71 per share.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 Stock Units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summarizes PSU activity:</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Weighted-</w:t>
            </w: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320"/>
              <w:spacing w:after="0" w:line="144" w:lineRule="exact"/>
              <w:rPr>
                <w:sz w:val="20"/>
                <w:szCs w:val="20"/>
                <w:color w:val="auto"/>
              </w:rPr>
            </w:pPr>
            <w:r>
              <w:rPr>
                <w:rFonts w:ascii="Arial" w:cs="Arial" w:eastAsia="Arial" w:hAnsi="Arial"/>
                <w:sz w:val="14"/>
                <w:szCs w:val="14"/>
                <w:b w:val="1"/>
                <w:bCs w:val="1"/>
                <w:color w:val="auto"/>
                <w:w w:val="97"/>
              </w:rPr>
              <w:t>Average</w:t>
            </w:r>
          </w:p>
        </w:tc>
        <w:tc>
          <w:tcPr>
            <w:tcW w:w="152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97"/>
              </w:rPr>
              <w:t>Average</w:t>
            </w:r>
          </w:p>
        </w:tc>
        <w:tc>
          <w:tcPr>
            <w:tcW w:w="180" w:type="dxa"/>
            <w:vAlign w:val="bottom"/>
          </w:tcPr>
          <w:p>
            <w:pPr>
              <w:spacing w:after="0"/>
              <w:rPr>
                <w:sz w:val="12"/>
                <w:szCs w:val="12"/>
                <w:color w:val="auto"/>
              </w:rPr>
            </w:pPr>
          </w:p>
        </w:tc>
        <w:tc>
          <w:tcPr>
            <w:tcW w:w="1260" w:type="dxa"/>
            <w:vAlign w:val="bottom"/>
            <w:vMerge w:val="restart"/>
          </w:tcPr>
          <w:p>
            <w:pPr>
              <w:jc w:val="center"/>
              <w:ind w:right="107"/>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320"/>
              <w:spacing w:after="0" w:line="140" w:lineRule="exact"/>
              <w:rPr>
                <w:sz w:val="20"/>
                <w:szCs w:val="20"/>
                <w:color w:val="auto"/>
              </w:rPr>
            </w:pPr>
            <w:r>
              <w:rPr>
                <w:rFonts w:ascii="Arial" w:cs="Arial" w:eastAsia="Arial" w:hAnsi="Arial"/>
                <w:sz w:val="14"/>
                <w:szCs w:val="14"/>
                <w:b w:val="1"/>
                <w:bCs w:val="1"/>
                <w:color w:val="auto"/>
                <w:w w:val="98"/>
              </w:rPr>
              <w:t>Fair Value</w:t>
            </w:r>
          </w:p>
        </w:tc>
        <w:tc>
          <w:tcPr>
            <w:tcW w:w="1520" w:type="dxa"/>
            <w:vAlign w:val="bottom"/>
            <w:gridSpan w:val="2"/>
          </w:tcPr>
          <w:p>
            <w:pPr>
              <w:jc w:val="center"/>
              <w:ind w:right="120"/>
              <w:spacing w:after="0" w:line="140" w:lineRule="exact"/>
              <w:rPr>
                <w:sz w:val="20"/>
                <w:szCs w:val="20"/>
                <w:color w:val="auto"/>
              </w:rPr>
            </w:pPr>
            <w:r>
              <w:rPr>
                <w:rFonts w:ascii="Arial" w:cs="Arial" w:eastAsia="Arial" w:hAnsi="Arial"/>
                <w:sz w:val="14"/>
                <w:szCs w:val="14"/>
                <w:b w:val="1"/>
                <w:bCs w:val="1"/>
                <w:color w:val="auto"/>
              </w:rPr>
              <w:t>Remaining</w:t>
            </w:r>
          </w:p>
        </w:tc>
        <w:tc>
          <w:tcPr>
            <w:tcW w:w="1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4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rPr>
              <w:t>per Share at</w:t>
            </w:r>
          </w:p>
        </w:tc>
        <w:tc>
          <w:tcPr>
            <w:tcW w:w="152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7"/>
              </w:rPr>
              <w:t>Contractual</w:t>
            </w:r>
          </w:p>
        </w:tc>
        <w:tc>
          <w:tcPr>
            <w:tcW w:w="180" w:type="dxa"/>
            <w:vAlign w:val="bottom"/>
          </w:tcPr>
          <w:p>
            <w:pPr>
              <w:spacing w:after="0"/>
              <w:rPr>
                <w:sz w:val="11"/>
                <w:szCs w:val="11"/>
                <w:color w:val="auto"/>
              </w:rPr>
            </w:pPr>
          </w:p>
        </w:tc>
        <w:tc>
          <w:tcPr>
            <w:tcW w:w="1260" w:type="dxa"/>
            <w:vAlign w:val="bottom"/>
          </w:tcPr>
          <w:p>
            <w:pPr>
              <w:jc w:val="center"/>
              <w:ind w:right="127"/>
              <w:spacing w:after="0" w:line="133"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Outstanding</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w w:val="97"/>
              </w:rPr>
              <w:t>Grant Date</w:t>
            </w: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07"/>
              <w:spacing w:after="0" w:line="182" w:lineRule="exact"/>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8"/>
                <w:szCs w:val="18"/>
                <w:b w:val="1"/>
                <w:bCs w:val="1"/>
                <w:color w:val="auto"/>
                <w:w w:val="92"/>
                <w:vertAlign w:val="superscript"/>
              </w:rPr>
              <w:t>(1)</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i w:val="1"/>
                <w:iCs w:val="1"/>
                <w:color w:val="auto"/>
                <w:w w:val="95"/>
              </w:rPr>
              <w:t>(Years)</w:t>
            </w:r>
          </w:p>
        </w:tc>
        <w:tc>
          <w:tcPr>
            <w:tcW w:w="180" w:type="dxa"/>
            <w:vAlign w:val="bottom"/>
          </w:tcPr>
          <w:p>
            <w:pPr>
              <w:spacing w:after="0"/>
              <w:rPr>
                <w:sz w:val="16"/>
                <w:szCs w:val="16"/>
                <w:color w:val="auto"/>
              </w:rPr>
            </w:pPr>
          </w:p>
        </w:tc>
        <w:tc>
          <w:tcPr>
            <w:tcW w:w="1260" w:type="dxa"/>
            <w:vAlign w:val="bottom"/>
          </w:tcPr>
          <w:p>
            <w:pPr>
              <w:jc w:val="center"/>
              <w:ind w:right="107"/>
              <w:spacing w:after="0"/>
              <w:rPr>
                <w:sz w:val="20"/>
                <w:szCs w:val="20"/>
                <w:color w:val="auto"/>
              </w:rPr>
            </w:pPr>
            <w:r>
              <w:rPr>
                <w:rFonts w:ascii="Arial" w:cs="Arial" w:eastAsia="Arial" w:hAnsi="Arial"/>
                <w:sz w:val="14"/>
                <w:szCs w:val="14"/>
                <w:i w:val="1"/>
                <w:iCs w:val="1"/>
                <w:color w:val="auto"/>
                <w:w w:val="98"/>
              </w:rPr>
              <w:t>(In thousands)</w:t>
            </w:r>
          </w:p>
        </w:tc>
        <w:tc>
          <w:tcPr>
            <w:tcW w:w="0" w:type="dxa"/>
            <w:vAlign w:val="bottom"/>
          </w:tcPr>
          <w:p>
            <w:pPr>
              <w:spacing w:after="0"/>
              <w:rPr>
                <w:sz w:val="1"/>
                <w:szCs w:val="1"/>
                <w:color w:val="auto"/>
              </w:rPr>
            </w:pPr>
          </w:p>
        </w:tc>
      </w:tr>
      <w:tr>
        <w:trPr>
          <w:trHeight w:val="213"/>
        </w:trPr>
        <w:tc>
          <w:tcPr>
            <w:tcW w:w="51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Outstanding at December 31, 2023</w:t>
            </w:r>
          </w:p>
        </w:tc>
        <w:tc>
          <w:tcPr>
            <w:tcW w:w="1420" w:type="dxa"/>
            <w:vAlign w:val="bottom"/>
            <w:shd w:val="clear" w:color="auto" w:fill="CCEEFF"/>
          </w:tcPr>
          <w:p>
            <w:pPr>
              <w:jc w:val="center"/>
              <w:ind w:left="965"/>
              <w:spacing w:after="0"/>
              <w:rPr>
                <w:sz w:val="20"/>
                <w:szCs w:val="20"/>
                <w:color w:val="auto"/>
              </w:rPr>
            </w:pPr>
            <w:r>
              <w:rPr>
                <w:rFonts w:ascii="Arial" w:cs="Arial" w:eastAsia="Arial" w:hAnsi="Arial"/>
                <w:sz w:val="16"/>
                <w:szCs w:val="16"/>
                <w:color w:val="auto"/>
                <w:w w:val="97"/>
              </w:rPr>
              <w:t>396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235.99</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5140" w:type="dxa"/>
            <w:vAlign w:val="bottom"/>
            <w:gridSpan w:val="2"/>
          </w:tcPr>
          <w:p>
            <w:pPr>
              <w:ind w:left="180"/>
              <w:spacing w:after="0"/>
              <w:rPr>
                <w:sz w:val="20"/>
                <w:szCs w:val="20"/>
                <w:color w:val="auto"/>
              </w:rPr>
            </w:pPr>
            <w:r>
              <w:rPr>
                <w:rFonts w:ascii="Arial" w:cs="Arial" w:eastAsia="Arial" w:hAnsi="Arial"/>
                <w:sz w:val="16"/>
                <w:szCs w:val="16"/>
                <w:color w:val="auto"/>
              </w:rPr>
              <w:t>Granted</w:t>
            </w:r>
          </w:p>
        </w:tc>
        <w:tc>
          <w:tcPr>
            <w:tcW w:w="1420" w:type="dxa"/>
            <w:vAlign w:val="bottom"/>
          </w:tcPr>
          <w:p>
            <w:pPr>
              <w:jc w:val="center"/>
              <w:ind w:left="965"/>
              <w:spacing w:after="0"/>
              <w:rPr>
                <w:sz w:val="20"/>
                <w:szCs w:val="20"/>
                <w:color w:val="auto"/>
              </w:rPr>
            </w:pPr>
            <w:r>
              <w:rPr>
                <w:rFonts w:ascii="Arial" w:cs="Arial" w:eastAsia="Arial" w:hAnsi="Arial"/>
                <w:sz w:val="16"/>
                <w:szCs w:val="16"/>
                <w:color w:val="auto"/>
                <w:w w:val="97"/>
              </w:rPr>
              <w:t>724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127.06</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51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214.52</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12,642</w:t>
            </w:r>
          </w:p>
        </w:tc>
        <w:tc>
          <w:tcPr>
            <w:tcW w:w="0" w:type="dxa"/>
            <w:vAlign w:val="bottom"/>
          </w:tcPr>
          <w:p>
            <w:pPr>
              <w:spacing w:after="0"/>
              <w:rPr>
                <w:sz w:val="1"/>
                <w:szCs w:val="1"/>
                <w:color w:val="auto"/>
              </w:rPr>
            </w:pPr>
          </w:p>
        </w:tc>
      </w:tr>
      <w:tr>
        <w:trPr>
          <w:trHeight w:val="208"/>
        </w:trPr>
        <w:tc>
          <w:tcPr>
            <w:tcW w:w="40" w:type="dxa"/>
            <w:vAlign w:val="bottom"/>
            <w:tcBorders>
              <w:bottom w:val="single" w:sz="8" w:color="CCEEFF"/>
            </w:tcBorders>
          </w:tcPr>
          <w:p>
            <w:pPr>
              <w:spacing w:after="0"/>
              <w:rPr>
                <w:sz w:val="18"/>
                <w:szCs w:val="18"/>
                <w:color w:val="auto"/>
              </w:rPr>
            </w:pPr>
          </w:p>
        </w:tc>
        <w:tc>
          <w:tcPr>
            <w:tcW w:w="514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Canceled</w:t>
            </w:r>
          </w:p>
        </w:tc>
        <w:tc>
          <w:tcPr>
            <w:tcW w:w="1420" w:type="dxa"/>
            <w:vAlign w:val="bottom"/>
            <w:tcBorders>
              <w:bottom w:val="single" w:sz="8" w:color="auto"/>
            </w:tcBorders>
          </w:tcPr>
          <w:p>
            <w:pPr>
              <w:jc w:val="center"/>
              <w:ind w:left="945"/>
              <w:spacing w:after="0"/>
              <w:rPr>
                <w:sz w:val="20"/>
                <w:szCs w:val="20"/>
                <w:color w:val="auto"/>
              </w:rPr>
            </w:pPr>
            <w:r>
              <w:rPr>
                <w:rFonts w:ascii="Arial" w:cs="Arial" w:eastAsia="Arial" w:hAnsi="Arial"/>
                <w:sz w:val="16"/>
                <w:szCs w:val="16"/>
                <w:color w:val="auto"/>
                <w:w w:val="96"/>
              </w:rPr>
              <w:t>(117)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205.66</w:t>
            </w: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1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Outstanding at June 30, 2024</w:t>
            </w:r>
          </w:p>
        </w:tc>
        <w:tc>
          <w:tcPr>
            <w:tcW w:w="1420" w:type="dxa"/>
            <w:vAlign w:val="bottom"/>
            <w:tcBorders>
              <w:bottom w:val="single" w:sz="8" w:color="auto"/>
            </w:tcBorders>
            <w:shd w:val="clear" w:color="auto" w:fill="CCEEFF"/>
          </w:tcPr>
          <w:p>
            <w:pPr>
              <w:jc w:val="center"/>
              <w:ind w:left="965"/>
              <w:spacing w:after="0"/>
              <w:rPr>
                <w:sz w:val="20"/>
                <w:szCs w:val="20"/>
                <w:color w:val="auto"/>
              </w:rPr>
            </w:pPr>
            <w:r>
              <w:rPr>
                <w:rFonts w:ascii="Arial" w:cs="Arial" w:eastAsia="Arial" w:hAnsi="Arial"/>
                <w:sz w:val="16"/>
                <w:szCs w:val="16"/>
                <w:color w:val="auto"/>
                <w:w w:val="97"/>
              </w:rPr>
              <w:t>906</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155.14</w:t>
            </w:r>
          </w:p>
        </w:tc>
        <w:tc>
          <w:tcPr>
            <w:tcW w:w="1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1.7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6"/>
                <w:szCs w:val="16"/>
                <w:color w:val="auto"/>
              </w:rPr>
              <w:t>90,364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180" w:type="dxa"/>
            <w:vAlign w:val="bottom"/>
            <w:gridSpan w:val="3"/>
          </w:tcPr>
          <w:p>
            <w:pPr>
              <w:ind w:left="20"/>
              <w:spacing w:after="0" w:line="181" w:lineRule="exact"/>
              <w:rPr>
                <w:sz w:val="20"/>
                <w:szCs w:val="20"/>
                <w:color w:val="auto"/>
              </w:rPr>
            </w:pPr>
            <w:r>
              <w:rPr>
                <w:rFonts w:ascii="Arial" w:cs="Arial" w:eastAsia="Arial" w:hAnsi="Arial"/>
                <w:sz w:val="16"/>
                <w:szCs w:val="16"/>
                <w:color w:val="auto"/>
              </w:rPr>
              <w:t>Expected to vest at June 30, 2024</w:t>
            </w:r>
          </w:p>
        </w:tc>
        <w:tc>
          <w:tcPr>
            <w:tcW w:w="1420" w:type="dxa"/>
            <w:vAlign w:val="bottom"/>
            <w:tcBorders>
              <w:bottom w:val="single" w:sz="8" w:color="auto"/>
            </w:tcBorders>
          </w:tcPr>
          <w:p>
            <w:pPr>
              <w:jc w:val="center"/>
              <w:ind w:left="965"/>
              <w:spacing w:after="0" w:line="181" w:lineRule="exact"/>
              <w:rPr>
                <w:sz w:val="20"/>
                <w:szCs w:val="20"/>
                <w:color w:val="auto"/>
              </w:rPr>
            </w:pPr>
            <w:r>
              <w:rPr>
                <w:rFonts w:ascii="Arial" w:cs="Arial" w:eastAsia="Arial" w:hAnsi="Arial"/>
                <w:sz w:val="16"/>
                <w:szCs w:val="16"/>
                <w:color w:val="auto"/>
                <w:w w:val="97"/>
              </w:rPr>
              <w:t>906</w:t>
            </w:r>
          </w:p>
        </w:tc>
        <w:tc>
          <w:tcPr>
            <w:tcW w:w="3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81" w:lineRule="exact"/>
              <w:rPr>
                <w:sz w:val="20"/>
                <w:szCs w:val="20"/>
                <w:color w:val="auto"/>
              </w:rPr>
            </w:pPr>
            <w:r>
              <w:rPr>
                <w:rFonts w:ascii="Arial" w:cs="Arial" w:eastAsia="Arial" w:hAnsi="Arial"/>
                <w:sz w:val="16"/>
                <w:szCs w:val="16"/>
                <w:color w:val="auto"/>
              </w:rPr>
              <w:t>155.14</w:t>
            </w:r>
          </w:p>
        </w:tc>
        <w:tc>
          <w:tcPr>
            <w:tcW w:w="120" w:type="dxa"/>
            <w:vAlign w:val="bottom"/>
          </w:tcPr>
          <w:p>
            <w:pPr>
              <w:spacing w:after="0"/>
              <w:rPr>
                <w:sz w:val="15"/>
                <w:szCs w:val="15"/>
                <w:color w:val="auto"/>
              </w:rPr>
            </w:pPr>
          </w:p>
        </w:tc>
        <w:tc>
          <w:tcPr>
            <w:tcW w:w="1420" w:type="dxa"/>
            <w:vAlign w:val="bottom"/>
          </w:tcPr>
          <w:p>
            <w:pPr>
              <w:jc w:val="center"/>
              <w:spacing w:after="0" w:line="181" w:lineRule="exact"/>
              <w:rPr>
                <w:sz w:val="20"/>
                <w:szCs w:val="20"/>
                <w:color w:val="auto"/>
              </w:rPr>
            </w:pPr>
            <w:r>
              <w:rPr>
                <w:rFonts w:ascii="Arial" w:cs="Arial" w:eastAsia="Arial" w:hAnsi="Arial"/>
                <w:sz w:val="16"/>
                <w:szCs w:val="16"/>
                <w:color w:val="auto"/>
                <w:w w:val="98"/>
              </w:rPr>
              <w:t>1.7</w:t>
            </w:r>
          </w:p>
        </w:tc>
        <w:tc>
          <w:tcPr>
            <w:tcW w:w="100" w:type="dxa"/>
            <w:vAlign w:val="bottom"/>
          </w:tcPr>
          <w:p>
            <w:pPr>
              <w:spacing w:after="0"/>
              <w:rPr>
                <w:sz w:val="15"/>
                <w:szCs w:val="15"/>
                <w:color w:val="auto"/>
              </w:rPr>
            </w:pPr>
          </w:p>
        </w:tc>
        <w:tc>
          <w:tcPr>
            <w:tcW w:w="180" w:type="dxa"/>
            <w:vAlign w:val="bottom"/>
          </w:tcPr>
          <w:p>
            <w:pPr>
              <w:jc w:val="right"/>
              <w:ind w:right="2"/>
              <w:spacing w:after="0" w:line="181" w:lineRule="exact"/>
              <w:rPr>
                <w:sz w:val="20"/>
                <w:szCs w:val="20"/>
                <w:color w:val="auto"/>
              </w:rPr>
            </w:pPr>
            <w:r>
              <w:rPr>
                <w:rFonts w:ascii="Arial" w:cs="Arial" w:eastAsia="Arial" w:hAnsi="Arial"/>
                <w:sz w:val="16"/>
                <w:szCs w:val="16"/>
                <w:color w:val="auto"/>
                <w:w w:val="89"/>
              </w:rPr>
              <w:t>$</w:t>
            </w:r>
          </w:p>
        </w:tc>
        <w:tc>
          <w:tcPr>
            <w:tcW w:w="1260" w:type="dxa"/>
            <w:vAlign w:val="bottom"/>
          </w:tcPr>
          <w:p>
            <w:pPr>
              <w:jc w:val="right"/>
              <w:ind w:right="7"/>
              <w:spacing w:after="0" w:line="181" w:lineRule="exact"/>
              <w:rPr>
                <w:sz w:val="20"/>
                <w:szCs w:val="20"/>
                <w:color w:val="auto"/>
              </w:rPr>
            </w:pPr>
            <w:r>
              <w:rPr>
                <w:rFonts w:ascii="Arial" w:cs="Arial" w:eastAsia="Arial" w:hAnsi="Arial"/>
                <w:sz w:val="16"/>
                <w:szCs w:val="16"/>
                <w:color w:val="auto"/>
              </w:rPr>
              <w:t>90,364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480" w:hanging="475"/>
        <w:spacing w:after="0" w:line="261" w:lineRule="auto"/>
        <w:tabs>
          <w:tab w:leader="none" w:pos="4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intrinsic value of PSUs vested is based upon the value of the Company’s stock when vested. The intrinsic value of PSUs outstanding and expected to vest as of June 30, 2024 is based on the closing price of the last trading day during the period ended June 30, 2024. The Company’s stock fair value used in this computation was $99.71 per share.</w:t>
      </w:r>
    </w:p>
    <w:p>
      <w:pPr>
        <w:spacing w:after="0" w:line="112" w:lineRule="exact"/>
        <w:rPr>
          <w:sz w:val="20"/>
          <w:szCs w:val="20"/>
          <w:color w:val="auto"/>
        </w:rPr>
      </w:pPr>
    </w:p>
    <w:p>
      <w:pPr>
        <w:ind w:left="440" w:hanging="435"/>
        <w:spacing w:after="0"/>
        <w:tabs>
          <w:tab w:leader="none" w:pos="44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120"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For the three months ended June 30, 2024 and 2023, the Company’s income tax provision totaled $0.4 million and $27.4 million, respectively, on an income before income taxes of $11.2 million and $184.6 million, respectively. For the six months ended June 30, 2024 the Company’s income tax provision totaled $5.0 million on a loss before income taxes of $0.3 million. For the six months ended June 30, 2023, the Company’s income tax provision totaled $59.5 million on an income before income taxes of $363.6 million. For the three months ended June 30, 2024, the income tax provision was calculated using the annualized effective tax rate method and was primarily due to tax expense in U.S. and foreign jurisdictions that are profitable, partially offset by a tax deduction from employee stock compensation and discrete tax benefit from the impairment of an investment in a private company. For the six months ended June 30, 2024, the income tax provision was calculated using the annualized effective tax rate method and was primarily due to tax expense from equity compensation shortfalls and discrete tax benefit from the impairment of an investment in a private company.</w:t>
      </w:r>
    </w:p>
    <w:p>
      <w:pPr>
        <w:spacing w:after="0" w:line="73"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For both the three and six months ended June 30, 2023, the income tax provision was calculated using the annualized effective tax rate method and was primarily due to projected tax expense in the U.S. and foreign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466090</wp:posOffset>
            </wp:positionV>
            <wp:extent cx="69373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37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jurisdictions that are profitable, partially offset by a tax deduction from employee stock compensation reported as a discrete event.</w:t>
      </w:r>
    </w:p>
    <w:p>
      <w:pPr>
        <w:spacing w:after="0" w:line="118"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For the three and six months ended June 30, 2024 and 2023, in accordance with FASB guidance for interim reporting of income tax, the Company has computed its provision for income taxes based on a projected annual effective tax rate while excluding loss jurisdictions, which cannot be benefited.</w:t>
      </w:r>
    </w:p>
    <w:p>
      <w:pPr>
        <w:spacing w:after="0" w:line="55"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December 2021, the Organization for Economic Co-operation and Development Inclusive Framework on Base Erosion Profit Shifting released Model Global Anti-Base Erosion rules (“Model Rules”) under Pillar Two. The Model Rules set forth the “common approach” for a Global Minimum Tax at 15 percent for multinational enterprises with a turnover of more than 750 million euros. Rules under Pillar Two were effective from January 1, 2024. The Company does not expect adoption of Pillar Two rules to have a significant impact on its consolidated financial statements during fiscal year 2024.</w:t>
      </w:r>
    </w:p>
    <w:p>
      <w:pPr>
        <w:spacing w:after="0" w:line="113" w:lineRule="exact"/>
        <w:rPr>
          <w:sz w:val="20"/>
          <w:szCs w:val="20"/>
          <w:color w:val="auto"/>
        </w:rPr>
      </w:pPr>
    </w:p>
    <w:p>
      <w:pPr>
        <w:ind w:left="440" w:hanging="435"/>
        <w:spacing w:after="0"/>
        <w:tabs>
          <w:tab w:leader="none" w:pos="44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NET INCOME (LOSS) PER SHARE</w:t>
      </w:r>
    </w:p>
    <w:p>
      <w:pPr>
        <w:spacing w:after="0" w:line="120" w:lineRule="exact"/>
        <w:rPr>
          <w:sz w:val="20"/>
          <w:szCs w:val="20"/>
          <w:color w:val="auto"/>
        </w:rPr>
      </w:pPr>
    </w:p>
    <w:p>
      <w:pPr>
        <w:jc w:val="both"/>
        <w:ind w:firstLine="470"/>
        <w:spacing w:after="0" w:line="269" w:lineRule="auto"/>
        <w:rPr>
          <w:sz w:val="20"/>
          <w:szCs w:val="20"/>
          <w:color w:val="auto"/>
        </w:rPr>
      </w:pPr>
      <w:r>
        <w:rPr>
          <w:rFonts w:ascii="Arial" w:cs="Arial" w:eastAsia="Arial" w:hAnsi="Arial"/>
          <w:sz w:val="17"/>
          <w:szCs w:val="17"/>
          <w:color w:val="auto"/>
        </w:rPr>
        <w:t>Basic net income (loss) per share is computed by dividing net income (loss) by the weighted average number of shares of common stock outstanding during the period. Diluted net income per share is computed in a similar manner, but it also includes the effect of potential common shares outstanding during the period, when dilutive. Potential common shares for the three months ended June 30, 2023 include stock options, RSUs, PSUs, shares to be purchased under the ESPP, Notes due 2025, Notes due 2026, Notes due 2028, Notes due 2023 and the 2025 Warrants.</w:t>
      </w:r>
    </w:p>
    <w:p>
      <w:pPr>
        <w:spacing w:after="0" w:line="27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the computation of basic and diluted net income (loss) per share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517525</wp:posOffset>
            </wp:positionV>
            <wp:extent cx="69373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37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w w:val="96"/>
              </w:rPr>
              <w:t>2023</w:t>
            </w:r>
          </w:p>
        </w:tc>
        <w:tc>
          <w:tcPr>
            <w:tcW w:w="0" w:type="dxa"/>
            <w:vAlign w:val="bottom"/>
          </w:tcPr>
          <w:p>
            <w:pPr>
              <w:spacing w:after="0"/>
              <w:rPr>
                <w:sz w:val="1"/>
                <w:szCs w:val="1"/>
                <w:color w:val="auto"/>
              </w:rPr>
            </w:pPr>
          </w:p>
        </w:tc>
      </w:tr>
      <w:tr>
        <w:trPr>
          <w:trHeight w:val="224"/>
        </w:trPr>
        <w:tc>
          <w:tcPr>
            <w:tcW w:w="5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80" w:type="dxa"/>
            <w:vAlign w:val="bottom"/>
            <w:gridSpan w:val="5"/>
          </w:tcPr>
          <w:p>
            <w:pPr>
              <w:ind w:left="60"/>
              <w:spacing w:after="0"/>
              <w:rPr>
                <w:sz w:val="20"/>
                <w:szCs w:val="20"/>
                <w:color w:val="auto"/>
              </w:rPr>
            </w:pPr>
            <w:r>
              <w:rPr>
                <w:rFonts w:ascii="Arial" w:cs="Arial" w:eastAsia="Arial" w:hAnsi="Arial"/>
                <w:sz w:val="14"/>
                <w:szCs w:val="14"/>
                <w:i w:val="1"/>
                <w:iCs w:val="1"/>
                <w:color w:val="auto"/>
              </w:rPr>
              <w:t>(In thousands, except per share data)</w:t>
            </w: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10,833</w:t>
            </w:r>
          </w:p>
        </w:tc>
        <w:tc>
          <w:tcPr>
            <w:tcW w:w="100" w:type="dxa"/>
            <w:vAlign w:val="bottom"/>
          </w:tcPr>
          <w:p>
            <w:pPr>
              <w:spacing w:after="0"/>
              <w:rPr>
                <w:sz w:val="18"/>
                <w:szCs w:val="18"/>
                <w:color w:val="auto"/>
              </w:rPr>
            </w:pP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157,191</w:t>
            </w:r>
          </w:p>
        </w:tc>
        <w:tc>
          <w:tcPr>
            <w:tcW w:w="100" w:type="dxa"/>
            <w:vAlign w:val="bottom"/>
          </w:tcPr>
          <w:p>
            <w:pPr>
              <w:spacing w:after="0"/>
              <w:rPr>
                <w:sz w:val="18"/>
                <w:szCs w:val="18"/>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(5,264)</w:t>
            </w:r>
          </w:p>
        </w:tc>
        <w:tc>
          <w:tcPr>
            <w:tcW w:w="100" w:type="dxa"/>
            <w:vAlign w:val="bottom"/>
          </w:tcPr>
          <w:p>
            <w:pPr>
              <w:spacing w:after="0"/>
              <w:rPr>
                <w:sz w:val="18"/>
                <w:szCs w:val="18"/>
                <w:color w:val="auto"/>
              </w:rPr>
            </w:pPr>
          </w:p>
        </w:tc>
        <w:tc>
          <w:tcPr>
            <w:tcW w:w="560" w:type="dxa"/>
            <w:vAlign w:val="bottom"/>
          </w:tcPr>
          <w:p>
            <w:pPr>
              <w:jc w:val="right"/>
              <w:ind w:right="362"/>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304,064</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Convertible senior notes interest and financing costs, net of tax</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3,255</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Arial" w:cs="Arial" w:eastAsia="Arial" w:hAnsi="Arial"/>
                <w:sz w:val="16"/>
                <w:szCs w:val="16"/>
                <w:color w:val="auto"/>
              </w:rPr>
              <w:t>Adjusted net income (loss)</w:t>
            </w:r>
          </w:p>
        </w:tc>
        <w:tc>
          <w:tcPr>
            <w:tcW w:w="3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10,833</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158,842</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(5,264)</w:t>
            </w:r>
          </w:p>
        </w:tc>
        <w:tc>
          <w:tcPr>
            <w:tcW w:w="10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307,319</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Denominator:</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used in basic per share amounts: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tcPr>
          <w:p>
            <w:pPr>
              <w:ind w:left="200"/>
              <w:spacing w:after="0"/>
              <w:rPr>
                <w:sz w:val="20"/>
                <w:szCs w:val="20"/>
                <w:color w:val="auto"/>
              </w:rPr>
            </w:pPr>
            <w:r>
              <w:rPr>
                <w:rFonts w:ascii="Arial" w:cs="Arial" w:eastAsia="Arial" w:hAnsi="Arial"/>
                <w:sz w:val="16"/>
                <w:szCs w:val="16"/>
                <w:color w:val="auto"/>
              </w:rPr>
              <w:t>Weighted average common shares outstanding</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135,646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136,607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135,768</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136,650</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20" w:type="dxa"/>
            <w:vAlign w:val="bottom"/>
          </w:tcPr>
          <w:p>
            <w:pPr>
              <w:ind w:left="20"/>
              <w:spacing w:after="0"/>
              <w:rPr>
                <w:sz w:val="20"/>
                <w:szCs w:val="20"/>
                <w:color w:val="auto"/>
              </w:rPr>
            </w:pPr>
            <w:r>
              <w:rPr>
                <w:rFonts w:ascii="Arial" w:cs="Arial" w:eastAsia="Arial" w:hAnsi="Arial"/>
                <w:sz w:val="16"/>
                <w:szCs w:val="16"/>
                <w:color w:val="auto"/>
              </w:rPr>
              <w:t>Shares used in diluted per share amounts: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220" w:type="dxa"/>
            <w:vAlign w:val="bottom"/>
            <w:shd w:val="clear" w:color="auto" w:fill="CCEEFF"/>
          </w:tcPr>
          <w:p>
            <w:pPr>
              <w:ind w:left="120"/>
              <w:spacing w:after="0" w:line="159" w:lineRule="exact"/>
              <w:rPr>
                <w:sz w:val="20"/>
                <w:szCs w:val="20"/>
                <w:color w:val="auto"/>
              </w:rPr>
            </w:pPr>
            <w:r>
              <w:rPr>
                <w:rFonts w:ascii="Arial" w:cs="Arial" w:eastAsia="Arial" w:hAnsi="Arial"/>
                <w:sz w:val="16"/>
                <w:szCs w:val="16"/>
                <w:color w:val="auto"/>
              </w:rPr>
              <w:t>Weighted average common shares outstanding used for basic</w:t>
            </w:r>
          </w:p>
        </w:tc>
        <w:tc>
          <w:tcPr>
            <w:tcW w:w="3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135,646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136,607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135,768</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136,650</w:t>
            </w:r>
          </w:p>
        </w:tc>
        <w:tc>
          <w:tcPr>
            <w:tcW w:w="0" w:type="dxa"/>
            <w:vAlign w:val="bottom"/>
          </w:tcPr>
          <w:p>
            <w:pPr>
              <w:spacing w:after="0"/>
              <w:rPr>
                <w:sz w:val="1"/>
                <w:szCs w:val="1"/>
                <w:color w:val="auto"/>
              </w:rPr>
            </w:pPr>
          </w:p>
        </w:tc>
      </w:tr>
      <w:tr>
        <w:trPr>
          <w:trHeight w:val="128"/>
        </w:trPr>
        <w:tc>
          <w:tcPr>
            <w:tcW w:w="522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calculation</w:t>
            </w:r>
          </w:p>
        </w:tc>
        <w:tc>
          <w:tcPr>
            <w:tcW w:w="320" w:type="dxa"/>
            <w:vAlign w:val="bottom"/>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5220" w:type="dxa"/>
            <w:vAlign w:val="bottom"/>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5220" w:type="dxa"/>
            <w:vAlign w:val="bottom"/>
          </w:tcPr>
          <w:p>
            <w:pPr>
              <w:ind w:left="120"/>
              <w:spacing w:after="0"/>
              <w:rPr>
                <w:sz w:val="20"/>
                <w:szCs w:val="20"/>
                <w:color w:val="auto"/>
              </w:rPr>
            </w:pPr>
            <w:r>
              <w:rPr>
                <w:rFonts w:ascii="Arial" w:cs="Arial" w:eastAsia="Arial" w:hAnsi="Arial"/>
                <w:sz w:val="16"/>
                <w:szCs w:val="16"/>
                <w:color w:val="auto"/>
              </w:rPr>
              <w:t>Effect of dilutive securities: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Employee stock-based awards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w:t>
            </w:r>
          </w:p>
        </w:tc>
        <w:tc>
          <w:tcPr>
            <w:tcW w:w="0" w:type="dxa"/>
            <w:vAlign w:val="bottom"/>
          </w:tcPr>
          <w:p>
            <w:pPr>
              <w:spacing w:after="0"/>
              <w:rPr>
                <w:sz w:val="1"/>
                <w:szCs w:val="1"/>
                <w:color w:val="auto"/>
              </w:rPr>
            </w:pPr>
          </w:p>
        </w:tc>
      </w:tr>
      <w:tr>
        <w:trPr>
          <w:trHeight w:val="208"/>
        </w:trPr>
        <w:tc>
          <w:tcPr>
            <w:tcW w:w="5220" w:type="dxa"/>
            <w:vAlign w:val="bottom"/>
          </w:tcPr>
          <w:p>
            <w:pPr>
              <w:ind w:left="280"/>
              <w:spacing w:after="0"/>
              <w:rPr>
                <w:sz w:val="20"/>
                <w:szCs w:val="20"/>
                <w:color w:val="auto"/>
              </w:rPr>
            </w:pPr>
            <w:r>
              <w:rPr>
                <w:rFonts w:ascii="Arial" w:cs="Arial" w:eastAsia="Arial" w:hAnsi="Arial"/>
                <w:sz w:val="16"/>
                <w:szCs w:val="16"/>
                <w:color w:val="auto"/>
              </w:rPr>
              <w:t>Notes due 2023</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Notes due 2025</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w:t>
            </w:r>
          </w:p>
        </w:tc>
        <w:tc>
          <w:tcPr>
            <w:tcW w:w="0" w:type="dxa"/>
            <w:vAlign w:val="bottom"/>
          </w:tcPr>
          <w:p>
            <w:pPr>
              <w:spacing w:after="0"/>
              <w:rPr>
                <w:sz w:val="1"/>
                <w:szCs w:val="1"/>
                <w:color w:val="auto"/>
              </w:rPr>
            </w:pPr>
          </w:p>
        </w:tc>
      </w:tr>
      <w:tr>
        <w:trPr>
          <w:trHeight w:val="208"/>
        </w:trPr>
        <w:tc>
          <w:tcPr>
            <w:tcW w:w="5220" w:type="dxa"/>
            <w:vAlign w:val="bottom"/>
          </w:tcPr>
          <w:p>
            <w:pPr>
              <w:ind w:left="280"/>
              <w:spacing w:after="0"/>
              <w:rPr>
                <w:sz w:val="20"/>
                <w:szCs w:val="20"/>
                <w:color w:val="auto"/>
              </w:rPr>
            </w:pPr>
            <w:r>
              <w:rPr>
                <w:rFonts w:ascii="Arial" w:cs="Arial" w:eastAsia="Arial" w:hAnsi="Arial"/>
                <w:sz w:val="16"/>
                <w:szCs w:val="16"/>
                <w:color w:val="auto"/>
              </w:rPr>
              <w:t>2025 Warrants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Notes due 2026</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w:t>
            </w:r>
          </w:p>
        </w:tc>
        <w:tc>
          <w:tcPr>
            <w:tcW w:w="0" w:type="dxa"/>
            <w:vAlign w:val="bottom"/>
          </w:tcPr>
          <w:p>
            <w:pPr>
              <w:spacing w:after="0"/>
              <w:rPr>
                <w:sz w:val="1"/>
                <w:szCs w:val="1"/>
                <w:color w:val="auto"/>
              </w:rPr>
            </w:pPr>
          </w:p>
        </w:tc>
      </w:tr>
      <w:tr>
        <w:trPr>
          <w:trHeight w:val="208"/>
        </w:trPr>
        <w:tc>
          <w:tcPr>
            <w:tcW w:w="5220" w:type="dxa"/>
            <w:vAlign w:val="bottom"/>
          </w:tcPr>
          <w:p>
            <w:pPr>
              <w:ind w:left="280"/>
              <w:spacing w:after="0"/>
              <w:rPr>
                <w:sz w:val="20"/>
                <w:szCs w:val="20"/>
                <w:color w:val="auto"/>
              </w:rPr>
            </w:pPr>
            <w:r>
              <w:rPr>
                <w:rFonts w:ascii="Arial" w:cs="Arial" w:eastAsia="Arial" w:hAnsi="Arial"/>
                <w:sz w:val="16"/>
                <w:szCs w:val="16"/>
                <w:color w:val="auto"/>
              </w:rPr>
              <w:t>Notes due 2028</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228"/>
        </w:trPr>
        <w:tc>
          <w:tcPr>
            <w:tcW w:w="52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Weighted average common shares outstanding for diluted calculation</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136,123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145,098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135,768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145,608</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and diluted net income (loss) per share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tcPr>
          <w:p>
            <w:pPr>
              <w:ind w:left="20"/>
              <w:spacing w:after="0"/>
              <w:rPr>
                <w:sz w:val="20"/>
                <w:szCs w:val="20"/>
                <w:color w:val="auto"/>
              </w:rPr>
            </w:pPr>
            <w:r>
              <w:rPr>
                <w:rFonts w:ascii="Arial" w:cs="Arial" w:eastAsia="Arial" w:hAnsi="Arial"/>
                <w:sz w:val="16"/>
                <w:szCs w:val="16"/>
                <w:color w:val="auto"/>
              </w:rPr>
              <w:t>Net income (loss) per share, basic</w:t>
            </w: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per share, diluted</w:t>
            </w: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Diluted earnings per share for the three and six months ended June 30, 2024 and 2023 includes the dilutive effect of potentially dilutive common shares by application of the treasury stock method for stock options, RSUs, PSUs, ESPP, the 2025 Warrants, and includes potentially dilutive common shares by application of the if-converted method for the Notes due 2025, Notes due 2026, Notes due 2028 and Notes due 2023. To the extent these potential common shares are antidilutive, they are excluded from the calculation of diluted net income per share.</w:t>
      </w:r>
    </w:p>
    <w:p>
      <w:pPr>
        <w:spacing w:after="0" w:line="61"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Further, the Company under the relevant sections of the indentures, irrevocably may elect to settle principal in cash and any excess in cash or shares of the Company’s common stock for the Notes due 2025, Notes due 2026 and Notes due 2028. If and when the Company makes such election, there will be no adjustment to the net income and the Company will use the average share price for the period to determine the potential number of shares to be issued based upon assumed conversion to be included in the diluted share 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473075</wp:posOffset>
            </wp:positionV>
            <wp:extent cx="69373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37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i w:val="1"/>
          <w:iCs w:val="1"/>
          <w:color w:val="0000FF"/>
        </w:rPr>
        <w:t>Table of Contents</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ind w:firstLine="470"/>
        <w:spacing w:after="0" w:line="298" w:lineRule="auto"/>
        <w:rPr>
          <w:sz w:val="20"/>
          <w:szCs w:val="20"/>
          <w:color w:val="auto"/>
        </w:rPr>
      </w:pPr>
      <w:r>
        <w:rPr>
          <w:rFonts w:ascii="Arial" w:cs="Arial" w:eastAsia="Arial" w:hAnsi="Arial"/>
          <w:sz w:val="17"/>
          <w:szCs w:val="17"/>
          <w:color w:val="auto"/>
        </w:rPr>
        <w:t>The following outstanding shares of common stock equivalents were excluded from the calculation of the diluted net income (loss) per share attributable to common stockholders because their effect would have been antidilutive:</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440" w:type="dxa"/>
            <w:vAlign w:val="bottom"/>
            <w:gridSpan w:val="4"/>
          </w:tcPr>
          <w:p>
            <w:pPr>
              <w:jc w:val="center"/>
              <w:ind w:left="390"/>
              <w:spacing w:after="0"/>
              <w:rPr>
                <w:sz w:val="20"/>
                <w:szCs w:val="20"/>
                <w:color w:val="auto"/>
              </w:rPr>
            </w:pPr>
            <w:r>
              <w:rPr>
                <w:rFonts w:ascii="Arial" w:cs="Arial" w:eastAsia="Arial" w:hAnsi="Arial"/>
                <w:sz w:val="14"/>
                <w:szCs w:val="14"/>
                <w:b w:val="1"/>
                <w:bCs w:val="1"/>
                <w:color w:val="auto"/>
                <w:w w:val="99"/>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gridSpan w:val="3"/>
          </w:tcPr>
          <w:p>
            <w:pPr>
              <w:jc w:val="center"/>
              <w:ind w:left="304"/>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179"/>
        </w:trPr>
        <w:tc>
          <w:tcPr>
            <w:tcW w:w="51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right="290"/>
              <w:spacing w:after="0"/>
              <w:rPr>
                <w:sz w:val="20"/>
                <w:szCs w:val="20"/>
                <w:color w:val="auto"/>
              </w:rPr>
            </w:pPr>
            <w:r>
              <w:rPr>
                <w:rFonts w:ascii="Arial" w:cs="Arial" w:eastAsia="Arial" w:hAnsi="Arial"/>
                <w:sz w:val="14"/>
                <w:szCs w:val="14"/>
                <w:b w:val="1"/>
                <w:bCs w:val="1"/>
                <w:color w:val="auto"/>
                <w:w w:val="96"/>
              </w:rPr>
              <w:t>June 30,</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center"/>
              <w:ind w:left="324"/>
              <w:spacing w:after="0"/>
              <w:rPr>
                <w:sz w:val="20"/>
                <w:szCs w:val="20"/>
                <w:color w:val="auto"/>
              </w:rPr>
            </w:pPr>
            <w:r>
              <w:rPr>
                <w:rFonts w:ascii="Arial" w:cs="Arial" w:eastAsia="Arial" w:hAnsi="Arial"/>
                <w:sz w:val="14"/>
                <w:szCs w:val="14"/>
                <w:b w:val="1"/>
                <w:bCs w:val="1"/>
                <w:color w:val="auto"/>
                <w:w w:val="99"/>
              </w:rPr>
              <w:t>June 30,</w:t>
            </w:r>
          </w:p>
        </w:tc>
        <w:tc>
          <w:tcPr>
            <w:tcW w:w="900" w:type="dxa"/>
            <w:vAlign w:val="bottom"/>
            <w:tcBorders>
              <w:bottom w:val="single" w:sz="8" w:color="auto"/>
            </w:tcBorders>
          </w:tcPr>
          <w:p>
            <w:pPr>
              <w:spacing w:after="0"/>
              <w:rPr>
                <w:sz w:val="15"/>
                <w:szCs w:val="15"/>
                <w:color w:val="auto"/>
              </w:rPr>
            </w:pPr>
          </w:p>
        </w:tc>
      </w:tr>
      <w:tr>
        <w:trPr>
          <w:trHeight w:val="189"/>
        </w:trPr>
        <w:tc>
          <w:tcPr>
            <w:tcW w:w="51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w w:val="96"/>
              </w:rPr>
              <w:t>2023</w:t>
            </w:r>
          </w:p>
        </w:tc>
      </w:tr>
      <w:tr>
        <w:trPr>
          <w:trHeight w:val="224"/>
        </w:trPr>
        <w:tc>
          <w:tcPr>
            <w:tcW w:w="5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80" w:type="dxa"/>
            <w:vAlign w:val="bottom"/>
            <w:gridSpan w:val="3"/>
          </w:tcPr>
          <w:p>
            <w:pPr>
              <w:ind w:left="120"/>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3"/>
        </w:trPr>
        <w:tc>
          <w:tcPr>
            <w:tcW w:w="6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Employee stock-based awards</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1,435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1,226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1,515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1,006</w:t>
            </w:r>
          </w:p>
        </w:tc>
      </w:tr>
      <w:tr>
        <w:trPr>
          <w:trHeight w:val="208"/>
        </w:trPr>
        <w:tc>
          <w:tcPr>
            <w:tcW w:w="6040" w:type="dxa"/>
            <w:vAlign w:val="bottom"/>
            <w:gridSpan w:val="2"/>
          </w:tcPr>
          <w:p>
            <w:pPr>
              <w:spacing w:after="0"/>
              <w:rPr>
                <w:sz w:val="20"/>
                <w:szCs w:val="20"/>
                <w:color w:val="auto"/>
              </w:rPr>
            </w:pPr>
            <w:r>
              <w:rPr>
                <w:rFonts w:ascii="Arial" w:cs="Arial" w:eastAsia="Arial" w:hAnsi="Arial"/>
                <w:sz w:val="16"/>
                <w:szCs w:val="16"/>
                <w:color w:val="auto"/>
              </w:rPr>
              <w:t>2025 Warrants</w:t>
            </w:r>
          </w:p>
        </w:tc>
        <w:tc>
          <w:tcPr>
            <w:tcW w:w="1580" w:type="dxa"/>
            <w:vAlign w:val="bottom"/>
            <w:gridSpan w:val="3"/>
          </w:tcPr>
          <w:p>
            <w:pPr>
              <w:jc w:val="right"/>
              <w:ind w:right="1030"/>
              <w:spacing w:after="0"/>
              <w:rPr>
                <w:sz w:val="20"/>
                <w:szCs w:val="20"/>
                <w:color w:val="auto"/>
              </w:rPr>
            </w:pPr>
            <w:r>
              <w:rPr>
                <w:rFonts w:ascii="Arial" w:cs="Arial" w:eastAsia="Arial" w:hAnsi="Arial"/>
                <w:sz w:val="16"/>
                <w:szCs w:val="16"/>
                <w:color w:val="auto"/>
              </w:rPr>
              <w:t>—</w:t>
            </w:r>
          </w:p>
        </w:tc>
        <w:tc>
          <w:tcPr>
            <w:tcW w:w="1080" w:type="dxa"/>
            <w:vAlign w:val="bottom"/>
            <w:gridSpan w:val="3"/>
          </w:tcPr>
          <w:p>
            <w:pPr>
              <w:jc w:val="right"/>
              <w:ind w:right="6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w:t>
            </w:r>
          </w:p>
        </w:tc>
      </w:tr>
      <w:tr>
        <w:trPr>
          <w:trHeight w:val="210"/>
        </w:trPr>
        <w:tc>
          <w:tcPr>
            <w:tcW w:w="6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Notes due 2028</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2,018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2,018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r>
      <w:tr>
        <w:trPr>
          <w:trHeight w:val="208"/>
        </w:trPr>
        <w:tc>
          <w:tcPr>
            <w:tcW w:w="6040" w:type="dxa"/>
            <w:vAlign w:val="bottom"/>
            <w:gridSpan w:val="2"/>
          </w:tcPr>
          <w:p>
            <w:pPr>
              <w:spacing w:after="0"/>
              <w:rPr>
                <w:sz w:val="20"/>
                <w:szCs w:val="20"/>
                <w:color w:val="auto"/>
              </w:rPr>
            </w:pPr>
            <w:r>
              <w:rPr>
                <w:rFonts w:ascii="Arial" w:cs="Arial" w:eastAsia="Arial" w:hAnsi="Arial"/>
                <w:sz w:val="16"/>
                <w:szCs w:val="16"/>
                <w:color w:val="auto"/>
              </w:rPr>
              <w:t>2028 Warrants</w:t>
            </w:r>
          </w:p>
        </w:tc>
        <w:tc>
          <w:tcPr>
            <w:tcW w:w="560" w:type="dxa"/>
            <w:vAlign w:val="bottom"/>
          </w:tcPr>
          <w:p>
            <w:pPr>
              <w:jc w:val="right"/>
              <w:ind w:right="3"/>
              <w:spacing w:after="0"/>
              <w:rPr>
                <w:sz w:val="20"/>
                <w:szCs w:val="20"/>
                <w:color w:val="auto"/>
              </w:rPr>
            </w:pPr>
            <w:r>
              <w:rPr>
                <w:rFonts w:ascii="Arial" w:cs="Arial" w:eastAsia="Arial" w:hAnsi="Arial"/>
                <w:sz w:val="16"/>
                <w:szCs w:val="16"/>
                <w:color w:val="auto"/>
              </w:rPr>
              <w:t>4,877</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ind w:right="3"/>
              <w:spacing w:after="0"/>
              <w:rPr>
                <w:sz w:val="20"/>
                <w:szCs w:val="20"/>
                <w:color w:val="auto"/>
              </w:rPr>
            </w:pPr>
            <w:r>
              <w:rPr>
                <w:rFonts w:ascii="Arial" w:cs="Arial" w:eastAsia="Arial" w:hAnsi="Arial"/>
                <w:sz w:val="16"/>
                <w:szCs w:val="16"/>
                <w:color w:val="auto"/>
              </w:rPr>
              <w:t>2,477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4,871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2,046</w:t>
            </w:r>
          </w:p>
        </w:tc>
      </w:tr>
      <w:tr>
        <w:trPr>
          <w:trHeight w:val="210"/>
        </w:trPr>
        <w:tc>
          <w:tcPr>
            <w:tcW w:w="6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Notes due 2026</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2,057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2,057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r>
      <w:tr>
        <w:trPr>
          <w:trHeight w:val="208"/>
        </w:trPr>
        <w:tc>
          <w:tcPr>
            <w:tcW w:w="6040" w:type="dxa"/>
            <w:vAlign w:val="bottom"/>
            <w:gridSpan w:val="2"/>
          </w:tcPr>
          <w:p>
            <w:pPr>
              <w:spacing w:after="0"/>
              <w:rPr>
                <w:sz w:val="20"/>
                <w:szCs w:val="20"/>
                <w:color w:val="auto"/>
              </w:rPr>
            </w:pPr>
            <w:r>
              <w:rPr>
                <w:rFonts w:ascii="Arial" w:cs="Arial" w:eastAsia="Arial" w:hAnsi="Arial"/>
                <w:sz w:val="16"/>
                <w:szCs w:val="16"/>
                <w:color w:val="auto"/>
              </w:rPr>
              <w:t>2026 Warrants</w:t>
            </w:r>
          </w:p>
        </w:tc>
        <w:tc>
          <w:tcPr>
            <w:tcW w:w="560" w:type="dxa"/>
            <w:vAlign w:val="bottom"/>
          </w:tcPr>
          <w:p>
            <w:pPr>
              <w:jc w:val="right"/>
              <w:ind w:right="3"/>
              <w:spacing w:after="0"/>
              <w:rPr>
                <w:sz w:val="20"/>
                <w:szCs w:val="20"/>
                <w:color w:val="auto"/>
              </w:rPr>
            </w:pPr>
            <w:r>
              <w:rPr>
                <w:rFonts w:ascii="Arial" w:cs="Arial" w:eastAsia="Arial" w:hAnsi="Arial"/>
                <w:sz w:val="16"/>
                <w:szCs w:val="16"/>
                <w:color w:val="auto"/>
              </w:rPr>
              <w:t>4,971</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ind w:right="3"/>
              <w:spacing w:after="0"/>
              <w:rPr>
                <w:sz w:val="20"/>
                <w:szCs w:val="20"/>
                <w:color w:val="auto"/>
              </w:rPr>
            </w:pPr>
            <w:r>
              <w:rPr>
                <w:rFonts w:ascii="Arial" w:cs="Arial" w:eastAsia="Arial" w:hAnsi="Arial"/>
                <w:sz w:val="16"/>
                <w:szCs w:val="16"/>
                <w:color w:val="auto"/>
              </w:rPr>
              <w:t>2,524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4,964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2,085</w:t>
            </w:r>
          </w:p>
        </w:tc>
      </w:tr>
      <w:tr>
        <w:trPr>
          <w:trHeight w:val="20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Notes due 2025</w:t>
            </w:r>
          </w:p>
        </w:tc>
        <w:tc>
          <w:tcPr>
            <w:tcW w:w="8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1,253</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1,253</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r>
      <w:tr>
        <w:trPr>
          <w:trHeight w:val="203"/>
        </w:trPr>
        <w:tc>
          <w:tcPr>
            <w:tcW w:w="6040" w:type="dxa"/>
            <w:vAlign w:val="bottom"/>
            <w:gridSpan w:val="2"/>
          </w:tcPr>
          <w:p>
            <w:pPr>
              <w:ind w:left="320"/>
              <w:spacing w:after="0"/>
              <w:rPr>
                <w:sz w:val="20"/>
                <w:szCs w:val="20"/>
                <w:color w:val="auto"/>
              </w:rPr>
            </w:pPr>
            <w:r>
              <w:rPr>
                <w:rFonts w:ascii="Arial" w:cs="Arial" w:eastAsia="Arial" w:hAnsi="Arial"/>
                <w:sz w:val="16"/>
                <w:szCs w:val="16"/>
                <w:color w:val="auto"/>
              </w:rPr>
              <w:t>Total</w:t>
            </w:r>
          </w:p>
        </w:tc>
        <w:tc>
          <w:tcPr>
            <w:tcW w:w="560" w:type="dxa"/>
            <w:vAlign w:val="bottom"/>
          </w:tcPr>
          <w:p>
            <w:pPr>
              <w:jc w:val="right"/>
              <w:ind w:right="3"/>
              <w:spacing w:after="0"/>
              <w:rPr>
                <w:sz w:val="20"/>
                <w:szCs w:val="20"/>
                <w:color w:val="auto"/>
              </w:rPr>
            </w:pPr>
            <w:r>
              <w:rPr>
                <w:rFonts w:ascii="Arial" w:cs="Arial" w:eastAsia="Arial" w:hAnsi="Arial"/>
                <w:sz w:val="16"/>
                <w:szCs w:val="16"/>
                <w:color w:val="auto"/>
                <w:w w:val="93"/>
              </w:rPr>
              <w:t>16,611</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jc w:val="right"/>
              <w:ind w:right="3"/>
              <w:spacing w:after="0"/>
              <w:rPr>
                <w:sz w:val="20"/>
                <w:szCs w:val="20"/>
                <w:color w:val="auto"/>
              </w:rPr>
            </w:pPr>
            <w:r>
              <w:rPr>
                <w:rFonts w:ascii="Arial" w:cs="Arial" w:eastAsia="Arial" w:hAnsi="Arial"/>
                <w:sz w:val="16"/>
                <w:szCs w:val="16"/>
                <w:color w:val="auto"/>
              </w:rPr>
              <w:t>6,227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16,782</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5,137</w:t>
            </w:r>
          </w:p>
        </w:tc>
      </w:tr>
      <w:tr>
        <w:trPr>
          <w:trHeight w:val="20"/>
        </w:trPr>
        <w:tc>
          <w:tcPr>
            <w:tcW w:w="5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763270</wp:posOffset>
            </wp:positionV>
            <wp:extent cx="69373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37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100"/>
        <w:spacing w:after="0" w:line="418" w:lineRule="auto"/>
        <w:rPr>
          <w:sz w:val="20"/>
          <w:szCs w:val="20"/>
          <w:color w:val="auto"/>
        </w:rPr>
      </w:pPr>
      <w:r>
        <w:rPr>
          <w:rFonts w:ascii="Arial" w:cs="Arial" w:eastAsia="Arial" w:hAnsi="Arial"/>
          <w:sz w:val="17"/>
          <w:szCs w:val="17"/>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condensed consolidated financial statements and related notes appearing elsewhere in this Quarterly Report on Form 10-Q. This discussion contains forward-looking statements reflecting our current expectations and involves risks and uncertainties. In some cases, you can identify forward-looking statements by terminology such as “may,” “will,” “should,” “expect,” “plan,” “anticipate,” “believe,” “estimate,” “predict,” “intend,” “potential” or “continue” or the negative of these terms or other comparable terminology. Such statements, include but are not limited to statements regarding: our expectations as to future financial performance, including expenses, liquidity sources and cash requirements; the capabilities, performance and competitive advantage of our technology and products and planned changes; timing of new product releases, and the anticipated market adoption of our current and future products; our expectations regarding demand for our products; our business strategies, including anticipated trends and operating conditions; growth of and development in markets we target, and our expansion into new and existing markets; our performance in operations, including factors affecting our supply chain; our product quality and customer service; our expectations regarding the macroeconomic environment, geopolitical developments that may impact our business operations, financial performance and the markets in which we, our suppliers, manufacturers and installers operate; and the importance of and anticipated benefits from government incentives for solar products, including through changes in the tax laws, rules and regulations. You should be aware that the forward-looking statements contained in this report are based on our current views and assumptions, and are subject to known and unknown risks, uncertainties and other factors that may cause actual events or results to differ materially. For a discussion identifying some of the important factors that could cause actual results to vary materially from those anticipated in the forward-looking statements, see below, those discussed in the section entitled “Risk Factors” herein and those included in our Annual Report on Form 10-K for the year ended December 31, 2023 filed on February 9, 2024 (the “Form 10-K”). Unless the context requires otherwise, references in this report to “Enphase,” “we,” “us” and “our” refer to Enphase Energy, Inc. and its consolidated subsidiaries.</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120"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We are a global energy technology company. We deliver smart, easy-to-use solutions that manage solar generation, storage and communication on one platform. Our intelligent microinverters work with virtually every solar panel made, and when paired with our smart technology, result in one of the industry’s best-performing clean energy systems. As of June 30, 2024, we have shipped approximately 76.3 million microinverters, and over 4.3 million Enphase residential and commercial systems have been deployed in more than 150 countries.</w:t>
      </w:r>
    </w:p>
    <w:p>
      <w:pPr>
        <w:spacing w:after="0" w:line="57" w:lineRule="exact"/>
        <w:rPr>
          <w:sz w:val="20"/>
          <w:szCs w:val="20"/>
          <w:color w:val="auto"/>
        </w:rPr>
      </w:pPr>
    </w:p>
    <w:p>
      <w:pPr>
        <w:jc w:val="both"/>
        <w:ind w:firstLine="470"/>
        <w:spacing w:after="0" w:line="248" w:lineRule="auto"/>
        <w:rPr>
          <w:sz w:val="20"/>
          <w:szCs w:val="20"/>
          <w:color w:val="auto"/>
        </w:rPr>
      </w:pPr>
      <w:r>
        <w:rPr>
          <w:rFonts w:ascii="Arial" w:cs="Arial" w:eastAsia="Arial" w:hAnsi="Arial"/>
          <w:sz w:val="17"/>
          <w:szCs w:val="17"/>
          <w:color w:val="auto"/>
        </w:rPr>
        <w:t>The Enphase</w:t>
      </w:r>
      <w:r>
        <w:rPr>
          <w:rFonts w:ascii="Arial" w:cs="Arial" w:eastAsia="Arial" w:hAnsi="Arial"/>
          <w:sz w:val="22"/>
          <w:szCs w:val="22"/>
          <w:i w:val="1"/>
          <w:iCs w:val="1"/>
          <w:color w:val="auto"/>
          <w:vertAlign w:val="superscript"/>
        </w:rPr>
        <w:t>®</w:t>
      </w:r>
      <w:r>
        <w:rPr>
          <w:rFonts w:ascii="Arial" w:cs="Arial" w:eastAsia="Arial" w:hAnsi="Arial"/>
          <w:sz w:val="17"/>
          <w:szCs w:val="17"/>
          <w:color w:val="auto"/>
        </w:rPr>
        <w:t xml:space="preserve"> Energy System™, powered by IQ</w:t>
      </w:r>
      <w:r>
        <w:rPr>
          <w:rFonts w:ascii="Arial" w:cs="Arial" w:eastAsia="Arial" w:hAnsi="Arial"/>
          <w:sz w:val="22"/>
          <w:szCs w:val="22"/>
          <w:i w:val="1"/>
          <w:iCs w:val="1"/>
          <w:color w:val="auto"/>
          <w:vertAlign w:val="superscript"/>
        </w:rPr>
        <w:t>®</w:t>
      </w:r>
      <w:r>
        <w:rPr>
          <w:rFonts w:ascii="Arial" w:cs="Arial" w:eastAsia="Arial" w:hAnsi="Arial"/>
          <w:sz w:val="17"/>
          <w:szCs w:val="17"/>
          <w:color w:val="auto"/>
        </w:rPr>
        <w:t xml:space="preserve"> Microinverters and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Batteries, our current generation integrated solar, storage and energy management offering, enables self-consumption and delivers our core value proposition of yielding more energy, simplifying design and installation and improving system uptime and reliability. The IQ family of microinverters, like all of our previous microinverters, is fully compliant with NEC 2014 and 2017 rapid shutdown requirements. Unlike string inverters, this capability is built-in, with no additional equipment necessary.</w:t>
      </w:r>
    </w:p>
    <w:p>
      <w:pPr>
        <w:spacing w:after="0" w:line="78" w:lineRule="exact"/>
        <w:rPr>
          <w:sz w:val="20"/>
          <w:szCs w:val="20"/>
          <w:color w:val="auto"/>
        </w:rPr>
      </w:pPr>
    </w:p>
    <w:p>
      <w:pPr>
        <w:jc w:val="both"/>
        <w:ind w:firstLine="470"/>
        <w:spacing w:after="0" w:line="243" w:lineRule="auto"/>
        <w:rPr>
          <w:sz w:val="20"/>
          <w:szCs w:val="20"/>
          <w:color w:val="auto"/>
        </w:rPr>
      </w:pPr>
      <w:r>
        <w:rPr>
          <w:rFonts w:ascii="Arial" w:cs="Arial" w:eastAsia="Arial" w:hAnsi="Arial"/>
          <w:sz w:val="17"/>
          <w:szCs w:val="17"/>
          <w:color w:val="auto"/>
        </w:rPr>
        <w:t>The Enphase Energy System brings a high technology, networked approach to solar generation plus energy storage, by leveraging our design expertise across power electronics, semiconductors and cloud-based software technologies. Our integrated approach to energy solutions maximizes a home’s energy potential while providing advanced monitoring and remote maintenance capabilities. The Enphase Energy System with IQ uses a single technology platform for seamless management of the whole solution, enabling rapid commissioning with the Enphase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Installer App and consumption monitoring with IQ</w:t>
      </w:r>
      <w:r>
        <w:rPr>
          <w:rFonts w:ascii="Arial" w:cs="Arial" w:eastAsia="Arial" w:hAnsi="Arial"/>
          <w:sz w:val="22"/>
          <w:szCs w:val="22"/>
          <w:i w:val="1"/>
          <w:iCs w:val="1"/>
          <w:color w:val="auto"/>
          <w:vertAlign w:val="superscript"/>
        </w:rPr>
        <w:t>®</w:t>
      </w:r>
      <w:r>
        <w:rPr>
          <w:rFonts w:ascii="Arial" w:cs="Arial" w:eastAsia="Arial" w:hAnsi="Arial"/>
          <w:sz w:val="17"/>
          <w:szCs w:val="17"/>
          <w:color w:val="auto"/>
        </w:rPr>
        <w:t xml:space="preserve"> Gateway with IQ</w:t>
      </w:r>
      <w:r>
        <w:rPr>
          <w:rFonts w:ascii="Arial" w:cs="Arial" w:eastAsia="Arial" w:hAnsi="Arial"/>
          <w:sz w:val="22"/>
          <w:szCs w:val="22"/>
          <w:i w:val="1"/>
          <w:iCs w:val="1"/>
          <w:color w:val="auto"/>
          <w:vertAlign w:val="superscript"/>
        </w:rPr>
        <w:t>®</w:t>
      </w:r>
      <w:r>
        <w:rPr>
          <w:rFonts w:ascii="Arial" w:cs="Arial" w:eastAsia="Arial" w:hAnsi="Arial"/>
          <w:sz w:val="17"/>
          <w:szCs w:val="17"/>
          <w:color w:val="auto"/>
        </w:rPr>
        <w:t xml:space="preserve"> Combiner+, Enphase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App, a cloud-based energy management platform, and our IQ Battery. System owners can use the Enphase App to monitor their home’s solar generation, energy storage and consumption from any web-enabled device. Unlike some of our competitors, who utilize a traditional inverter, or offer separate components of solutions, we have built-in system redundancy in both photovoltaic generation and energy storage, eliminating the risk that comes with a single point of failure. Further, the nature of our cloud-based, monitored system allows for remote firmware and software updates, enabling cost-effective remote maintenance and ongoing utility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631190</wp:posOffset>
            </wp:positionV>
            <wp:extent cx="69373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37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470"/>
        <w:spacing w:after="0" w:line="266" w:lineRule="auto"/>
        <w:rPr>
          <w:sz w:val="20"/>
          <w:szCs w:val="20"/>
          <w:color w:val="auto"/>
        </w:rPr>
      </w:pPr>
      <w:r>
        <w:rPr>
          <w:rFonts w:ascii="Arial" w:cs="Arial" w:eastAsia="Arial" w:hAnsi="Arial"/>
          <w:sz w:val="17"/>
          <w:szCs w:val="17"/>
          <w:color w:val="auto"/>
        </w:rPr>
        <w:t>We sell primarily to solar distributors who combine our products with others, including solar modules products and racking systems, and resell to installers in each target region. In addition to our solar distributors, we sell directly to select large installers, original equipment manufacturers (“OEMs”) and strategic partners. Our OEM customers include solar module manufacturers who integrate our microinverters with their solar module products and resell to both distributors and installers. Strategic partners include providers of solar financing solutions. We also sell certain products and services to homeowners primarily in support of our warranty services and legacy product upgrade programs via our online store.</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our Business and Operations</w:t>
      </w:r>
    </w:p>
    <w:p>
      <w:pPr>
        <w:spacing w:after="0" w:line="12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As we have a growing global footprint, we are subject to risk and exposure from the evolving macroeconomic environment, including the effects of increased global inflationary pressures, tariffs and interest rates, fluctuations in foreign currency exchange rates, potential economic slowdowns or recessions, geopolitical pressures and potential regulatory changes through future legislative action or by a new presidential administration, including the unknown impacts of current and future trade regulations. We continuously monitor the direct and indirect impacts of these circumstances on our business and financial results.</w:t>
      </w:r>
    </w:p>
    <w:p>
      <w:pPr>
        <w:spacing w:after="0" w:line="63" w:lineRule="exact"/>
        <w:rPr>
          <w:sz w:val="20"/>
          <w:szCs w:val="20"/>
          <w:color w:val="auto"/>
        </w:rPr>
      </w:pPr>
    </w:p>
    <w:p>
      <w:pPr>
        <w:jc w:val="both"/>
        <w:ind w:firstLine="470"/>
        <w:spacing w:after="0" w:line="265" w:lineRule="auto"/>
        <w:rPr>
          <w:sz w:val="20"/>
          <w:szCs w:val="20"/>
          <w:color w:val="auto"/>
        </w:rPr>
      </w:pPr>
      <w:r>
        <w:rPr>
          <w:rFonts w:ascii="Arial" w:cs="Arial" w:eastAsia="Arial" w:hAnsi="Arial"/>
          <w:sz w:val="17"/>
          <w:szCs w:val="17"/>
          <w:i w:val="1"/>
          <w:iCs w:val="1"/>
          <w:color w:val="auto"/>
        </w:rPr>
        <w:t xml:space="preserve">Demand for Products. </w:t>
      </w:r>
      <w:r>
        <w:rPr>
          <w:rFonts w:ascii="Arial" w:cs="Arial" w:eastAsia="Arial" w:hAnsi="Arial"/>
          <w:sz w:val="17"/>
          <w:szCs w:val="17"/>
          <w:color w:val="auto"/>
        </w:rPr>
        <w:t>The demand environment for our products experienced a broad-based slowdown beginning in the second quarter of</w:t>
      </w:r>
      <w:r>
        <w:rPr>
          <w:rFonts w:ascii="Arial" w:cs="Arial" w:eastAsia="Arial" w:hAnsi="Arial"/>
          <w:sz w:val="17"/>
          <w:szCs w:val="17"/>
          <w:i w:val="1"/>
          <w:iCs w:val="1"/>
          <w:color w:val="auto"/>
        </w:rPr>
        <w:t xml:space="preserve"> </w:t>
      </w:r>
      <w:r>
        <w:rPr>
          <w:rFonts w:ascii="Arial" w:cs="Arial" w:eastAsia="Arial" w:hAnsi="Arial"/>
          <w:sz w:val="17"/>
          <w:szCs w:val="17"/>
          <w:color w:val="auto"/>
        </w:rPr>
        <w:t>2023 in the United States and in the second half of 2023 in Europe that continued into the first half of 2024. This demand environment has negatively impacted several distributors and installers, resulting in reduced liquidity, bankruptcy and business closures, which has affected our revenue, days sales outstanding, and allowances for doubtful accounts. The slower demand environment also resulted in elevated inventory with distributors and installers in past quarters, and as a result we sold fewer microinverters to distributors and installers during the first half of 2024 compared to the first half of 2023 in response to this slower demand environment.</w:t>
      </w:r>
    </w:p>
    <w:p>
      <w:pPr>
        <w:spacing w:after="0" w:line="64" w:lineRule="exact"/>
        <w:rPr>
          <w:sz w:val="20"/>
          <w:szCs w:val="20"/>
          <w:color w:val="auto"/>
        </w:rPr>
      </w:pPr>
    </w:p>
    <w:p>
      <w:pPr>
        <w:jc w:val="both"/>
        <w:ind w:firstLine="470"/>
        <w:spacing w:after="0" w:line="262" w:lineRule="auto"/>
        <w:rPr>
          <w:sz w:val="20"/>
          <w:szCs w:val="20"/>
          <w:color w:val="auto"/>
        </w:rPr>
      </w:pPr>
      <w:r>
        <w:rPr>
          <w:rFonts w:ascii="Arial" w:cs="Arial" w:eastAsia="Arial" w:hAnsi="Arial"/>
          <w:sz w:val="17"/>
          <w:szCs w:val="17"/>
          <w:color w:val="auto"/>
        </w:rPr>
        <w:t>In the United States, this slowdown was primarily the result of higher interest rates and the transition from Net Energy Metering 2.0 (“NEM 2.0”) to Net Energy Metering 3.0 (“NEM 3.0”) in California, which has increased the payback period for our customers in California. In Europe, this slowdown was primarily the result of a decrease in purchases in the second half of 2023 after the initial surge of sales related to onset of the armed conflict in Ukraine in 2022, and overall channel inventory correction. In addition, there has been increased uncertainty in net energy metering policies and solar export penalties in a key European market. The phase out of net energy metering in that market was ultimately not approved but solar export penalties are still causing uncertainty among consumers. While we believe we have made the appropriate corrections to our channel inventory, some of the foregoing trends in the United States and Europe could continue to have an adverse effect on our results of operations in 2024.</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Products</w:t>
      </w:r>
    </w:p>
    <w:p>
      <w:pPr>
        <w:spacing w:after="0" w:line="120"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The Enphase Energy System, powered by IQ Microinverters, IQ Batteries and other products and services, is an integrated solar, storage and energy management offering that enables self-consumption and delivers our core value proposition of yielding more energy, simplifying design and installation, and improving system uptime and reliability.</w:t>
      </w:r>
    </w:p>
    <w:p>
      <w:pPr>
        <w:spacing w:after="0" w:line="55"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i w:val="1"/>
          <w:iCs w:val="1"/>
          <w:color w:val="auto"/>
        </w:rPr>
        <w:t xml:space="preserve">IQ Microinverters. </w:t>
      </w:r>
      <w:r>
        <w:rPr>
          <w:rFonts w:ascii="Arial" w:cs="Arial" w:eastAsia="Arial" w:hAnsi="Arial"/>
          <w:sz w:val="17"/>
          <w:szCs w:val="17"/>
          <w:color w:val="auto"/>
        </w:rPr>
        <w:t>We ship IQ8™ series microinverters into 43 countries worldwide. We are also shipping IQ8 Microinverters with peak</w:t>
      </w:r>
      <w:r>
        <w:rPr>
          <w:rFonts w:ascii="Arial" w:cs="Arial" w:eastAsia="Arial" w:hAnsi="Arial"/>
          <w:sz w:val="17"/>
          <w:szCs w:val="17"/>
          <w:i w:val="1"/>
          <w:iCs w:val="1"/>
          <w:color w:val="auto"/>
        </w:rPr>
        <w:t xml:space="preserve"> </w:t>
      </w:r>
      <w:r>
        <w:rPr>
          <w:rFonts w:ascii="Arial" w:cs="Arial" w:eastAsia="Arial" w:hAnsi="Arial"/>
          <w:sz w:val="17"/>
          <w:szCs w:val="17"/>
          <w:color w:val="auto"/>
        </w:rPr>
        <w:t>output power of 480 W AC for the small-commercial market in North America, and grid-tied applications in South Africa, Mexico, Brazil, India, Thailand, the Philippines, France, Spain, Columbia, Panama, Costa Rica, and nine Caribbean countries. The new IQ8 Microinverters are designed to maximize energy production and can manage a continuous DC current of 14 amperes, supporting higher powered solar modules through increased energy harvesting.</w:t>
      </w:r>
    </w:p>
    <w:p>
      <w:pPr>
        <w:spacing w:after="0" w:line="63"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Our new IQ8 Microinverter, the IQ8P-3P™ for the small commercial solar market in North America, enables a peak output power of up to 480 W, supporting small three-phase commercial applications and newer, high-powered solar panels.</w:t>
      </w:r>
    </w:p>
    <w:p>
      <w:pPr>
        <w:spacing w:after="0" w:line="37" w:lineRule="exact"/>
        <w:rPr>
          <w:sz w:val="20"/>
          <w:szCs w:val="20"/>
          <w:color w:val="auto"/>
        </w:rPr>
      </w:pPr>
    </w:p>
    <w:p>
      <w:pPr>
        <w:jc w:val="both"/>
        <w:ind w:firstLine="470"/>
        <w:spacing w:after="0" w:line="265" w:lineRule="auto"/>
        <w:rPr>
          <w:sz w:val="20"/>
          <w:szCs w:val="20"/>
          <w:color w:val="auto"/>
        </w:rPr>
      </w:pPr>
      <w:r>
        <w:rPr>
          <w:rFonts w:ascii="Arial" w:cs="Arial" w:eastAsia="Arial" w:hAnsi="Arial"/>
          <w:sz w:val="17"/>
          <w:szCs w:val="17"/>
          <w:i w:val="1"/>
          <w:iCs w:val="1"/>
          <w:color w:val="auto"/>
        </w:rPr>
        <w:t>IQ Batteries</w:t>
      </w:r>
      <w:r>
        <w:rPr>
          <w:rFonts w:ascii="Arial" w:cs="Arial" w:eastAsia="Arial" w:hAnsi="Arial"/>
          <w:sz w:val="17"/>
          <w:szCs w:val="17"/>
          <w:color w:val="auto"/>
        </w:rPr>
        <w:t>. Our Enphase IQ Battery storage systems, with usable and scalable capacity of 10.1 kWh and 3.4 kWh for the United States,</w:t>
      </w:r>
      <w:r>
        <w:rPr>
          <w:rFonts w:ascii="Arial" w:cs="Arial" w:eastAsia="Arial" w:hAnsi="Arial"/>
          <w:sz w:val="17"/>
          <w:szCs w:val="17"/>
          <w:i w:val="1"/>
          <w:iCs w:val="1"/>
          <w:color w:val="auto"/>
        </w:rPr>
        <w:t xml:space="preserve"> </w:t>
      </w:r>
      <w:r>
        <w:rPr>
          <w:rFonts w:ascii="Arial" w:cs="Arial" w:eastAsia="Arial" w:hAnsi="Arial"/>
          <w:sz w:val="17"/>
          <w:szCs w:val="17"/>
          <w:color w:val="auto"/>
        </w:rPr>
        <w:t>and 10.5 kWh and 3.5 kWh for Europe and other international countries, are based on our Ensemble OS™ energy system, which powers the world’s first grid-independent microinverter-based storage systems. We currently ship our Enphase IQ Battery storage systems to customers in the United States, Puerto Rico, Canada, Mexico, Australia, New Zealand, Belgium, Germany, the United Kingdom, Italy, Austria, France, the Netherlands, Switzerland, Spain, Portugal, Sweden, Denmark and Greece. Enphase IQ Batteries in Europe can be installed with both single-phase and three-phase third-party solar energy inverters, enabling homeowners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483235</wp:posOffset>
            </wp:positionV>
            <wp:extent cx="69373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37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upgrade their existing home solar systems with a residential battery storage solution that reduces costs while providing increased self-reliance.</w:t>
      </w:r>
    </w:p>
    <w:p>
      <w:pPr>
        <w:spacing w:after="0" w:line="114" w:lineRule="exact"/>
        <w:rPr>
          <w:sz w:val="20"/>
          <w:szCs w:val="20"/>
          <w:color w:val="auto"/>
        </w:rPr>
      </w:pPr>
    </w:p>
    <w:p>
      <w:pPr>
        <w:jc w:val="both"/>
        <w:ind w:firstLine="470"/>
        <w:spacing w:after="0" w:line="250" w:lineRule="auto"/>
        <w:rPr>
          <w:sz w:val="20"/>
          <w:szCs w:val="20"/>
          <w:color w:val="auto"/>
        </w:rPr>
      </w:pPr>
      <w:r>
        <w:rPr>
          <w:rFonts w:ascii="Arial" w:cs="Arial" w:eastAsia="Arial" w:hAnsi="Arial"/>
          <w:sz w:val="17"/>
          <w:szCs w:val="17"/>
          <w:color w:val="auto"/>
        </w:rPr>
        <w:t>Our latest Enphase Energy System, which features the new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Battery 5P and IQ8 Microinverters. The IQ Battery 5P is modular with 5 kWh capacity and the IQ8 Microinverters provide a peak output power of 384 W. The IQ Battery 5P is available for customers in Australia, New Zealand, the United States, Puerto Rico, Mexico, Canada, the United Kingdom, Italy, France, the Netherlands, and Luxembourg. The IQ Battery 5P is modular by design and is designed to deliver 3.84 kW continuous power and 7.68 kW peak power, which allows homeowners to start heavy loads like air conditioners easily during power outages.</w:t>
      </w:r>
    </w:p>
    <w:p>
      <w:pPr>
        <w:spacing w:after="0" w:line="76"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i w:val="1"/>
          <w:iCs w:val="1"/>
          <w:color w:val="auto"/>
        </w:rPr>
        <w:t xml:space="preserve">Electric Vehicle (“EV”) Chargers. </w:t>
      </w:r>
      <w:r>
        <w:rPr>
          <w:rFonts w:ascii="Arial" w:cs="Arial" w:eastAsia="Arial" w:hAnsi="Arial"/>
          <w:sz w:val="17"/>
          <w:szCs w:val="17"/>
          <w:color w:val="auto"/>
        </w:rPr>
        <w:t>Our EV chargers are compatible with most EVs sold in North America. Customers are able to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Enphase-branded EV chargers with a charging power range between 32 amperes and 64 amperes.</w:t>
      </w:r>
    </w:p>
    <w:p>
      <w:pPr>
        <w:spacing w:after="0" w:line="33" w:lineRule="exact"/>
        <w:rPr>
          <w:sz w:val="20"/>
          <w:szCs w:val="20"/>
          <w:color w:val="auto"/>
        </w:rPr>
      </w:pPr>
    </w:p>
    <w:p>
      <w:pPr>
        <w:jc w:val="both"/>
        <w:ind w:firstLine="470"/>
        <w:spacing w:after="0" w:line="244" w:lineRule="auto"/>
        <w:rPr>
          <w:sz w:val="20"/>
          <w:szCs w:val="20"/>
          <w:color w:val="auto"/>
        </w:rPr>
      </w:pPr>
      <w:r>
        <w:rPr>
          <w:rFonts w:ascii="Arial" w:cs="Arial" w:eastAsia="Arial" w:hAnsi="Arial"/>
          <w:sz w:val="17"/>
          <w:szCs w:val="17"/>
          <w:color w:val="auto"/>
        </w:rPr>
        <w:t>Our smart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EV Chargers sold in the United States and Canada are Wi-Fi-equipped and include smart control and monitoring capabilities. The IQ EV Charger is designed to seamlessly integrate into our solar and battery system to help homeowners maximize electricity cost savings by charging directly from solar energy.</w:t>
      </w:r>
    </w:p>
    <w:p>
      <w:pPr>
        <w:spacing w:after="0" w:line="81"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The new CS-100 EV Charger, our most powerful EV charger to date providing up to 19.2 kW of continuous power, is available for customers with commercial fleet EVs in the United States.</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Revenues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9"/>
              </w:rPr>
              <w:t>Three Months Ended</w:t>
            </w:r>
          </w:p>
        </w:tc>
        <w:tc>
          <w:tcPr>
            <w:tcW w:w="240" w:type="dxa"/>
            <w:vAlign w:val="bottom"/>
          </w:tcPr>
          <w:p>
            <w:pPr>
              <w:spacing w:after="0"/>
              <w:rPr>
                <w:sz w:val="14"/>
                <w:szCs w:val="14"/>
                <w:color w:val="auto"/>
              </w:rPr>
            </w:pPr>
          </w:p>
        </w:tc>
        <w:tc>
          <w:tcPr>
            <w:tcW w:w="126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Change in</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8"/>
              </w:rPr>
              <w:t>Six Months Ended</w:t>
            </w:r>
          </w:p>
        </w:tc>
        <w:tc>
          <w:tcPr>
            <w:tcW w:w="240" w:type="dxa"/>
            <w:vAlign w:val="bottom"/>
          </w:tcPr>
          <w:p>
            <w:pPr>
              <w:spacing w:after="0"/>
              <w:rPr>
                <w:sz w:val="14"/>
                <w:szCs w:val="14"/>
                <w:color w:val="auto"/>
              </w:rPr>
            </w:pPr>
          </w:p>
        </w:tc>
        <w:tc>
          <w:tcPr>
            <w:tcW w:w="126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Change in</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left="488"/>
              <w:spacing w:after="0"/>
              <w:rPr>
                <w:sz w:val="20"/>
                <w:szCs w:val="20"/>
                <w:color w:val="auto"/>
              </w:rPr>
            </w:pPr>
            <w:r>
              <w:rPr>
                <w:rFonts w:ascii="Arial" w:cs="Arial" w:eastAsia="Arial" w:hAnsi="Arial"/>
                <w:sz w:val="14"/>
                <w:szCs w:val="14"/>
                <w:b w:val="1"/>
                <w:bCs w:val="1"/>
                <w:color w:val="auto"/>
                <w:w w:val="99"/>
              </w:rPr>
              <w:t>June 30,</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left="528"/>
              <w:spacing w:after="0"/>
              <w:rPr>
                <w:sz w:val="20"/>
                <w:szCs w:val="20"/>
                <w:color w:val="auto"/>
              </w:rPr>
            </w:pPr>
            <w:r>
              <w:rPr>
                <w:rFonts w:ascii="Arial" w:cs="Arial" w:eastAsia="Arial" w:hAnsi="Arial"/>
                <w:sz w:val="14"/>
                <w:szCs w:val="14"/>
                <w:b w:val="1"/>
                <w:bCs w:val="1"/>
                <w:color w:val="auto"/>
                <w:w w:val="99"/>
              </w:rPr>
              <w:t>June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07"/>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32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2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6"/>
          </w:tcPr>
          <w:p>
            <w:pPr>
              <w:ind w:left="60"/>
              <w:spacing w:after="0"/>
              <w:rPr>
                <w:sz w:val="20"/>
                <w:szCs w:val="20"/>
                <w:color w:val="auto"/>
              </w:rPr>
            </w:pPr>
            <w:r>
              <w:rPr>
                <w:rFonts w:ascii="Arial" w:cs="Arial" w:eastAsia="Arial" w:hAnsi="Arial"/>
                <w:sz w:val="12"/>
                <w:szCs w:val="12"/>
                <w:i w:val="1"/>
                <w:iCs w:val="1"/>
                <w:color w:val="auto"/>
              </w:rPr>
              <w:t>(In thousands, except percentages)</w:t>
            </w: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303,458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711,118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(407,660)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(57)%  $</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566,797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ind w:left="80"/>
              <w:spacing w:after="0"/>
              <w:rPr>
                <w:sz w:val="20"/>
                <w:szCs w:val="20"/>
                <w:color w:val="auto"/>
              </w:rPr>
            </w:pPr>
            <w:r>
              <w:rPr>
                <w:rFonts w:ascii="Arial" w:cs="Arial" w:eastAsia="Arial" w:hAnsi="Arial"/>
                <w:sz w:val="16"/>
                <w:szCs w:val="16"/>
                <w:color w:val="auto"/>
              </w:rPr>
              <w:t>1,437,134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(870,337)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Three months ended June 30, 2024 and 2023</w:t>
      </w:r>
    </w:p>
    <w:p>
      <w:pPr>
        <w:spacing w:after="0" w:line="118"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Net revenues decreased by $407.7 million, or 57%, in the three months ended June 30, 2024, as compared to the same period in 2023, driven primarily by a 73% decrease in microinverter units shipped, partially offset by an increase in average selling price (“ASP”) for our microinverters as we sold more IQ8 microinverters relative to IQ7™ microinverters. During the three months ended June 30, 2024, we sold approximately 1.4 million microinverter units as compared to approximately 5.2 million microinverter units in the three months ended June 30, 2023. The decrease in total net revenues was partially also offset by a 46% increase in IQ Batteries Megawatt-hours (“MWh”) shipped. During the three months ended June 30, 2024, we shipped 120.2 MWh of IQ Batteries as compared to 82.3 MWh shipped in the three months ended June 30, 2023.</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Six months ended June 30, 2024 and 2023</w:t>
      </w:r>
    </w:p>
    <w:p>
      <w:pPr>
        <w:spacing w:after="0" w:line="118" w:lineRule="exact"/>
        <w:rPr>
          <w:sz w:val="20"/>
          <w:szCs w:val="20"/>
          <w:color w:val="auto"/>
        </w:rPr>
      </w:pPr>
    </w:p>
    <w:p>
      <w:pPr>
        <w:jc w:val="both"/>
        <w:ind w:firstLine="470"/>
        <w:spacing w:after="0" w:line="265" w:lineRule="auto"/>
        <w:rPr>
          <w:sz w:val="20"/>
          <w:szCs w:val="20"/>
          <w:color w:val="auto"/>
        </w:rPr>
      </w:pPr>
      <w:r>
        <w:rPr>
          <w:rFonts w:ascii="Arial" w:cs="Arial" w:eastAsia="Arial" w:hAnsi="Arial"/>
          <w:sz w:val="17"/>
          <w:szCs w:val="17"/>
          <w:color w:val="auto"/>
        </w:rPr>
        <w:t>Net revenues decreased by $870.3 million, or 61%, in the six months ended June 30, 2024, as compared to the same period in 2023, driven primarily by a 72% decrease in microinverter units shipped, partially offset by an increase in ASP for our microinverters as we sold more IQ8 microinverters relative to IQ7™ microinverters. During the six months ended June 30, 2024, we sold approximately 2.8 million microinverter units as compared to approximately 10.0 million microinverter units in the six months ended June 30, 2023. The decrease in total net revenues was partially also offset by a 6% increase in IQ Batteries MWh shipped. During the six months ended June 30, 2024, we shipped 195.7 MWh of IQ Batteries as compared to 184.7 MWh shipped in the six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474345</wp:posOffset>
            </wp:positionV>
            <wp:extent cx="69373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37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470"/>
        <w:spacing w:after="0" w:line="262" w:lineRule="auto"/>
        <w:rPr>
          <w:sz w:val="20"/>
          <w:szCs w:val="20"/>
          <w:color w:val="auto"/>
        </w:rPr>
      </w:pPr>
      <w:r>
        <w:rPr>
          <w:rFonts w:ascii="Arial" w:cs="Arial" w:eastAsia="Arial" w:hAnsi="Arial"/>
          <w:sz w:val="17"/>
          <w:szCs w:val="17"/>
          <w:color w:val="auto"/>
        </w:rPr>
        <w:t>The overall decrease in net revenues during both the three and six months ended June 30, 2024 as compared to the same periods in 2023 was due to a broad-based slowdown that began in the second quarter of 2023 in the United States and the second half of 2023 in Europe that resulted in elevated inventory with distributors and installers, and as a result we sold fewer microinverters to distributors and installers during the first half of 2024, as compared to the same period in 2023. In the United States, this slowdown was primarily the result of higher interest rates, high channel inventory and the transition from NEM 2.0 to NEM 3.0 in California. Higher interest rates resulted in larger monthly costs and longer pay-back periods for those customers who financed their systems. In Europe, this slowdown was primarily driven by a softer customer demand as utility rates dropped, policy changes were implemented, and the impacts of the Ukraine war were felt to be less impactful. This resulted in oversupply, financial stresses throughout the industry and the resulting channel inventory correction.</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Revenues and Gross Margin</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9"/>
              </w:rPr>
              <w:t>Three Months Ended</w:t>
            </w:r>
          </w:p>
        </w:tc>
        <w:tc>
          <w:tcPr>
            <w:tcW w:w="220" w:type="dxa"/>
            <w:vAlign w:val="bottom"/>
          </w:tcPr>
          <w:p>
            <w:pPr>
              <w:spacing w:after="0"/>
              <w:rPr>
                <w:sz w:val="14"/>
                <w:szCs w:val="14"/>
                <w:color w:val="auto"/>
              </w:rPr>
            </w:pPr>
          </w:p>
        </w:tc>
        <w:tc>
          <w:tcPr>
            <w:tcW w:w="122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Change in</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8"/>
              </w:rPr>
              <w:t>Six Months Ended</w:t>
            </w:r>
          </w:p>
        </w:tc>
        <w:tc>
          <w:tcPr>
            <w:tcW w:w="220" w:type="dxa"/>
            <w:vAlign w:val="bottom"/>
          </w:tcPr>
          <w:p>
            <w:pPr>
              <w:spacing w:after="0"/>
              <w:rPr>
                <w:sz w:val="14"/>
                <w:szCs w:val="14"/>
                <w:color w:val="auto"/>
              </w:rPr>
            </w:pPr>
          </w:p>
        </w:tc>
        <w:tc>
          <w:tcPr>
            <w:tcW w:w="120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Change in</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left="526"/>
              <w:spacing w:after="0"/>
              <w:rPr>
                <w:sz w:val="20"/>
                <w:szCs w:val="20"/>
                <w:color w:val="auto"/>
              </w:rPr>
            </w:pPr>
            <w:r>
              <w:rPr>
                <w:rFonts w:ascii="Arial" w:cs="Arial" w:eastAsia="Arial" w:hAnsi="Arial"/>
                <w:sz w:val="14"/>
                <w:szCs w:val="14"/>
                <w:b w:val="1"/>
                <w:bCs w:val="1"/>
                <w:color w:val="auto"/>
                <w:w w:val="99"/>
              </w:rPr>
              <w:t>June 30,</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left="526"/>
              <w:spacing w:after="0"/>
              <w:rPr>
                <w:sz w:val="20"/>
                <w:szCs w:val="20"/>
                <w:color w:val="auto"/>
              </w:rPr>
            </w:pPr>
            <w:r>
              <w:rPr>
                <w:rFonts w:ascii="Arial" w:cs="Arial" w:eastAsia="Arial" w:hAnsi="Arial"/>
                <w:sz w:val="14"/>
                <w:szCs w:val="14"/>
                <w:b w:val="1"/>
                <w:bCs w:val="1"/>
                <w:color w:val="auto"/>
                <w:w w:val="99"/>
              </w:rPr>
              <w:t>June 30,</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6"/>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2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6"/>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2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06"/>
        </w:trPr>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20" w:type="dxa"/>
            <w:vAlign w:val="bottom"/>
            <w:gridSpan w:val="7"/>
          </w:tcPr>
          <w:p>
            <w:pPr>
              <w:ind w:left="80"/>
              <w:spacing w:after="0"/>
              <w:rPr>
                <w:sz w:val="20"/>
                <w:szCs w:val="20"/>
                <w:color w:val="auto"/>
              </w:rPr>
            </w:pPr>
            <w:r>
              <w:rPr>
                <w:rFonts w:ascii="Arial" w:cs="Arial" w:eastAsia="Arial" w:hAnsi="Arial"/>
                <w:sz w:val="12"/>
                <w:szCs w:val="12"/>
                <w:i w:val="1"/>
                <w:iCs w:val="1"/>
                <w:color w:val="auto"/>
              </w:rPr>
              <w:t>(In thousands, except percentages)</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164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revenues</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166,292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387,776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(221,484)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(57)%  $</w:t>
            </w:r>
          </w:p>
        </w:tc>
        <w:tc>
          <w:tcPr>
            <w:tcW w:w="960" w:type="dxa"/>
            <w:vAlign w:val="bottom"/>
            <w:shd w:val="clear" w:color="auto" w:fill="CCEEFF"/>
          </w:tcPr>
          <w:p>
            <w:pPr>
              <w:jc w:val="right"/>
              <w:ind w:right="146"/>
              <w:spacing w:after="0"/>
              <w:rPr>
                <w:sz w:val="20"/>
                <w:szCs w:val="20"/>
                <w:color w:val="auto"/>
              </w:rPr>
            </w:pPr>
            <w:r>
              <w:rPr>
                <w:rFonts w:ascii="Arial" w:cs="Arial" w:eastAsia="Arial" w:hAnsi="Arial"/>
                <w:sz w:val="16"/>
                <w:szCs w:val="16"/>
                <w:color w:val="auto"/>
              </w:rPr>
              <w:t>314,123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787,421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(473,298)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8"/>
        </w:trPr>
        <w:tc>
          <w:tcPr>
            <w:tcW w:w="1640" w:type="dxa"/>
            <w:vAlign w:val="bottom"/>
          </w:tcPr>
          <w:p>
            <w:pPr>
              <w:spacing w:after="0"/>
              <w:rPr>
                <w:sz w:val="20"/>
                <w:szCs w:val="20"/>
                <w:color w:val="auto"/>
              </w:rPr>
            </w:pPr>
            <w:r>
              <w:rPr>
                <w:rFonts w:ascii="Arial" w:cs="Arial" w:eastAsia="Arial" w:hAnsi="Arial"/>
                <w:sz w:val="16"/>
                <w:szCs w:val="16"/>
                <w:color w:val="auto"/>
              </w:rPr>
              <w:t>Gross profit</w:t>
            </w:r>
          </w:p>
        </w:tc>
        <w:tc>
          <w:tcPr>
            <w:tcW w:w="280" w:type="dxa"/>
            <w:vAlign w:val="bottom"/>
          </w:tcPr>
          <w:p>
            <w:pPr>
              <w:spacing w:after="0"/>
              <w:rPr>
                <w:sz w:val="18"/>
                <w:szCs w:val="18"/>
                <w:color w:val="auto"/>
              </w:rPr>
            </w:pPr>
          </w:p>
        </w:tc>
        <w:tc>
          <w:tcPr>
            <w:tcW w:w="960" w:type="dxa"/>
            <w:vAlign w:val="bottom"/>
          </w:tcPr>
          <w:p>
            <w:pPr>
              <w:jc w:val="right"/>
              <w:ind w:right="126"/>
              <w:spacing w:after="0"/>
              <w:rPr>
                <w:sz w:val="20"/>
                <w:szCs w:val="20"/>
                <w:color w:val="auto"/>
              </w:rPr>
            </w:pPr>
            <w:r>
              <w:rPr>
                <w:rFonts w:ascii="Arial" w:cs="Arial" w:eastAsia="Arial" w:hAnsi="Arial"/>
                <w:sz w:val="16"/>
                <w:szCs w:val="16"/>
                <w:color w:val="auto"/>
              </w:rPr>
              <w:t>137,166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24"/>
              <w:spacing w:after="0"/>
              <w:rPr>
                <w:sz w:val="20"/>
                <w:szCs w:val="20"/>
                <w:color w:val="auto"/>
              </w:rPr>
            </w:pPr>
            <w:r>
              <w:rPr>
                <w:rFonts w:ascii="Arial" w:cs="Arial" w:eastAsia="Arial" w:hAnsi="Arial"/>
                <w:sz w:val="16"/>
                <w:szCs w:val="16"/>
                <w:color w:val="auto"/>
              </w:rPr>
              <w:t>323,342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(186,176)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ind w:left="160"/>
              <w:spacing w:after="0"/>
              <w:rPr>
                <w:sz w:val="20"/>
                <w:szCs w:val="20"/>
                <w:color w:val="auto"/>
              </w:rPr>
            </w:pPr>
            <w:r>
              <w:rPr>
                <w:rFonts w:ascii="Arial" w:cs="Arial" w:eastAsia="Arial" w:hAnsi="Arial"/>
                <w:sz w:val="16"/>
                <w:szCs w:val="16"/>
                <w:color w:val="auto"/>
                <w:w w:val="98"/>
              </w:rPr>
              <w:t>(58)%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46"/>
              <w:spacing w:after="0"/>
              <w:rPr>
                <w:sz w:val="20"/>
                <w:szCs w:val="20"/>
                <w:color w:val="auto"/>
              </w:rPr>
            </w:pPr>
            <w:r>
              <w:rPr>
                <w:rFonts w:ascii="Arial" w:cs="Arial" w:eastAsia="Arial" w:hAnsi="Arial"/>
                <w:sz w:val="16"/>
                <w:szCs w:val="16"/>
                <w:color w:val="auto"/>
              </w:rPr>
              <w:t>252,674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124"/>
              <w:spacing w:after="0"/>
              <w:rPr>
                <w:sz w:val="20"/>
                <w:szCs w:val="20"/>
                <w:color w:val="auto"/>
              </w:rPr>
            </w:pPr>
            <w:r>
              <w:rPr>
                <w:rFonts w:ascii="Arial" w:cs="Arial" w:eastAsia="Arial" w:hAnsi="Arial"/>
                <w:sz w:val="16"/>
                <w:szCs w:val="16"/>
                <w:color w:val="auto"/>
              </w:rPr>
              <w:t>649,713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(397,039)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0"/>
        </w:trPr>
        <w:tc>
          <w:tcPr>
            <w:tcW w:w="164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44.6 %</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Three months ended June 30, 2024 and 2023</w:t>
      </w:r>
    </w:p>
    <w:p>
      <w:pPr>
        <w:spacing w:after="0" w:line="11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Cost of revenues decreased by $221.5 million, or 57%, in the three months ended June 30, 2024, as compared to the same period in 2023, primarily due to the lower volume of microinverter units shipped, as well as from the benefit recognized from tax credits of $24.3 million under the Advanced Manufacturing Production Tax Credit (“AMPTC”) enacted under the Inflation Reduction Act of 2022 for U.S. manufactured microinverters shipped to customers in the three months ended June 30, 2024, partially offset by $5.9 million incremental cost for manufacturing in the U.S., thereby providing a net benefit of $18.4 million (“Net IRA benefit”).</w:t>
      </w:r>
    </w:p>
    <w:p>
      <w:pPr>
        <w:spacing w:after="0" w:line="63"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Gross margin decreased by 0.3 percentage points in the three months ended June 30, 2024, as compared to the same period in 2023. The decrease was primarily due to product mix and relatively higher fixed overhead costs, partially offset by recognition of 6.1 percentage point Net IRA benefit and an increase in ASP for microinverters in the three months ended June 30, 2024.</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Six months ended June 30, 2024 and 2023</w:t>
      </w:r>
    </w:p>
    <w:p>
      <w:pPr>
        <w:spacing w:after="0" w:line="118"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Cost of revenues decreased by $473.3 million, or 60%, in the six months ended June 30, 2024, as compared to the same period in 2023, primarily due to the lower volume of microinverter units, as well as from the benefit recognized from tax credits of $42.9 million under the AMPTC for U.S. manufactured microinverters shipped to customers during the six months ended June 30, 2024, partially offset by $10.8 million incremental cost for manufacturing in the U.S., thereby providing a Net IRA benefit of $32.1 million.</w:t>
      </w:r>
    </w:p>
    <w:p>
      <w:pPr>
        <w:spacing w:after="0" w:line="61"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Gross margin decreased by 0.6 percentage points in the six months ended June 30, 2024, as compared to the same period in 2023. The decrease was primarily due to product mix and relatively higher fixed overhead costs, partially offset by recognition of a 5.7 percentage point Net IRA benefit and an increase in ASP for microinverters in the six months ended June 30, 2024.</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9"/>
              </w:rPr>
              <w:t>Three Months Ended</w:t>
            </w:r>
          </w:p>
        </w:tc>
        <w:tc>
          <w:tcPr>
            <w:tcW w:w="280" w:type="dxa"/>
            <w:vAlign w:val="bottom"/>
          </w:tcPr>
          <w:p>
            <w:pPr>
              <w:spacing w:after="0"/>
              <w:rPr>
                <w:sz w:val="14"/>
                <w:szCs w:val="14"/>
                <w:color w:val="auto"/>
              </w:rPr>
            </w:pPr>
          </w:p>
        </w:tc>
        <w:tc>
          <w:tcPr>
            <w:tcW w:w="2140" w:type="dxa"/>
            <w:vAlign w:val="bottom"/>
            <w:gridSpan w:val="5"/>
            <w:vMerge w:val="restart"/>
          </w:tcPr>
          <w:p>
            <w:pPr>
              <w:jc w:val="right"/>
              <w:ind w:right="1060"/>
              <w:spacing w:after="0"/>
              <w:rPr>
                <w:sz w:val="20"/>
                <w:szCs w:val="20"/>
                <w:color w:val="auto"/>
              </w:rPr>
            </w:pPr>
            <w:r>
              <w:rPr>
                <w:rFonts w:ascii="Arial" w:cs="Arial" w:eastAsia="Arial" w:hAnsi="Arial"/>
                <w:sz w:val="14"/>
                <w:szCs w:val="14"/>
                <w:b w:val="1"/>
                <w:bCs w:val="1"/>
                <w:color w:val="auto"/>
              </w:rPr>
              <w:t>Change in</w:t>
            </w:r>
          </w:p>
        </w:tc>
        <w:tc>
          <w:tcPr>
            <w:tcW w:w="23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118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Change in</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3"/>
          </w:tcPr>
          <w:p>
            <w:pPr>
              <w:jc w:val="center"/>
              <w:ind w:left="527"/>
              <w:spacing w:after="0"/>
              <w:rPr>
                <w:sz w:val="20"/>
                <w:szCs w:val="20"/>
                <w:color w:val="auto"/>
              </w:rPr>
            </w:pPr>
            <w:r>
              <w:rPr>
                <w:rFonts w:ascii="Arial" w:cs="Arial" w:eastAsia="Arial" w:hAnsi="Arial"/>
                <w:sz w:val="14"/>
                <w:szCs w:val="14"/>
                <w:b w:val="1"/>
                <w:bCs w:val="1"/>
                <w:color w:val="auto"/>
                <w:w w:val="99"/>
              </w:rPr>
              <w:t>June 30,</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40" w:type="dxa"/>
            <w:vAlign w:val="bottom"/>
            <w:gridSpan w:val="5"/>
            <w:vMerge w:val="continue"/>
          </w:tcPr>
          <w:p>
            <w:pPr>
              <w:spacing w:after="0"/>
              <w:rPr>
                <w:sz w:val="15"/>
                <w:szCs w:val="15"/>
                <w:color w:val="auto"/>
              </w:rPr>
            </w:pPr>
          </w:p>
        </w:tc>
        <w:tc>
          <w:tcPr>
            <w:tcW w:w="1360" w:type="dxa"/>
            <w:vAlign w:val="bottom"/>
            <w:gridSpan w:val="3"/>
          </w:tcPr>
          <w:p>
            <w:pPr>
              <w:jc w:val="center"/>
              <w:ind w:left="527"/>
              <w:spacing w:after="0"/>
              <w:rPr>
                <w:sz w:val="20"/>
                <w:szCs w:val="20"/>
                <w:color w:val="auto"/>
              </w:rPr>
            </w:pPr>
            <w:r>
              <w:rPr>
                <w:rFonts w:ascii="Arial" w:cs="Arial" w:eastAsia="Arial" w:hAnsi="Arial"/>
                <w:sz w:val="14"/>
                <w:szCs w:val="14"/>
                <w:b w:val="1"/>
                <w:bCs w:val="1"/>
                <w:color w:val="auto"/>
                <w:w w:val="99"/>
              </w:rPr>
              <w:t>June 30,</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06"/>
        </w:trPr>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40" w:type="dxa"/>
            <w:vAlign w:val="bottom"/>
            <w:gridSpan w:val="6"/>
          </w:tcPr>
          <w:p>
            <w:pPr>
              <w:ind w:left="60"/>
              <w:spacing w:after="0"/>
              <w:rPr>
                <w:sz w:val="20"/>
                <w:szCs w:val="20"/>
                <w:color w:val="auto"/>
              </w:rPr>
            </w:pPr>
            <w:r>
              <w:rPr>
                <w:rFonts w:ascii="Arial" w:cs="Arial" w:eastAsia="Arial" w:hAnsi="Arial"/>
                <w:sz w:val="12"/>
                <w:szCs w:val="12"/>
                <w:i w:val="1"/>
                <w:iCs w:val="1"/>
                <w:color w:val="auto"/>
              </w:rPr>
              <w:t>(In thousands, except percentages)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80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rPr>
              <w:t>Research and</w:t>
            </w:r>
          </w:p>
        </w:tc>
        <w:tc>
          <w:tcPr>
            <w:tcW w:w="280" w:type="dxa"/>
            <w:vAlign w:val="bottom"/>
            <w:vMerge w:val="restart"/>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ind w:right="127"/>
              <w:spacing w:after="0"/>
              <w:rPr>
                <w:sz w:val="20"/>
                <w:szCs w:val="20"/>
                <w:color w:val="auto"/>
              </w:rPr>
            </w:pPr>
            <w:r>
              <w:rPr>
                <w:rFonts w:ascii="Arial" w:cs="Arial" w:eastAsia="Arial" w:hAnsi="Arial"/>
                <w:sz w:val="16"/>
                <w:szCs w:val="16"/>
                <w:color w:val="auto"/>
              </w:rPr>
              <w:t>48,871</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125"/>
              <w:spacing w:after="0"/>
              <w:rPr>
                <w:sz w:val="20"/>
                <w:szCs w:val="20"/>
                <w:color w:val="auto"/>
              </w:rPr>
            </w:pPr>
            <w:r>
              <w:rPr>
                <w:rFonts w:ascii="Arial" w:cs="Arial" w:eastAsia="Arial" w:hAnsi="Arial"/>
                <w:sz w:val="16"/>
                <w:szCs w:val="16"/>
                <w:color w:val="auto"/>
              </w:rPr>
              <w:t>60,043</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(11,172)</w:t>
            </w:r>
          </w:p>
        </w:tc>
        <w:tc>
          <w:tcPr>
            <w:tcW w:w="138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(19)%  $</w:t>
            </w:r>
          </w:p>
        </w:tc>
        <w:tc>
          <w:tcPr>
            <w:tcW w:w="960" w:type="dxa"/>
            <w:vAlign w:val="bottom"/>
            <w:vMerge w:val="restart"/>
            <w:shd w:val="clear" w:color="auto" w:fill="CCEEFF"/>
          </w:tcPr>
          <w:p>
            <w:pPr>
              <w:jc w:val="right"/>
              <w:ind w:right="127"/>
              <w:spacing w:after="0"/>
              <w:rPr>
                <w:sz w:val="20"/>
                <w:szCs w:val="20"/>
                <w:color w:val="auto"/>
              </w:rPr>
            </w:pPr>
            <w:r>
              <w:rPr>
                <w:rFonts w:ascii="Arial" w:cs="Arial" w:eastAsia="Arial" w:hAnsi="Arial"/>
                <w:sz w:val="16"/>
                <w:szCs w:val="16"/>
                <w:color w:val="auto"/>
              </w:rPr>
              <w:t>103,082</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ind w:right="125"/>
              <w:spacing w:after="0"/>
              <w:rPr>
                <w:sz w:val="20"/>
                <w:szCs w:val="20"/>
                <w:color w:val="auto"/>
              </w:rPr>
            </w:pPr>
            <w:r>
              <w:rPr>
                <w:rFonts w:ascii="Arial" w:cs="Arial" w:eastAsia="Arial" w:hAnsi="Arial"/>
                <w:sz w:val="16"/>
                <w:szCs w:val="16"/>
                <w:color w:val="auto"/>
              </w:rPr>
              <w:t>117,172</w:t>
            </w:r>
          </w:p>
        </w:tc>
        <w:tc>
          <w:tcPr>
            <w:tcW w:w="8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(14,090)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8"/>
        </w:trPr>
        <w:tc>
          <w:tcPr>
            <w:tcW w:w="1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development</w:t>
            </w:r>
          </w:p>
        </w:tc>
        <w:tc>
          <w:tcPr>
            <w:tcW w:w="28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380" w:type="dxa"/>
            <w:vAlign w:val="bottom"/>
            <w:gridSpan w:val="4"/>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800" w:type="dxa"/>
            <w:vAlign w:val="bottom"/>
          </w:tcPr>
          <w:p>
            <w:pPr>
              <w:ind w:left="20"/>
              <w:spacing w:after="0" w:line="158" w:lineRule="exact"/>
              <w:rPr>
                <w:sz w:val="20"/>
                <w:szCs w:val="20"/>
                <w:color w:val="auto"/>
              </w:rPr>
            </w:pPr>
            <w:r>
              <w:rPr>
                <w:rFonts w:ascii="Arial" w:cs="Arial" w:eastAsia="Arial" w:hAnsi="Arial"/>
                <w:sz w:val="16"/>
                <w:szCs w:val="16"/>
                <w:color w:val="auto"/>
              </w:rPr>
              <w:t>Percentage of net</w:t>
            </w:r>
          </w:p>
        </w:tc>
        <w:tc>
          <w:tcPr>
            <w:tcW w:w="2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8 %</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8 %</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800" w:type="dxa"/>
            <w:vAlign w:val="bottom"/>
          </w:tcPr>
          <w:p>
            <w:pPr>
              <w:ind w:left="20"/>
              <w:spacing w:after="0"/>
              <w:rPr>
                <w:sz w:val="20"/>
                <w:szCs w:val="20"/>
                <w:color w:val="auto"/>
              </w:rPr>
            </w:pPr>
            <w:r>
              <w:rPr>
                <w:rFonts w:ascii="Arial" w:cs="Arial" w:eastAsia="Arial" w:hAnsi="Arial"/>
                <w:sz w:val="16"/>
                <w:szCs w:val="16"/>
                <w:color w:val="auto"/>
              </w:rPr>
              <w:t>revenues</w:t>
            </w:r>
          </w:p>
        </w:tc>
        <w:tc>
          <w:tcPr>
            <w:tcW w:w="2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557530</wp:posOffset>
            </wp:positionV>
            <wp:extent cx="69373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37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Three months ended June 30, 2024 and 2023</w:t>
      </w:r>
    </w:p>
    <w:p>
      <w:pPr>
        <w:spacing w:after="0" w:line="11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Research and development expense decreased by $11.2 million, or 19%, in the three months ended June 30, 2024, as compared to the same period in 2023. The decrease was primarily due to actions implemented in connection with the 2023 Restructuring Plan (as defined below) that lowered personnel-related expenses by $7.6 million due to a reduction in headcount and equipment and professional services costs by $3.6 million. The amount of research and development expenses may fluctuate from period to period due to the differing levels and stages of development activity for our products.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Six months ended June 30, 2024 and 2023</w:t>
      </w:r>
    </w:p>
    <w:p>
      <w:pPr>
        <w:spacing w:after="0" w:line="118" w:lineRule="exact"/>
        <w:rPr>
          <w:sz w:val="20"/>
          <w:szCs w:val="20"/>
          <w:color w:val="auto"/>
        </w:rPr>
      </w:pPr>
    </w:p>
    <w:p>
      <w:pPr>
        <w:jc w:val="both"/>
        <w:ind w:firstLine="470"/>
        <w:spacing w:after="0" w:line="269" w:lineRule="auto"/>
        <w:rPr>
          <w:sz w:val="20"/>
          <w:szCs w:val="20"/>
          <w:color w:val="auto"/>
        </w:rPr>
      </w:pPr>
      <w:r>
        <w:rPr>
          <w:rFonts w:ascii="Arial" w:cs="Arial" w:eastAsia="Arial" w:hAnsi="Arial"/>
          <w:sz w:val="17"/>
          <w:szCs w:val="17"/>
          <w:color w:val="auto"/>
        </w:rPr>
        <w:t>Research and development expense decreased by $14.1 million, or 12% in the six months ended June 30, 2024, as compared to the same period in 2023. The decrease was primarily due to actions implemented in connection with the 2023 Restructuring Plan that lowered equipment and professional services costs by $7.6 million and personnel-related expenses by $6.5 million due to a reduction in headcount. The amount of research and development expenses may fluctuate from period to period due to the differing levels and stages of development activity for our products.</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and Marketing</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9"/>
              </w:rPr>
              <w:t>Three Months Ended</w:t>
            </w:r>
          </w:p>
        </w:tc>
        <w:tc>
          <w:tcPr>
            <w:tcW w:w="300" w:type="dxa"/>
            <w:vAlign w:val="bottom"/>
          </w:tcPr>
          <w:p>
            <w:pPr>
              <w:spacing w:after="0"/>
              <w:rPr>
                <w:sz w:val="14"/>
                <w:szCs w:val="14"/>
                <w:color w:val="auto"/>
              </w:rPr>
            </w:pPr>
          </w:p>
        </w:tc>
        <w:tc>
          <w:tcPr>
            <w:tcW w:w="114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Change in</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118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Change in</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left="527"/>
              <w:spacing w:after="0"/>
              <w:rPr>
                <w:sz w:val="20"/>
                <w:szCs w:val="20"/>
                <w:color w:val="auto"/>
              </w:rPr>
            </w:pPr>
            <w:r>
              <w:rPr>
                <w:rFonts w:ascii="Arial" w:cs="Arial" w:eastAsia="Arial" w:hAnsi="Arial"/>
                <w:sz w:val="14"/>
                <w:szCs w:val="14"/>
                <w:b w:val="1"/>
                <w:bCs w:val="1"/>
                <w:color w:val="auto"/>
                <w:w w:val="99"/>
              </w:rPr>
              <w:t>June 30,</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left="527"/>
              <w:spacing w:after="0"/>
              <w:rPr>
                <w:sz w:val="20"/>
                <w:szCs w:val="20"/>
                <w:color w:val="auto"/>
              </w:rPr>
            </w:pPr>
            <w:r>
              <w:rPr>
                <w:rFonts w:ascii="Arial" w:cs="Arial" w:eastAsia="Arial" w:hAnsi="Arial"/>
                <w:sz w:val="14"/>
                <w:szCs w:val="14"/>
                <w:b w:val="1"/>
                <w:bCs w:val="1"/>
                <w:color w:val="auto"/>
                <w:w w:val="99"/>
              </w:rPr>
              <w:t>June 30,</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7"/>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87"/>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7"/>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0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32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06"/>
        </w:trPr>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6"/>
          </w:tcPr>
          <w:p>
            <w:pPr>
              <w:ind w:left="20"/>
              <w:spacing w:after="0"/>
              <w:rPr>
                <w:sz w:val="20"/>
                <w:szCs w:val="20"/>
                <w:color w:val="auto"/>
              </w:rPr>
            </w:pPr>
            <w:r>
              <w:rPr>
                <w:rFonts w:ascii="Arial" w:cs="Arial" w:eastAsia="Arial" w:hAnsi="Arial"/>
                <w:sz w:val="12"/>
                <w:szCs w:val="12"/>
                <w:i w:val="1"/>
                <w:iCs w:val="1"/>
                <w:color w:val="auto"/>
              </w:rPr>
              <w:t>(In thousands, except percentages)</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Sales and marketing   $</w:t>
            </w:r>
          </w:p>
        </w:tc>
        <w:tc>
          <w:tcPr>
            <w:tcW w:w="960" w:type="dxa"/>
            <w:vAlign w:val="bottom"/>
            <w:shd w:val="clear" w:color="auto" w:fill="CCEEFF"/>
          </w:tcPr>
          <w:p>
            <w:pPr>
              <w:jc w:val="right"/>
              <w:ind w:right="127"/>
              <w:spacing w:after="0"/>
              <w:rPr>
                <w:sz w:val="20"/>
                <w:szCs w:val="20"/>
                <w:color w:val="auto"/>
              </w:rPr>
            </w:pPr>
            <w:r>
              <w:rPr>
                <w:rFonts w:ascii="Arial" w:cs="Arial" w:eastAsia="Arial" w:hAnsi="Arial"/>
                <w:sz w:val="16"/>
                <w:szCs w:val="16"/>
                <w:color w:val="auto"/>
              </w:rPr>
              <w:t>51,775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58,405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(11)%  $</w:t>
            </w:r>
          </w:p>
        </w:tc>
        <w:tc>
          <w:tcPr>
            <w:tcW w:w="960" w:type="dxa"/>
            <w:vAlign w:val="bottom"/>
            <w:shd w:val="clear" w:color="auto" w:fill="CCEEFF"/>
          </w:tcPr>
          <w:p>
            <w:pPr>
              <w:jc w:val="right"/>
              <w:ind w:right="127"/>
              <w:spacing w:after="0"/>
              <w:rPr>
                <w:sz w:val="20"/>
                <w:szCs w:val="20"/>
                <w:color w:val="auto"/>
              </w:rPr>
            </w:pPr>
            <w:r>
              <w:rPr>
                <w:rFonts w:ascii="Arial" w:cs="Arial" w:eastAsia="Arial" w:hAnsi="Arial"/>
                <w:sz w:val="16"/>
                <w:szCs w:val="16"/>
                <w:color w:val="auto"/>
              </w:rPr>
              <w:t>105,082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123,026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58"/>
        </w:trPr>
        <w:tc>
          <w:tcPr>
            <w:tcW w:w="1960" w:type="dxa"/>
            <w:vAlign w:val="bottom"/>
            <w:gridSpan w:val="2"/>
          </w:tcPr>
          <w:p>
            <w:pPr>
              <w:ind w:left="20"/>
              <w:spacing w:after="0" w:line="158" w:lineRule="exact"/>
              <w:rPr>
                <w:sz w:val="20"/>
                <w:szCs w:val="20"/>
                <w:color w:val="auto"/>
              </w:rPr>
            </w:pPr>
            <w:r>
              <w:rPr>
                <w:rFonts w:ascii="Arial" w:cs="Arial" w:eastAsia="Arial" w:hAnsi="Arial"/>
                <w:sz w:val="16"/>
                <w:szCs w:val="16"/>
                <w:color w:val="auto"/>
              </w:rPr>
              <w:t>Percentage of net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8 %</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960" w:type="dxa"/>
            <w:vAlign w:val="bottom"/>
            <w:gridSpan w:val="2"/>
          </w:tcPr>
          <w:p>
            <w:pPr>
              <w:ind w:left="20"/>
              <w:spacing w:after="0"/>
              <w:rPr>
                <w:sz w:val="20"/>
                <w:szCs w:val="20"/>
                <w:color w:val="auto"/>
              </w:rPr>
            </w:pPr>
            <w:r>
              <w:rPr>
                <w:rFonts w:ascii="Arial" w:cs="Arial" w:eastAsia="Arial" w:hAnsi="Arial"/>
                <w:sz w:val="16"/>
                <w:szCs w:val="16"/>
                <w:color w:val="auto"/>
              </w:rPr>
              <w:t>revenues</w:t>
            </w: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Three months ended June 30, 2024 and 2023</w:t>
      </w:r>
    </w:p>
    <w:p>
      <w:pPr>
        <w:spacing w:after="0" w:line="118"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Sales and marketing expense decreased by $6.6 million, or 11% in the three months ended June 30, 2024, as compared to the same period in 2023. The decrease was primarily due to actions implemented in connection with the 2023 Restructuring Plan that lowered professional services and advertising costs by $5.2 million and personnel-related expenses by $1.4 million due to a reduction in headcount.</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Six months ended June 30, 2024 and 2023</w:t>
      </w:r>
    </w:p>
    <w:p>
      <w:pPr>
        <w:spacing w:after="0" w:line="118"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Sales and marketing expense decreased by $17.9 million, or 15%, in the six months ended June 30, 2024, as compared to the same period in 2023. The decrease was primarily due to actions implemented in connection with the 2023 Restructuring Plan that lowered professional services and advertising costs by $9.8 million and personnel-related expenses by $8.1 million due to a reduction in headcount.</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9"/>
              </w:rPr>
              <w:t>Three Months Ended</w:t>
            </w:r>
          </w:p>
        </w:tc>
        <w:tc>
          <w:tcPr>
            <w:tcW w:w="280" w:type="dxa"/>
            <w:vAlign w:val="bottom"/>
          </w:tcPr>
          <w:p>
            <w:pPr>
              <w:spacing w:after="0"/>
              <w:rPr>
                <w:sz w:val="14"/>
                <w:szCs w:val="14"/>
                <w:color w:val="auto"/>
              </w:rPr>
            </w:pPr>
          </w:p>
        </w:tc>
        <w:tc>
          <w:tcPr>
            <w:tcW w:w="2100" w:type="dxa"/>
            <w:vAlign w:val="bottom"/>
            <w:gridSpan w:val="5"/>
            <w:vMerge w:val="restart"/>
          </w:tcPr>
          <w:p>
            <w:pPr>
              <w:jc w:val="right"/>
              <w:ind w:right="1040"/>
              <w:spacing w:after="0"/>
              <w:rPr>
                <w:sz w:val="20"/>
                <w:szCs w:val="20"/>
                <w:color w:val="auto"/>
              </w:rPr>
            </w:pPr>
            <w:r>
              <w:rPr>
                <w:rFonts w:ascii="Arial" w:cs="Arial" w:eastAsia="Arial" w:hAnsi="Arial"/>
                <w:sz w:val="14"/>
                <w:szCs w:val="14"/>
                <w:b w:val="1"/>
                <w:bCs w:val="1"/>
                <w:color w:val="auto"/>
              </w:rPr>
              <w:t>Change in</w:t>
            </w:r>
          </w:p>
        </w:tc>
        <w:tc>
          <w:tcPr>
            <w:tcW w:w="24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14"/>
                <w:szCs w:val="14"/>
                <w:color w:val="auto"/>
              </w:rPr>
            </w:pPr>
          </w:p>
        </w:tc>
        <w:tc>
          <w:tcPr>
            <w:tcW w:w="116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Change in</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3"/>
          </w:tcPr>
          <w:p>
            <w:pPr>
              <w:jc w:val="center"/>
              <w:ind w:left="547"/>
              <w:spacing w:after="0"/>
              <w:rPr>
                <w:sz w:val="20"/>
                <w:szCs w:val="20"/>
                <w:color w:val="auto"/>
              </w:rPr>
            </w:pPr>
            <w:r>
              <w:rPr>
                <w:rFonts w:ascii="Arial" w:cs="Arial" w:eastAsia="Arial" w:hAnsi="Arial"/>
                <w:sz w:val="14"/>
                <w:szCs w:val="14"/>
                <w:b w:val="1"/>
                <w:bCs w:val="1"/>
                <w:color w:val="auto"/>
                <w:w w:val="96"/>
              </w:rPr>
              <w:t>June 30,</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gridSpan w:val="5"/>
            <w:vMerge w:val="continue"/>
          </w:tcPr>
          <w:p>
            <w:pPr>
              <w:spacing w:after="0"/>
              <w:rPr>
                <w:sz w:val="15"/>
                <w:szCs w:val="15"/>
                <w:color w:val="auto"/>
              </w:rPr>
            </w:pPr>
          </w:p>
        </w:tc>
        <w:tc>
          <w:tcPr>
            <w:tcW w:w="1400" w:type="dxa"/>
            <w:vAlign w:val="bottom"/>
            <w:gridSpan w:val="3"/>
          </w:tcPr>
          <w:p>
            <w:pPr>
              <w:jc w:val="center"/>
              <w:ind w:left="527"/>
              <w:spacing w:after="0"/>
              <w:rPr>
                <w:sz w:val="20"/>
                <w:szCs w:val="20"/>
                <w:color w:val="auto"/>
              </w:rPr>
            </w:pPr>
            <w:r>
              <w:rPr>
                <w:rFonts w:ascii="Arial" w:cs="Arial" w:eastAsia="Arial" w:hAnsi="Arial"/>
                <w:sz w:val="14"/>
                <w:szCs w:val="14"/>
                <w:b w:val="1"/>
                <w:bCs w:val="1"/>
                <w:color w:val="auto"/>
                <w:w w:val="99"/>
              </w:rPr>
              <w:t>June 30,</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06"/>
        </w:trPr>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40" w:type="dxa"/>
            <w:vAlign w:val="bottom"/>
            <w:gridSpan w:val="6"/>
          </w:tcPr>
          <w:p>
            <w:pPr>
              <w:ind w:left="100"/>
              <w:spacing w:after="0"/>
              <w:rPr>
                <w:sz w:val="20"/>
                <w:szCs w:val="20"/>
                <w:color w:val="auto"/>
              </w:rPr>
            </w:pPr>
            <w:r>
              <w:rPr>
                <w:rFonts w:ascii="Arial" w:cs="Arial" w:eastAsia="Arial" w:hAnsi="Arial"/>
                <w:sz w:val="12"/>
                <w:szCs w:val="12"/>
                <w:i w:val="1"/>
                <w:iCs w:val="1"/>
                <w:color w:val="auto"/>
              </w:rPr>
              <w:t>(In thousands, except percentages)</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76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rPr>
              <w:t>General and</w:t>
            </w:r>
          </w:p>
        </w:tc>
        <w:tc>
          <w:tcPr>
            <w:tcW w:w="280" w:type="dxa"/>
            <w:vAlign w:val="bottom"/>
            <w:vMerge w:val="restart"/>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ind w:right="127"/>
              <w:spacing w:after="0"/>
              <w:rPr>
                <w:sz w:val="20"/>
                <w:szCs w:val="20"/>
                <w:color w:val="auto"/>
              </w:rPr>
            </w:pPr>
            <w:r>
              <w:rPr>
                <w:rFonts w:ascii="Arial" w:cs="Arial" w:eastAsia="Arial" w:hAnsi="Arial"/>
                <w:sz w:val="16"/>
                <w:szCs w:val="16"/>
                <w:color w:val="auto"/>
              </w:rPr>
              <w:t>33,550</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ind w:right="125"/>
              <w:spacing w:after="0"/>
              <w:rPr>
                <w:sz w:val="20"/>
                <w:szCs w:val="20"/>
                <w:color w:val="auto"/>
              </w:rPr>
            </w:pPr>
            <w:r>
              <w:rPr>
                <w:rFonts w:ascii="Arial" w:cs="Arial" w:eastAsia="Arial" w:hAnsi="Arial"/>
                <w:sz w:val="16"/>
                <w:szCs w:val="16"/>
                <w:color w:val="auto"/>
              </w:rPr>
              <w:t>34,397</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138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(2)%  $</w:t>
            </w:r>
          </w:p>
        </w:tc>
        <w:tc>
          <w:tcPr>
            <w:tcW w:w="960" w:type="dxa"/>
            <w:vAlign w:val="bottom"/>
            <w:vMerge w:val="restart"/>
            <w:shd w:val="clear" w:color="auto" w:fill="CCEEFF"/>
          </w:tcPr>
          <w:p>
            <w:pPr>
              <w:jc w:val="right"/>
              <w:ind w:right="127"/>
              <w:spacing w:after="0"/>
              <w:rPr>
                <w:sz w:val="20"/>
                <w:szCs w:val="20"/>
                <w:color w:val="auto"/>
              </w:rPr>
            </w:pPr>
            <w:r>
              <w:rPr>
                <w:rFonts w:ascii="Arial" w:cs="Arial" w:eastAsia="Arial" w:hAnsi="Arial"/>
                <w:sz w:val="16"/>
                <w:szCs w:val="16"/>
                <w:color w:val="auto"/>
              </w:rPr>
              <w:t>68,732</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ind w:right="125"/>
              <w:spacing w:after="0"/>
              <w:rPr>
                <w:sz w:val="20"/>
                <w:szCs w:val="20"/>
                <w:color w:val="auto"/>
              </w:rPr>
            </w:pPr>
            <w:r>
              <w:rPr>
                <w:rFonts w:ascii="Arial" w:cs="Arial" w:eastAsia="Arial" w:hAnsi="Arial"/>
                <w:sz w:val="16"/>
                <w:szCs w:val="16"/>
                <w:color w:val="auto"/>
              </w:rPr>
              <w:t>70,662</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(1,930)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8"/>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administrative</w:t>
            </w:r>
          </w:p>
        </w:tc>
        <w:tc>
          <w:tcPr>
            <w:tcW w:w="28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380" w:type="dxa"/>
            <w:vAlign w:val="bottom"/>
            <w:gridSpan w:val="4"/>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760" w:type="dxa"/>
            <w:vAlign w:val="bottom"/>
          </w:tcPr>
          <w:p>
            <w:pPr>
              <w:ind w:left="20"/>
              <w:spacing w:after="0" w:line="158" w:lineRule="exact"/>
              <w:rPr>
                <w:sz w:val="20"/>
                <w:szCs w:val="20"/>
                <w:color w:val="auto"/>
              </w:rPr>
            </w:pPr>
            <w:r>
              <w:rPr>
                <w:rFonts w:ascii="Arial" w:cs="Arial" w:eastAsia="Arial" w:hAnsi="Arial"/>
                <w:sz w:val="16"/>
                <w:szCs w:val="16"/>
                <w:color w:val="auto"/>
              </w:rPr>
              <w:t>Percentage of net</w:t>
            </w: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5 %</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5 %</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760" w:type="dxa"/>
            <w:vAlign w:val="bottom"/>
          </w:tcPr>
          <w:p>
            <w:pPr>
              <w:ind w:left="20"/>
              <w:spacing w:after="0"/>
              <w:rPr>
                <w:sz w:val="20"/>
                <w:szCs w:val="20"/>
                <w:color w:val="auto"/>
              </w:rPr>
            </w:pPr>
            <w:r>
              <w:rPr>
                <w:rFonts w:ascii="Arial" w:cs="Arial" w:eastAsia="Arial" w:hAnsi="Arial"/>
                <w:sz w:val="16"/>
                <w:szCs w:val="16"/>
                <w:color w:val="auto"/>
              </w:rPr>
              <w:t>revenues</w:t>
            </w: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Three months ended June 30, 2024 and 2023</w:t>
      </w:r>
    </w:p>
    <w:p>
      <w:pPr>
        <w:spacing w:after="0" w:line="118"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General and administrative expense decreased by $0.8 million, or 2%, in the three months ended June 30, 2024, as compared to the same period in 2023. The decrease was primarily due to actions implemented in connection with the 2023 Restructuring Plan that lowered personnel-related costs by $1.8 million due to a reduction in headcount, partially offset by a $1.0 million increase in facility and corporate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476885</wp:posOffset>
            </wp:positionV>
            <wp:extent cx="69373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37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Six months ended June 30, 2024 and 2023</w:t>
      </w:r>
    </w:p>
    <w:p>
      <w:pPr>
        <w:spacing w:after="0" w:line="118"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General and administrative expense decreased by $ 1.9 million, or 3%, in the six months ended June 30, 2024, as compared to the same period in 2023. The decrease was primarily due to actions implemented in connection with the 2023 Restructuring Plan that lowered personnel-related costs by $1.7 million due to a reduction in headcount and professional services by $0.8 million, partially offset by a $0.6 million increase in corporate expenses.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and Asset Impairment Charges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9"/>
              </w:rPr>
              <w:t>Three Months Ended</w:t>
            </w:r>
          </w:p>
        </w:tc>
        <w:tc>
          <w:tcPr>
            <w:tcW w:w="260" w:type="dxa"/>
            <w:vAlign w:val="bottom"/>
          </w:tcPr>
          <w:p>
            <w:pPr>
              <w:spacing w:after="0"/>
              <w:rPr>
                <w:sz w:val="14"/>
                <w:szCs w:val="14"/>
                <w:color w:val="auto"/>
              </w:rPr>
            </w:pPr>
          </w:p>
        </w:tc>
        <w:tc>
          <w:tcPr>
            <w:tcW w:w="208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rPr>
              <w:t>Change in</w:t>
            </w:r>
          </w:p>
        </w:tc>
        <w:tc>
          <w:tcPr>
            <w:tcW w:w="22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14"/>
                <w:szCs w:val="14"/>
                <w:color w:val="auto"/>
              </w:rPr>
            </w:pPr>
          </w:p>
        </w:tc>
        <w:tc>
          <w:tcPr>
            <w:tcW w:w="140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Change in</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3"/>
          </w:tcPr>
          <w:p>
            <w:pPr>
              <w:jc w:val="center"/>
              <w:ind w:left="507"/>
              <w:spacing w:after="0"/>
              <w:rPr>
                <w:sz w:val="20"/>
                <w:szCs w:val="20"/>
                <w:color w:val="auto"/>
              </w:rPr>
            </w:pPr>
            <w:r>
              <w:rPr>
                <w:rFonts w:ascii="Arial" w:cs="Arial" w:eastAsia="Arial" w:hAnsi="Arial"/>
                <w:sz w:val="14"/>
                <w:szCs w:val="14"/>
                <w:b w:val="1"/>
                <w:bCs w:val="1"/>
                <w:color w:val="auto"/>
                <w:w w:val="99"/>
              </w:rPr>
              <w:t>June 30,</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80" w:type="dxa"/>
            <w:vAlign w:val="bottom"/>
            <w:gridSpan w:val="5"/>
            <w:vMerge w:val="continue"/>
          </w:tcPr>
          <w:p>
            <w:pPr>
              <w:spacing w:after="0"/>
              <w:rPr>
                <w:sz w:val="15"/>
                <w:szCs w:val="15"/>
                <w:color w:val="auto"/>
              </w:rPr>
            </w:pPr>
          </w:p>
        </w:tc>
        <w:tc>
          <w:tcPr>
            <w:tcW w:w="1340" w:type="dxa"/>
            <w:vAlign w:val="bottom"/>
            <w:gridSpan w:val="3"/>
          </w:tcPr>
          <w:p>
            <w:pPr>
              <w:jc w:val="center"/>
              <w:ind w:left="487"/>
              <w:spacing w:after="0"/>
              <w:rPr>
                <w:sz w:val="20"/>
                <w:szCs w:val="20"/>
                <w:color w:val="auto"/>
              </w:rPr>
            </w:pPr>
            <w:r>
              <w:rPr>
                <w:rFonts w:ascii="Arial" w:cs="Arial" w:eastAsia="Arial" w:hAnsi="Arial"/>
                <w:sz w:val="14"/>
                <w:szCs w:val="14"/>
                <w:b w:val="1"/>
                <w:bCs w:val="1"/>
                <w:color w:val="auto"/>
                <w:w w:val="96"/>
              </w:rPr>
              <w:t>June 30,</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6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367"/>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67"/>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49"/>
        </w:trPr>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5"/>
          </w:tcPr>
          <w:p>
            <w:pPr>
              <w:ind w:left="160"/>
              <w:spacing w:after="0"/>
              <w:rPr>
                <w:sz w:val="20"/>
                <w:szCs w:val="20"/>
                <w:color w:val="auto"/>
              </w:rPr>
            </w:pPr>
            <w:r>
              <w:rPr>
                <w:rFonts w:ascii="Arial" w:cs="Arial" w:eastAsia="Arial" w:hAnsi="Arial"/>
                <w:sz w:val="12"/>
                <w:szCs w:val="12"/>
                <w:i w:val="1"/>
                <w:iCs w:val="1"/>
                <w:color w:val="auto"/>
              </w:rPr>
              <w:t>(In thousands, except percentages)</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72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w w:val="99"/>
              </w:rPr>
              <w:t>Restructuring and asset</w:t>
            </w:r>
          </w:p>
        </w:tc>
        <w:tc>
          <w:tcPr>
            <w:tcW w:w="280" w:type="dxa"/>
            <w:vAlign w:val="bottom"/>
            <w:vMerge w:val="restart"/>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ind w:right="127"/>
              <w:spacing w:after="0"/>
              <w:rPr>
                <w:sz w:val="20"/>
                <w:szCs w:val="20"/>
                <w:color w:val="auto"/>
              </w:rPr>
            </w:pPr>
            <w:r>
              <w:rPr>
                <w:rFonts w:ascii="Arial" w:cs="Arial" w:eastAsia="Arial" w:hAnsi="Arial"/>
                <w:sz w:val="16"/>
                <w:szCs w:val="16"/>
                <w:color w:val="auto"/>
              </w:rPr>
              <w:t>1,171</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ind w:right="125"/>
              <w:spacing w:after="0"/>
              <w:rPr>
                <w:sz w:val="20"/>
                <w:szCs w:val="20"/>
                <w:color w:val="auto"/>
              </w:rPr>
            </w:pPr>
            <w:r>
              <w:rPr>
                <w:rFonts w:ascii="Arial" w:cs="Arial" w:eastAsia="Arial" w:hAnsi="Arial"/>
                <w:sz w:val="16"/>
                <w:szCs w:val="16"/>
                <w:color w:val="auto"/>
              </w:rPr>
              <w:t>177</w:t>
            </w:r>
          </w:p>
        </w:tc>
        <w:tc>
          <w:tcPr>
            <w:tcW w:w="12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CCEEFF"/>
          </w:tcPr>
          <w:p>
            <w:pPr>
              <w:ind w:left="360"/>
              <w:spacing w:after="0"/>
              <w:rPr>
                <w:sz w:val="20"/>
                <w:szCs w:val="20"/>
                <w:color w:val="auto"/>
              </w:rPr>
            </w:pPr>
            <w:r>
              <w:rPr>
                <w:rFonts w:ascii="Arial" w:cs="Arial" w:eastAsia="Arial" w:hAnsi="Arial"/>
                <w:sz w:val="16"/>
                <w:szCs w:val="16"/>
                <w:color w:val="auto"/>
              </w:rPr>
              <w:t>994</w:t>
            </w:r>
          </w:p>
        </w:tc>
        <w:tc>
          <w:tcPr>
            <w:tcW w:w="100" w:type="dxa"/>
            <w:vAlign w:val="bottom"/>
            <w:shd w:val="clear" w:color="auto" w:fill="CCEEFF"/>
          </w:tcPr>
          <w:p>
            <w:pPr>
              <w:spacing w:after="0"/>
              <w:rPr>
                <w:sz w:val="13"/>
                <w:szCs w:val="13"/>
                <w:color w:val="auto"/>
              </w:rPr>
            </w:pPr>
          </w:p>
        </w:tc>
        <w:tc>
          <w:tcPr>
            <w:tcW w:w="12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562 %  $</w:t>
            </w:r>
          </w:p>
        </w:tc>
        <w:tc>
          <w:tcPr>
            <w:tcW w:w="920" w:type="dxa"/>
            <w:vAlign w:val="bottom"/>
            <w:vMerge w:val="restart"/>
            <w:shd w:val="clear" w:color="auto" w:fill="CCEEFF"/>
          </w:tcPr>
          <w:p>
            <w:pPr>
              <w:jc w:val="right"/>
              <w:ind w:right="127"/>
              <w:spacing w:after="0"/>
              <w:rPr>
                <w:sz w:val="20"/>
                <w:szCs w:val="20"/>
                <w:color w:val="auto"/>
              </w:rPr>
            </w:pPr>
            <w:r>
              <w:rPr>
                <w:rFonts w:ascii="Arial" w:cs="Arial" w:eastAsia="Arial" w:hAnsi="Arial"/>
                <w:sz w:val="16"/>
                <w:szCs w:val="16"/>
                <w:color w:val="auto"/>
              </w:rPr>
              <w:t>3,078</w:t>
            </w:r>
          </w:p>
        </w:tc>
        <w:tc>
          <w:tcPr>
            <w:tcW w:w="8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ind w:right="125"/>
              <w:spacing w:after="0"/>
              <w:rPr>
                <w:sz w:val="20"/>
                <w:szCs w:val="20"/>
                <w:color w:val="auto"/>
              </w:rPr>
            </w:pPr>
            <w:r>
              <w:rPr>
                <w:rFonts w:ascii="Arial" w:cs="Arial" w:eastAsia="Arial" w:hAnsi="Arial"/>
                <w:sz w:val="16"/>
                <w:szCs w:val="16"/>
                <w:color w:val="auto"/>
              </w:rPr>
              <w:t>870</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CEEFF"/>
          </w:tcPr>
          <w:p>
            <w:pPr>
              <w:jc w:val="right"/>
              <w:ind w:right="7"/>
              <w:spacing w:after="0"/>
              <w:rPr>
                <w:sz w:val="20"/>
                <w:szCs w:val="20"/>
                <w:color w:val="auto"/>
              </w:rPr>
            </w:pPr>
            <w:r>
              <w:rPr>
                <w:rFonts w:ascii="Arial" w:cs="Arial" w:eastAsia="Arial" w:hAnsi="Arial"/>
                <w:sz w:val="16"/>
                <w:szCs w:val="16"/>
                <w:color w:val="auto"/>
              </w:rPr>
              <w:t>2,208</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254 %</w:t>
            </w:r>
          </w:p>
        </w:tc>
        <w:tc>
          <w:tcPr>
            <w:tcW w:w="0" w:type="dxa"/>
            <w:vAlign w:val="bottom"/>
          </w:tcPr>
          <w:p>
            <w:pPr>
              <w:spacing w:after="0"/>
              <w:rPr>
                <w:sz w:val="1"/>
                <w:szCs w:val="1"/>
                <w:color w:val="auto"/>
              </w:rPr>
            </w:pPr>
          </w:p>
        </w:tc>
      </w:tr>
      <w:tr>
        <w:trPr>
          <w:trHeight w:val="208"/>
        </w:trPr>
        <w:tc>
          <w:tcPr>
            <w:tcW w:w="1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charges</w:t>
            </w:r>
          </w:p>
        </w:tc>
        <w:tc>
          <w:tcPr>
            <w:tcW w:w="28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720" w:type="dxa"/>
            <w:vAlign w:val="bottom"/>
          </w:tcPr>
          <w:p>
            <w:pPr>
              <w:ind w:left="20"/>
              <w:spacing w:after="0" w:line="158" w:lineRule="exact"/>
              <w:rPr>
                <w:sz w:val="20"/>
                <w:szCs w:val="20"/>
                <w:color w:val="auto"/>
              </w:rPr>
            </w:pPr>
            <w:r>
              <w:rPr>
                <w:rFonts w:ascii="Arial" w:cs="Arial" w:eastAsia="Arial" w:hAnsi="Arial"/>
                <w:sz w:val="16"/>
                <w:szCs w:val="16"/>
                <w:color w:val="auto"/>
              </w:rPr>
              <w:t>Percentage of net</w:t>
            </w:r>
          </w:p>
        </w:tc>
        <w:tc>
          <w:tcPr>
            <w:tcW w:w="2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0.5 %</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720" w:type="dxa"/>
            <w:vAlign w:val="bottom"/>
          </w:tcPr>
          <w:p>
            <w:pPr>
              <w:ind w:left="20"/>
              <w:spacing w:after="0"/>
              <w:rPr>
                <w:sz w:val="20"/>
                <w:szCs w:val="20"/>
                <w:color w:val="auto"/>
              </w:rPr>
            </w:pPr>
            <w:r>
              <w:rPr>
                <w:rFonts w:ascii="Arial" w:cs="Arial" w:eastAsia="Arial" w:hAnsi="Arial"/>
                <w:sz w:val="16"/>
                <w:szCs w:val="16"/>
                <w:color w:val="auto"/>
              </w:rPr>
              <w:t>revenues</w:t>
            </w:r>
          </w:p>
        </w:tc>
        <w:tc>
          <w:tcPr>
            <w:tcW w:w="2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Three months ended June 30, 2024 and 2023</w:t>
      </w:r>
    </w:p>
    <w:p>
      <w:pPr>
        <w:spacing w:after="0" w:line="118" w:lineRule="exact"/>
        <w:rPr>
          <w:sz w:val="20"/>
          <w:szCs w:val="20"/>
          <w:color w:val="auto"/>
        </w:rPr>
      </w:pPr>
    </w:p>
    <w:p>
      <w:pPr>
        <w:jc w:val="both"/>
        <w:ind w:firstLine="470"/>
        <w:spacing w:after="0" w:line="274" w:lineRule="auto"/>
        <w:rPr>
          <w:sz w:val="20"/>
          <w:szCs w:val="20"/>
          <w:color w:val="auto"/>
        </w:rPr>
      </w:pPr>
      <w:r>
        <w:rPr>
          <w:rFonts w:ascii="Arial" w:cs="Arial" w:eastAsia="Arial" w:hAnsi="Arial"/>
          <w:sz w:val="17"/>
          <w:szCs w:val="17"/>
          <w:color w:val="auto"/>
        </w:rPr>
        <w:t>Restructuring and asset impairment charges incurred in connection with the 2023 Restructuring Plan increased by $1.0 million, or 562%, in the three months ended June 30, 2024, as compared to the same period in 2023, as we implemented a new restructuring plan in the fourth quarter of 2023 to increase operational efficiencies, reduce operating costs, and to better align our workforce and cost structure (the “2023 Restructuring Plan”).</w:t>
      </w:r>
    </w:p>
    <w:p>
      <w:pPr>
        <w:spacing w:after="0" w:line="271"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Restructuring charges of $1.2 million in the three months ended June 30, 2024, primarily consisted of $0.9 million of employee related expenses, $0.3 million of contract termination charges and less than $0.1 million of asset impairment charges. Restructuring charges of $0.2 million in the three months ended June 30, 2023, primarily consisted of one-time termination benefits and other employee-related expenses.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Six months ended June 30, 2024 and 2023</w:t>
      </w:r>
    </w:p>
    <w:p>
      <w:pPr>
        <w:spacing w:after="0" w:line="118"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Restructuring charges of $3.1 million in the six months ended June 30, 2024, primarily consisted of $1.6 million of contract termination charges, $1.1 million of employee severance, one-time benefits and other employee related expenses, and $0.4 million of asset impairment charges. Restructuring charges of $0.9 million in the three months ended June 30, 2023, primarily consisted of one-time termination benefits and other employee-related expenses.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Net</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14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Change in</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4"/>
                <w:szCs w:val="14"/>
                <w:color w:val="auto"/>
              </w:rPr>
            </w:pPr>
          </w:p>
        </w:tc>
        <w:tc>
          <w:tcPr>
            <w:tcW w:w="114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Change in</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2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2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1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6"/>
          </w:tcPr>
          <w:p>
            <w:pPr>
              <w:ind w:left="60"/>
              <w:spacing w:after="0"/>
              <w:rPr>
                <w:sz w:val="20"/>
                <w:szCs w:val="20"/>
                <w:color w:val="auto"/>
              </w:rPr>
            </w:pPr>
            <w:r>
              <w:rPr>
                <w:rFonts w:ascii="Arial" w:cs="Arial" w:eastAsia="Arial" w:hAnsi="Arial"/>
                <w:sz w:val="12"/>
                <w:szCs w:val="12"/>
                <w:i w:val="1"/>
                <w:iCs w:val="1"/>
                <w:color w:val="auto"/>
              </w:rPr>
              <w:t>(In thousands, except percentages)</w:t>
            </w: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19,203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16,526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2,677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38,912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29,566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9,346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234"/>
        </w:trPr>
        <w:tc>
          <w:tcPr>
            <w:tcW w:w="1780" w:type="dxa"/>
            <w:vAlign w:val="bottom"/>
          </w:tcPr>
          <w:p>
            <w:pPr>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(4,416)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11"/>
        </w:trPr>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w w:val="99"/>
              </w:rPr>
              <w:t>Other income (expense),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rPr>
              <w:t>net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(7,566)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22,827 %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(2,003)%</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20"/>
                <w:szCs w:val="20"/>
                <w:color w:val="auto"/>
              </w:rPr>
            </w:pPr>
            <w:r>
              <w:rPr>
                <w:rFonts w:ascii="Arial" w:cs="Arial" w:eastAsia="Arial" w:hAnsi="Arial"/>
                <w:sz w:val="16"/>
                <w:szCs w:val="16"/>
                <w:color w:val="auto"/>
              </w:rPr>
              <w:t>Total other income, net</w:t>
            </w: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9,417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14,274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27,017</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25,584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1,433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Three months ended June 30, 2024 and 2023</w:t>
      </w:r>
    </w:p>
    <w:p>
      <w:pPr>
        <w:spacing w:after="0" w:line="118"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Interest income of $19.2 million increased in the three months ended June 30, 2024, as compared to $16.5 million for the three months ended June 30, 2023, primarily due to an increase in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457835</wp:posOffset>
            </wp:positionV>
            <wp:extent cx="69373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37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470"/>
        <w:spacing w:after="0" w:line="265" w:lineRule="auto"/>
        <w:rPr>
          <w:sz w:val="20"/>
          <w:szCs w:val="20"/>
          <w:color w:val="auto"/>
        </w:rPr>
      </w:pPr>
      <w:r>
        <w:rPr>
          <w:rFonts w:ascii="Arial" w:cs="Arial" w:eastAsia="Arial" w:hAnsi="Arial"/>
          <w:sz w:val="17"/>
          <w:szCs w:val="17"/>
          <w:color w:val="auto"/>
        </w:rPr>
        <w:t>Interest expense of $2.2 million in the three months ended June 30, 2024, primarily included $2.2 million for the coupon interest, debt discount amortization with our 0.25% convertible senior notes due 2025 (the “Notes due 2025”) and amortization of debt issuance costs with the Notes due 2025, our 0.0% convertible senior notes due 2026 (the “Notes due 2026”) and our 0.0% convertible senior notes due 2028 (the “Notes due 2028”). Interest expense of $2.2 million in the three months ended June 30, 2023, primarily related to coupon interest expense, debt discount amortization with the Notes due 2025 and amortization of debt issuance costs with our 4.0% convertible senior notes due 2023 (the “Notes due 2023”), Notes due 2025, Notes due 2026 and Notes due 2028.</w:t>
      </w:r>
    </w:p>
    <w:p>
      <w:pPr>
        <w:spacing w:after="0" w:line="64"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Other expense, net, of $7.6 million in the three months ended June 30, 2024, primarily related to $6.0 million impairment of investment in a private company, $1.9 million non-cash net loss related to change in the fair value of debt securities, $0.1 million in realized loss on investments, partially offset by $0.4 million net gain due to foreign currency denominated monetary assets and liabilities. Other expense, net of less than $0.1 million expense in the three months ended June 30, 2023 related to a $2.1 million net loss due to foreign currency denominated monetary assets and liabilities, partially offset by a $2.1 million non-cash net gain related to change in the fair value of debt securities and interest income.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Six months ended June 30, 2024 and 2023</w:t>
      </w:r>
    </w:p>
    <w:p>
      <w:pPr>
        <w:spacing w:after="0" w:line="118"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Interest income of $38.9 million increased in the six months ended June 30, 2024, as compared to $29.6 million for the six months ended June 30, 2023, primarily due to an increase in interest rates.</w:t>
      </w:r>
    </w:p>
    <w:p>
      <w:pPr>
        <w:spacing w:after="0" w:line="37"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Interest expense of $4.4 million in the six months ended June 30, 2024, primarily included $4.4 million for the coupon interest, debt discount amortization with the Notes due 2025 and amortization of debt issuance costs with the Notes due 2025, Notes due 2026 and Notes due 2028. Interest expense of $4.4 million in the six months ended June 30, 2023, primarily related to $4.4 million for coupon interest expense, debt discount amortization with the Notes due 2025, amortization of debt issuance costs with the Notes due 2023, Notes due 2025, Notes due 2026 and Notes due 2028.</w:t>
      </w:r>
    </w:p>
    <w:p>
      <w:pPr>
        <w:spacing w:after="0" w:line="6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Other income, net, of $ 7.5 million in the six months ended June 30, 2024, primarily related to $6.0 million impairment of investment in a private company, $1.0 million non-cash net loss related to change in the fair value of debt securities, and $0.5 million net loss due to foreign currency denominated monetary assets and liabilities. Other income, net, of $0.4 million in the six months ended June 30, 2023, primarily related to a $3.9 million non-cash net gain related to a change in the fair value of debt securities, partially offset by a $3.5 million net loss due to foreign currency denominated monetary assets and liabilities.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Provision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25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9"/>
              </w:rPr>
              <w:t>Three Months Ended</w:t>
            </w:r>
          </w:p>
        </w:tc>
        <w:tc>
          <w:tcPr>
            <w:tcW w:w="300" w:type="dxa"/>
            <w:vAlign w:val="bottom"/>
          </w:tcPr>
          <w:p>
            <w:pPr>
              <w:spacing w:after="0"/>
              <w:rPr>
                <w:sz w:val="14"/>
                <w:szCs w:val="14"/>
                <w:color w:val="auto"/>
              </w:rPr>
            </w:pPr>
          </w:p>
        </w:tc>
        <w:tc>
          <w:tcPr>
            <w:tcW w:w="120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Change in</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8"/>
              </w:rPr>
              <w:t>Six Months Ended</w:t>
            </w:r>
          </w:p>
        </w:tc>
        <w:tc>
          <w:tcPr>
            <w:tcW w:w="300" w:type="dxa"/>
            <w:vAlign w:val="bottom"/>
          </w:tcPr>
          <w:p>
            <w:pPr>
              <w:spacing w:after="0"/>
              <w:rPr>
                <w:sz w:val="14"/>
                <w:szCs w:val="14"/>
                <w:color w:val="auto"/>
              </w:rPr>
            </w:pPr>
          </w:p>
        </w:tc>
        <w:tc>
          <w:tcPr>
            <w:tcW w:w="120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Change in</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8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jc w:val="center"/>
              <w:ind w:left="6"/>
              <w:spacing w:after="0"/>
              <w:rPr>
                <w:sz w:val="20"/>
                <w:szCs w:val="20"/>
                <w:color w:val="auto"/>
              </w:rPr>
            </w:pPr>
            <w:r>
              <w:rPr>
                <w:rFonts w:ascii="Arial" w:cs="Arial" w:eastAsia="Arial" w:hAnsi="Arial"/>
                <w:sz w:val="14"/>
                <w:szCs w:val="14"/>
                <w:b w:val="1"/>
                <w:bCs w:val="1"/>
                <w:color w:val="auto"/>
                <w:w w:val="99"/>
              </w:rPr>
              <w:t>June 30,</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left="528"/>
              <w:spacing w:after="0"/>
              <w:rPr>
                <w:sz w:val="20"/>
                <w:szCs w:val="20"/>
                <w:color w:val="auto"/>
              </w:rPr>
            </w:pPr>
            <w:r>
              <w:rPr>
                <w:rFonts w:ascii="Arial" w:cs="Arial" w:eastAsia="Arial" w:hAnsi="Arial"/>
                <w:sz w:val="14"/>
                <w:szCs w:val="14"/>
                <w:b w:val="1"/>
                <w:bCs w:val="1"/>
                <w:color w:val="auto"/>
                <w:w w:val="99"/>
              </w:rPr>
              <w:t>June 30,</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2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2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1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6"/>
          </w:tcPr>
          <w:p>
            <w:pPr>
              <w:ind w:left="80"/>
              <w:spacing w:after="0"/>
              <w:rPr>
                <w:sz w:val="20"/>
                <w:szCs w:val="20"/>
                <w:color w:val="auto"/>
              </w:rPr>
            </w:pPr>
            <w:r>
              <w:rPr>
                <w:rFonts w:ascii="Arial" w:cs="Arial" w:eastAsia="Arial" w:hAnsi="Arial"/>
                <w:sz w:val="12"/>
                <w:szCs w:val="12"/>
                <w:i w:val="1"/>
                <w:iCs w:val="1"/>
                <w:color w:val="auto"/>
              </w:rPr>
              <w:t>(In thousands, except percentages)</w:t>
            </w: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760" w:type="dxa"/>
            <w:vAlign w:val="bottom"/>
            <w:shd w:val="clear" w:color="auto" w:fill="CCEEFF"/>
          </w:tcPr>
          <w:p>
            <w:pPr>
              <w:jc w:val="right"/>
              <w:ind w:right="567"/>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(383)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(27,403)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(99)%  $</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54,522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Three months ended June 30, 2024 and 2023</w:t>
      </w:r>
    </w:p>
    <w:p>
      <w:pPr>
        <w:spacing w:after="0" w:line="118" w:lineRule="exact"/>
        <w:rPr>
          <w:sz w:val="20"/>
          <w:szCs w:val="20"/>
          <w:color w:val="auto"/>
        </w:rPr>
      </w:pPr>
    </w:p>
    <w:p>
      <w:pPr>
        <w:jc w:val="both"/>
        <w:ind w:firstLine="470"/>
        <w:spacing w:after="0" w:line="274" w:lineRule="auto"/>
        <w:rPr>
          <w:sz w:val="20"/>
          <w:szCs w:val="20"/>
          <w:color w:val="auto"/>
        </w:rPr>
      </w:pPr>
      <w:r>
        <w:rPr>
          <w:rFonts w:ascii="Arial" w:cs="Arial" w:eastAsia="Arial" w:hAnsi="Arial"/>
          <w:sz w:val="17"/>
          <w:szCs w:val="17"/>
          <w:color w:val="auto"/>
        </w:rPr>
        <w:t>The income tax provision was $0.4 million in the three months ended June 30, 2024, as compared to an income tax provision of $27.4 million in the same period in 2023. The decrease was primarily due to lesser projected tax expense as our operations in U.S. and foreign jurisdictions were less profitable in 2024 as compared to 2023, partially offset by a discrete tax benefit from the impairment of an investment in a private company.</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Six months ended June 30, 2024 and 2023</w:t>
      </w:r>
    </w:p>
    <w:p>
      <w:pPr>
        <w:spacing w:after="0" w:line="118"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The income tax provision was $5.0 million in the six months ended June 30, 2024, as compared to an income tax provision of $59.5 million in the same period in 2023. The decrease was primarily due to tax expense from equity compensation shortfalls, offset by lesser projected tax expense as our operations in U.S. and foreign jurisdictions were less profitable in 2024 as compared to 2023, partially offset by a discrete tax benefit from the impairment of an investment in a private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481330</wp:posOffset>
            </wp:positionV>
            <wp:extent cx="69373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37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216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11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As of June 30, 2024, we had $1.7 billion in net working capital, including cash, cash equivalents and marketable securities of $1.6 billion, of which approximately $1.6 billion were held in the United States. Our cash, cash equivalents and marketable securities primarily consist of U.S. treasuries, money market mutual funds, corporate notes, commercial paper and bonds and both interest-bearing and non-interest-bearing deposits, with the remainder held in various foreign subsidiaries. We consider amounts held outside the United States to be accessible and have provided for the estimated income tax liability on the repatriation of our foreign earnings.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gridSpan w:val="3"/>
            <w:vMerge w:val="restart"/>
          </w:tcPr>
          <w:p>
            <w:pPr>
              <w:ind w:left="800"/>
              <w:spacing w:after="0"/>
              <w:rPr>
                <w:sz w:val="20"/>
                <w:szCs w:val="20"/>
                <w:color w:val="auto"/>
              </w:rPr>
            </w:pPr>
            <w:r>
              <w:rPr>
                <w:rFonts w:ascii="Arial" w:cs="Arial" w:eastAsia="Arial" w:hAnsi="Arial"/>
                <w:sz w:val="14"/>
                <w:szCs w:val="14"/>
                <w:b w:val="1"/>
                <w:bCs w:val="1"/>
                <w:color w:val="auto"/>
              </w:rPr>
              <w:t>Change in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vMerge w:val="continue"/>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7"/>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8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2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40" w:type="dxa"/>
            <w:vAlign w:val="bottom"/>
            <w:gridSpan w:val="6"/>
          </w:tcPr>
          <w:p>
            <w:pPr>
              <w:ind w:left="40"/>
              <w:spacing w:after="0"/>
              <w:rPr>
                <w:sz w:val="20"/>
                <w:szCs w:val="20"/>
                <w:color w:val="auto"/>
              </w:rPr>
            </w:pPr>
            <w:r>
              <w:rPr>
                <w:rFonts w:ascii="Arial" w:cs="Arial" w:eastAsia="Arial" w:hAnsi="Arial"/>
                <w:sz w:val="12"/>
                <w:szCs w:val="12"/>
                <w:i w:val="1"/>
                <w:iCs w:val="1"/>
                <w:color w:val="auto"/>
              </w:rPr>
              <w:t>(In thousands, except percentages)</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marketable securities</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1,646,404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1,800,492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(154,088)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7"/>
        </w:trPr>
        <w:tc>
          <w:tcPr>
            <w:tcW w:w="512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
              <w:spacing w:after="0"/>
              <w:rPr>
                <w:sz w:val="20"/>
                <w:szCs w:val="20"/>
                <w:color w:val="auto"/>
              </w:rPr>
            </w:pPr>
            <w:r>
              <w:rPr>
                <w:rFonts w:ascii="Arial" w:cs="Arial" w:eastAsia="Arial" w:hAnsi="Arial"/>
                <w:sz w:val="16"/>
                <w:szCs w:val="16"/>
                <w:color w:val="auto"/>
              </w:rPr>
              <w:t>1,298,024</w:t>
            </w:r>
          </w:p>
        </w:tc>
        <w:tc>
          <w:tcPr>
            <w:tcW w:w="100" w:type="dxa"/>
            <w:vAlign w:val="bottom"/>
          </w:tcPr>
          <w:p>
            <w:pPr>
              <w:spacing w:after="0"/>
              <w:rPr>
                <w:sz w:val="17"/>
                <w:szCs w:val="17"/>
                <w:color w:val="auto"/>
              </w:rPr>
            </w:pPr>
          </w:p>
        </w:tc>
        <w:tc>
          <w:tcPr>
            <w:tcW w:w="540" w:type="dxa"/>
            <w:vAlign w:val="bottom"/>
          </w:tcPr>
          <w:p>
            <w:pPr>
              <w:jc w:val="right"/>
              <w:ind w:right="36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1,294,497</w:t>
            </w:r>
          </w:p>
        </w:tc>
        <w:tc>
          <w:tcPr>
            <w:tcW w:w="100" w:type="dxa"/>
            <w:vAlign w:val="bottom"/>
          </w:tcPr>
          <w:p>
            <w:pPr>
              <w:spacing w:after="0"/>
              <w:rPr>
                <w:sz w:val="17"/>
                <w:szCs w:val="17"/>
                <w:color w:val="auto"/>
              </w:rPr>
            </w:pPr>
          </w:p>
        </w:tc>
        <w:tc>
          <w:tcPr>
            <w:tcW w:w="4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3,527</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Our cash, cash equivalents and marketable securities decreased by $154.1 million for the six months ended June 30, 2024, as compared to the same period in 2023, primarily due to repurchases of common stock pursuant to our share repurchase program and payments of withholding taxes related to net share settlement of equity awards, partially offset by cash generated from operations.</w:t>
      </w:r>
    </w:p>
    <w:p>
      <w:pPr>
        <w:spacing w:after="0" w:line="55"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Total carrying amount of debt increased by $3.5 million for the six months ended June 30, 2024, as compared to the same period in 2023, primarily due to accretion of debt discount and issuance costs.</w:t>
      </w:r>
    </w:p>
    <w:p>
      <w:pPr>
        <w:spacing w:after="0" w:line="37" w:lineRule="exact"/>
        <w:rPr>
          <w:sz w:val="20"/>
          <w:szCs w:val="20"/>
          <w:color w:val="auto"/>
        </w:rPr>
      </w:pPr>
    </w:p>
    <w:p>
      <w:pPr>
        <w:jc w:val="both"/>
        <w:ind w:firstLine="470"/>
        <w:spacing w:after="0" w:line="262" w:lineRule="auto"/>
        <w:rPr>
          <w:sz w:val="20"/>
          <w:szCs w:val="20"/>
          <w:color w:val="auto"/>
        </w:rPr>
      </w:pPr>
      <w:r>
        <w:rPr>
          <w:rFonts w:ascii="Arial" w:cs="Arial" w:eastAsia="Arial" w:hAnsi="Arial"/>
          <w:sz w:val="17"/>
          <w:szCs w:val="17"/>
          <w:color w:val="auto"/>
        </w:rPr>
        <w:t>We expect that our principal short-term (over the next 12 months) and long-term cash needs related to our operations will be to fund working capital, strategic investments, acquisitions, repurchases of common stock pursuant to our share repurchase program and payments of withholding taxes for net share settlement of equity awards, payments on our outstanding debt and the purchases of property and equipment. We plan to fund any cash requirements for the next 12 months and the longer term from our existing cash, cash equivalents and marketable securities on hand, and cash generated from operations. We anticipate that access to the debt market will be more limited compared to prior years as interest rates have increased and are expected to remain high. Our ability to obtain debt or any other additional financing that we may choose to, or need to, obtain will depend on, among other things, our development efforts, business plans, operating performance and the condition of the capital markets at the time we seek financing.</w:t>
      </w:r>
    </w:p>
    <w:p>
      <w:pPr>
        <w:spacing w:after="0" w:line="70" w:lineRule="exact"/>
        <w:rPr>
          <w:sz w:val="20"/>
          <w:szCs w:val="20"/>
          <w:color w:val="auto"/>
        </w:rPr>
      </w:pPr>
    </w:p>
    <w:p>
      <w:pPr>
        <w:jc w:val="both"/>
        <w:ind w:firstLine="470"/>
        <w:spacing w:after="0" w:line="265" w:lineRule="auto"/>
        <w:rPr>
          <w:sz w:val="20"/>
          <w:szCs w:val="20"/>
          <w:color w:val="auto"/>
        </w:rPr>
      </w:pPr>
      <w:r>
        <w:rPr>
          <w:rFonts w:ascii="Arial" w:cs="Arial" w:eastAsia="Arial" w:hAnsi="Arial"/>
          <w:sz w:val="17"/>
          <w:szCs w:val="17"/>
          <w:i w:val="1"/>
          <w:iCs w:val="1"/>
          <w:color w:val="auto"/>
        </w:rPr>
        <w:t>Repurchase of Common Stock</w:t>
      </w:r>
      <w:r>
        <w:rPr>
          <w:rFonts w:ascii="Arial" w:cs="Arial" w:eastAsia="Arial" w:hAnsi="Arial"/>
          <w:sz w:val="17"/>
          <w:szCs w:val="17"/>
          <w:color w:val="auto"/>
        </w:rPr>
        <w:t>. In July 2023, our board of directors authorized a share repurchase program (the “2023 Repurchase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pursuant to which we were authorized to repurchase up to $1.0 billion of our common stock. The repurchases could be funded from available working capital and could be executed from time to time, subject to general business and market conditions and other investment opportunities, through open market purchases or privately negotiated transactions, including through Rule 10b5-1 plans. The program may be discontinued or amended at any time and expires on July 26, 2026. During the three months ended June 30, 2024, we repurchased 891,896 shares, for an aggregate amount of $99.9 million.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following table summarizes our cash flows for the periods presented:</w:t>
      </w:r>
    </w:p>
    <w:p>
      <w:pPr>
        <w:spacing w:after="0" w:line="149"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Six Months Ended</w:t>
      </w:r>
    </w:p>
    <w:tbl>
      <w:tblPr>
        <w:tblLayout w:type="fixed"/>
        <w:tblInd w:w="0" w:type="dxa"/>
        <w:tblCellMar>
          <w:top w:w="0" w:type="dxa"/>
          <w:left w:w="0" w:type="dxa"/>
          <w:bottom w:w="0" w:type="dxa"/>
          <w:right w:w="0" w:type="dxa"/>
        </w:tblCellMar>
      </w:tblPr>
      <w:tr>
        <w:trPr>
          <w:trHeight w:val="178"/>
        </w:trPr>
        <w:tc>
          <w:tcPr>
            <w:tcW w:w="8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162"/>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5"/>
                <w:szCs w:val="15"/>
                <w:color w:val="auto"/>
              </w:rPr>
            </w:pPr>
          </w:p>
        </w:tc>
      </w:tr>
      <w:tr>
        <w:trPr>
          <w:trHeight w:val="189"/>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2023</w:t>
            </w:r>
          </w:p>
        </w:tc>
      </w:tr>
      <w:tr>
        <w:trPr>
          <w:trHeight w:val="224"/>
        </w:trPr>
        <w:tc>
          <w:tcPr>
            <w:tcW w:w="8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right"/>
              <w:ind w:right="2"/>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9"/>
                <w:szCs w:val="19"/>
                <w:color w:val="auto"/>
              </w:rPr>
            </w:pP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176,263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515,475</w:t>
            </w:r>
          </w:p>
        </w:tc>
      </w:tr>
      <w:tr>
        <w:trPr>
          <w:trHeight w:val="208"/>
        </w:trPr>
        <w:tc>
          <w:tcPr>
            <w:tcW w:w="82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(9,892)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(427,582)</w:t>
            </w:r>
          </w:p>
        </w:tc>
      </w:tr>
      <w:tr>
        <w:trPr>
          <w:trHeight w:val="21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(201,466)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(284,039)</w:t>
            </w:r>
          </w:p>
        </w:tc>
      </w:tr>
      <w:tr>
        <w:trPr>
          <w:trHeight w:val="20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(1,551)</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1,578</w:t>
            </w:r>
          </w:p>
        </w:tc>
      </w:tr>
      <w:tr>
        <w:trPr>
          <w:trHeight w:val="228"/>
        </w:trPr>
        <w:tc>
          <w:tcPr>
            <w:tcW w:w="8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decrease in cash and cash equivalents</w:t>
            </w: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(36,646)</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(194,568)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548005</wp:posOffset>
            </wp:positionV>
            <wp:extent cx="69373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37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216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Operating Activities</w:t>
      </w:r>
    </w:p>
    <w:p>
      <w:pPr>
        <w:spacing w:after="0" w:line="118"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Cash flows from operating activities consisted of our net income (loss) adjusted for certain non-cash reconciling items, such as stock-based compensation expense, non-cash interest expense, change in the fair value of debt securities, deferred income taxes, asset impairment, depreciation and amortization, and changes in our operating assets and liabilities. Net cash provided by operating activities decreased by $339.2 million for the six months ended June 30, 2024, as compared to the same period in 2023, primarily due to lower revenue.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Investing Activities</w:t>
      </w:r>
    </w:p>
    <w:p>
      <w:pPr>
        <w:spacing w:after="0" w:line="118" w:lineRule="exact"/>
        <w:rPr>
          <w:sz w:val="20"/>
          <w:szCs w:val="20"/>
          <w:color w:val="auto"/>
        </w:rPr>
      </w:pPr>
    </w:p>
    <w:p>
      <w:pPr>
        <w:jc w:val="both"/>
        <w:ind w:firstLine="470"/>
        <w:spacing w:after="0" w:line="274" w:lineRule="auto"/>
        <w:rPr>
          <w:sz w:val="20"/>
          <w:szCs w:val="20"/>
          <w:color w:val="auto"/>
        </w:rPr>
      </w:pPr>
      <w:r>
        <w:rPr>
          <w:rFonts w:ascii="Arial" w:cs="Arial" w:eastAsia="Arial" w:hAnsi="Arial"/>
          <w:sz w:val="17"/>
          <w:szCs w:val="17"/>
          <w:color w:val="auto"/>
        </w:rPr>
        <w:t>For the six months ended June 30, 2024, net cash used in investing activities of $9.9 million was primarily from the maturity and sale of $7.1 million of marketable securities, net of purchases, partially offset by $17.0 million used in purchases of test and assembly equipment for U.S. manufacturing, related facility improvements and information technology enhancements, including capitalized costs related to internal-use software.</w:t>
      </w:r>
    </w:p>
    <w:p>
      <w:pPr>
        <w:spacing w:after="0" w:line="271" w:lineRule="exact"/>
        <w:rPr>
          <w:sz w:val="20"/>
          <w:szCs w:val="20"/>
          <w:color w:val="auto"/>
        </w:rPr>
      </w:pPr>
    </w:p>
    <w:p>
      <w:pPr>
        <w:jc w:val="both"/>
        <w:ind w:firstLine="470"/>
        <w:spacing w:after="0" w:line="274" w:lineRule="auto"/>
        <w:rPr>
          <w:sz w:val="20"/>
          <w:szCs w:val="20"/>
          <w:color w:val="auto"/>
        </w:rPr>
      </w:pPr>
      <w:r>
        <w:rPr>
          <w:rFonts w:ascii="Arial" w:cs="Arial" w:eastAsia="Arial" w:hAnsi="Arial"/>
          <w:sz w:val="17"/>
          <w:szCs w:val="17"/>
          <w:color w:val="auto"/>
        </w:rPr>
        <w:t>For the six months ended June 30, 2023, net cash used in investing activities of $427.6 million was primarily from the maturity and sale of $361.1 million of marketable securities, net of purchases and $ 66.5 million used in purchases of test and assembly equipment to expand our supply capacity, related facility improvements and information technology enhancements, including capitalized costs related to internal-use software.</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Financing Activities</w:t>
      </w:r>
    </w:p>
    <w:p>
      <w:pPr>
        <w:spacing w:after="0" w:line="118"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For the six months ended June 30, 2024, net cash used in financing activities of approximately $201.5 million was primarily from $141.9 million used to repurchase our common stock under the 2023 Repurchase Program, payment of $67.5 million in employee withholding taxes related to net share settlement of equity awards, and less than $0.1 million from the partial settlement of the Notes due 2025, partially offset by $8.0 million net proceeds from employee stock option exercises and purchases under our employee stock purchase plan.</w:t>
      </w:r>
    </w:p>
    <w:p>
      <w:pPr>
        <w:spacing w:after="0" w:line="61"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For the six months ended June 30, 2023, net cash used in financing activities of approximately $284.0 million was primarily from $200.0 million paid to repurchase our common stock under the 2021 Repurchase Program, and the payment of $84.6 million in employee withholding taxes related to net share settlement of equity awards, partially offset by $0.6 million net proceeds from employee stock option exercises and purchases under our employee stock purchase plan.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20" w:lineRule="exact"/>
        <w:rPr>
          <w:sz w:val="20"/>
          <w:szCs w:val="20"/>
          <w:color w:val="auto"/>
        </w:rPr>
      </w:pPr>
    </w:p>
    <w:p>
      <w:pPr>
        <w:jc w:val="both"/>
        <w:ind w:firstLine="470"/>
        <w:spacing w:after="0" w:line="265" w:lineRule="auto"/>
        <w:rPr>
          <w:sz w:val="20"/>
          <w:szCs w:val="20"/>
          <w:color w:val="auto"/>
        </w:rPr>
      </w:pPr>
      <w:r>
        <w:rPr>
          <w:rFonts w:ascii="Arial" w:cs="Arial" w:eastAsia="Arial" w:hAnsi="Arial"/>
          <w:sz w:val="17"/>
          <w:szCs w:val="17"/>
          <w:color w:val="auto"/>
        </w:rPr>
        <w:t xml:space="preserve">Our contractual obligations primarily consist of the Notes due 2028, Notes due 2026 and Notes due 2025, obligations under operating leases and inventory component purchases. As of June 30, 2024, there have been no material changes from our disclosure in the Form 10-K, except that the Notes due 2025 mature in less than a year and are classified as Debt, current on the condensed consolidated balance sheet as of June 30, 2024. For more information on our future minimum operating leases and inventory component purchase obligations as of June 30, 2024, refer to </w:t>
      </w:r>
      <w:r>
        <w:rPr>
          <w:rFonts w:ascii="Arial" w:cs="Arial" w:eastAsia="Arial" w:hAnsi="Arial"/>
          <w:sz w:val="17"/>
          <w:szCs w:val="17"/>
          <w:color w:val="0000FF"/>
        </w:rPr>
        <w:t>Note 10</w:t>
      </w:r>
      <w:r>
        <w:rPr>
          <w:rFonts w:ascii="Arial" w:cs="Arial" w:eastAsia="Arial" w:hAnsi="Arial"/>
          <w:sz w:val="17"/>
          <w:szCs w:val="17"/>
          <w:color w:val="auto"/>
        </w:rPr>
        <w:t xml:space="preserve">, “Commitments and Contingencies - Purchase Obligations” and for more information on our notes and other related debt, refer to </w:t>
      </w:r>
      <w:r>
        <w:rPr>
          <w:rFonts w:ascii="Arial" w:cs="Arial" w:eastAsia="Arial" w:hAnsi="Arial"/>
          <w:sz w:val="17"/>
          <w:szCs w:val="17"/>
          <w:color w:val="0000FF"/>
        </w:rPr>
        <w:t>Note 9</w:t>
      </w:r>
      <w:r>
        <w:rPr>
          <w:rFonts w:ascii="Arial" w:cs="Arial" w:eastAsia="Arial" w:hAnsi="Arial"/>
          <w:sz w:val="17"/>
          <w:szCs w:val="17"/>
          <w:color w:val="000000"/>
        </w:rPr>
        <w:t>, “Debt” of the notes to condensed consolidated financial statements included in Part I, Item 1 of this Quarterly Report on Form 10-Q.</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120"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Our condensed consolidated financial statements are prepared in accordance with GAAP. In connection with the preparation of our condensed consolidated financial statements, we are required to make assumptions and estimates about future events and apply judgments that affect the reported amounts of assets, liabilities, revenue, expenses and related disclosures. We base our assumptions, estimates and judgments on historical experience, current trends and other factors that management believes to be relevant at the time our condensed consolidated financial statements are prepared. On a regular basis, we review the accounting policies, assumptions, estimates and judgments to ensure that our condensed consolidated financial statements are presented fairly and in accordance with GAAP. However, because future events and their effects cannot be determined with certainty, actual results could differ from our assumptions and estimates. To the extent that there are material differences between these estimates and actual results, our future financial statement presentation, financial condition, results of operations and cash flows will be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488950</wp:posOffset>
            </wp:positionV>
            <wp:extent cx="69373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37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We consider an accounting policy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condensed consolidated financial statements. There have been no changes to our critical accounting policies as described in our Form 10-K for the year ended December 31, 2023.</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Adoption of New and Recently Issued Accounting Pronouncements</w:t>
      </w:r>
    </w:p>
    <w:p>
      <w:pPr>
        <w:spacing w:after="0" w:line="118"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color w:val="0000FF"/>
        </w:rPr>
        <w:t>Note 1</w:t>
      </w:r>
      <w:r>
        <w:rPr>
          <w:rFonts w:ascii="Arial" w:cs="Arial" w:eastAsia="Arial" w:hAnsi="Arial"/>
          <w:sz w:val="17"/>
          <w:szCs w:val="17"/>
          <w:color w:val="auto"/>
        </w:rPr>
        <w:t>, “Description of Business and Basis of Presentation - Summary of Significant Accounting Policies” of the notes to condensed consolidated financial statements included in Part I, Item 1 of this Quarterly Report on Form 10-Q for a discussion of adoption of new accounting pronouncements.</w:t>
      </w:r>
    </w:p>
    <w:p>
      <w:pPr>
        <w:spacing w:after="0" w:line="158"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3.</w:t>
        <w:tab/>
        <w:t>Quantitative and Qualitative Disclosures About Market Risk</w:t>
      </w:r>
    </w:p>
    <w:p>
      <w:pPr>
        <w:spacing w:after="0" w:line="120"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There have been no material changes in our market risk compared to the disclosures in Part II, Item 7A, “Quantitative and Qualitative Disclosures About Market Risk” in the Form 10-K. Also see the section entitled “Risk Factors” in Part I, Item 1A in the Form 10-K.</w:t>
      </w:r>
    </w:p>
    <w:p>
      <w:pPr>
        <w:spacing w:after="0" w:line="140"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4.</w:t>
        <w:tab/>
        <w:t>Controls and Procedures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20"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June 30, 2024. The term “disclosure controls and procedures,” as defined in Rules 13a-15(e) and 15d-15(e) under the Securities Exchange Act of 1934, as amended (the “Exchange Act”) includes,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the evaluation of our disclosure controls and procedures as of June 30, 2024, our Chief Executive Officer and Chief Financial Officer concluded that, as of such date, our disclosure controls and procedures were effective.</w:t>
      </w:r>
    </w:p>
    <w:p>
      <w:pPr>
        <w:spacing w:after="0" w:line="69"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w:t>
      </w:r>
    </w:p>
    <w:p>
      <w:pPr>
        <w:spacing w:after="0" w:line="120"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7"/>
          <w:szCs w:val="17"/>
          <w:color w:val="auto"/>
        </w:rPr>
        <w:t>There were no changes in our internal control over financial reporting identified in management’s evaluation pursuant to Rules 13a-15(d) or 15d-15(d) of the Exchange Act during the period covered by this Quarterly Report on Form 10-Q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692785</wp:posOffset>
            </wp:positionV>
            <wp:extent cx="693737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37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80"/>
        <w:spacing w:after="0"/>
        <w:rPr>
          <w:sz w:val="20"/>
          <w:szCs w:val="20"/>
          <w:color w:val="auto"/>
        </w:rPr>
      </w:pPr>
      <w:r>
        <w:rPr>
          <w:rFonts w:ascii="Arial" w:cs="Arial" w:eastAsia="Arial" w:hAnsi="Arial"/>
          <w:sz w:val="17"/>
          <w:szCs w:val="17"/>
          <w:b w:val="1"/>
          <w:bCs w:val="1"/>
          <w:color w:val="auto"/>
        </w:rPr>
        <w:t>PART II. OTHER INFORMATION</w:t>
      </w:r>
    </w:p>
    <w:p>
      <w:pPr>
        <w:spacing w:after="0" w:line="223"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1.</w:t>
        <w:tab/>
        <w:t>Legal Proceedings</w:t>
      </w:r>
    </w:p>
    <w:p>
      <w:pPr>
        <w:spacing w:after="0" w:line="12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From time to time, we might be subject to various legal proceedings relating to claims arising out of our operations. The outcome of litigation is inherently uncertain. If one or more legal matters were resolved against us in a reporting period for amounts above management’s expectations, our business, results of operations, financial position and cash flows for that reporting period could be materially adversely affected. Except as described in this Item 1, we are not currently involved in any material legal proceedings, the ultimate disposition of which could have a material adverse effect on our operations, financial condition or cash flows.</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Class Action Suit and Derivative Lawsuits</w:t>
      </w:r>
    </w:p>
    <w:p>
      <w:pPr>
        <w:spacing w:after="0" w:line="118"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On May 29, 2024, a putative securities class action complaint was filed against us, our chief executive officer and our chief financial officer (collectively, the "Defendants") in the United States District Court for the Northern District of California, captioned Bialic v. Enphase Energy, Inc., Case No. 3:24-cv-03216-BLF (the “Bialic Action”), purportedly on behalf of a class of individuals who purchased or otherwise acquired our common stock between February 7, 2023 and April 25, 2023. On July 15, 2024 a second putative class action complaint was filed naming the same Defendants in the United States District Court for the Northern District of California, captioned Hayes v. Enphase Energy, Inc., Case No. 3:24-cv-04249 (together with the Bialic Action, the “Securities Class Action”), purportedly on behalf of a class of individuals who purchased or otherwise acquired our common stock between December 12, 2022 and April 25, 2023. Both complaints allege that Defendants made false and/or misleading statements in violation of Sections 10(b) and 20(a) of the Exchange Act. Both plaintiffs seek unspecified monetary damages and other relief. We expect the cases to be consolidated and a lead plaintiff to be appointed by the Court. We intend to defend the case vigorously.</w:t>
      </w:r>
    </w:p>
    <w:p>
      <w:pPr>
        <w:spacing w:after="0" w:line="282"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On July 16, 2024, a shareholder derivative lawsuit was filed purportedly on our behalf against the Defendants and our non-employee directors in the United States District Court for the Northern District of California, captioned Ibarra v. Kothandaraman, Case No. 3:24-cv-04278. The lawsuit asserts claims for breach of fiduciary duty, unjust enrichment, abuse of control, gross mismanagement, waste of corporate assets, and violations of Sections 14(a), 10(b) and 20(a) of the Exchange Act, and contribution under Sections 10(b) and 21D of the Exchange Act based on the purported dissemination of same allegedly false and misleading statements as in the Securities Class Action. The plaintiffs are seeking unspecified damages and other relief, including reforms and improvements to our corporate governance and internal procedures. We also intend to defend this case vigorously.</w:t>
      </w:r>
    </w:p>
    <w:p>
      <w:pPr>
        <w:spacing w:after="0" w:line="69"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Zola Electric International, Ltd. v. Enphase Energy, Inc.</w:t>
      </w:r>
    </w:p>
    <w:p>
      <w:pPr>
        <w:spacing w:after="0" w:line="11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On July 17, 2024, Zola Electric International, Ltd. (“Zola”) filed a complaint with the United States District Court for the Northern District of California against us, alleging breach of contract and breach of the covenant of good faith and fair dealing related to a joint development agreement and master supply agreement between Zola and us. Zola does not quantify any alleged damages in the complaint, but in addition to attorneys' fees and costs, seeks an order compelling specific performance of our contractual obligations, as well as damages in an amount to be proven at trial. We also intend to defend this case vigorously.</w:t>
      </w:r>
    </w:p>
    <w:p>
      <w:pPr>
        <w:spacing w:after="0" w:line="63"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The pending lawsuits and any other related lawsuits are subject to inherent uncertainties, and the actual defense and disposition costs will depend upon many unknown factors. The outcome of the pending lawsuits and any other related lawsuits are necessarily uncertain. We could be forced to expend significant resources in the defense of the pending lawsuits and any additional lawsuits, and we may not prevail. In addition, we may incur substantial legal fees and costs in connection with such lawsuits.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1991360</wp:posOffset>
            </wp:positionV>
            <wp:extent cx="69373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37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1A.</w:t>
        <w:tab/>
        <w:t>Risk Factors</w:t>
      </w:r>
    </w:p>
    <w:p>
      <w:pPr>
        <w:spacing w:after="0" w:line="120" w:lineRule="exact"/>
        <w:rPr>
          <w:sz w:val="20"/>
          <w:szCs w:val="20"/>
          <w:color w:val="auto"/>
        </w:rPr>
      </w:pPr>
    </w:p>
    <w:p>
      <w:pPr>
        <w:jc w:val="both"/>
        <w:ind w:firstLine="470"/>
        <w:spacing w:after="0" w:line="216" w:lineRule="exact"/>
        <w:rPr>
          <w:sz w:val="20"/>
          <w:szCs w:val="20"/>
          <w:color w:val="auto"/>
        </w:rPr>
      </w:pPr>
      <w:r>
        <w:rPr>
          <w:rFonts w:ascii="Arial" w:cs="Arial" w:eastAsia="Arial" w:hAnsi="Arial"/>
          <w:sz w:val="17"/>
          <w:szCs w:val="17"/>
          <w:color w:val="auto"/>
        </w:rPr>
        <w:t>Investing in our securities involves a high degree of risk. Before investing in our securities, you should consider carefully the information contained in this quarterly report and in the Form 10-K, including the risk factors identified in Part I, Item 1A, “Risk Factors” thereof. This quarterly report contains forward-looking statements that involve risks and uncertainties. See “Forward-Looking Statements” in “Management’s Discussion and Analysis of Financial Conditions and Results of Operations” above. Our actual results could differ materially from those contained in the forward-looking statements. Any of the risks discussed in the Form 10-K, in other reports we file with the SEC, and other risks we have not anticipated or discussed, could have a material adverse impact on our business, financial condition or results of operations. Except as set forth below, there has been no material change to our risk factors from those disclosed in Part I, Item 1A, “Risk Factors” in the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50" w:lineRule="exact"/>
        <w:rPr>
          <w:sz w:val="20"/>
          <w:szCs w:val="20"/>
          <w:color w:val="auto"/>
        </w:rPr>
      </w:pPr>
    </w:p>
    <w:p>
      <w:pPr>
        <w:jc w:val="both"/>
        <w:spacing w:after="0" w:line="292" w:lineRule="auto"/>
        <w:rPr>
          <w:sz w:val="20"/>
          <w:szCs w:val="20"/>
          <w:color w:val="auto"/>
        </w:rPr>
      </w:pPr>
      <w:r>
        <w:rPr>
          <w:rFonts w:ascii="Arial" w:cs="Arial" w:eastAsia="Arial" w:hAnsi="Arial"/>
          <w:sz w:val="17"/>
          <w:szCs w:val="17"/>
          <w:b w:val="1"/>
          <w:bCs w:val="1"/>
          <w:i w:val="1"/>
          <w:iCs w:val="1"/>
          <w:color w:val="auto"/>
        </w:rPr>
        <w:t>The loss of, or events affecting, any of our large customers could reduce our sales and have an adverse effect on our business, financial condition and results of operations.</w:t>
      </w:r>
    </w:p>
    <w:p>
      <w:pPr>
        <w:spacing w:after="0" w:line="34"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7"/>
          <w:szCs w:val="17"/>
          <w:color w:val="auto"/>
        </w:rPr>
        <w:t>We sell primarily to solar distributors who combine our products with others, including solar modules products and racking systems, and resell to installers in each target region. In addition to our solar distributors, we sell directly to select large installers, OEMs and strategic partners.</w:t>
      </w:r>
    </w:p>
    <w:p>
      <w:pPr>
        <w:spacing w:after="0" w:line="37"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Our customers’ decisions to purchase our products are influenced by a number of factors outside of our control, including, among others, retail energy prices, the macroeconomic environment, government regulation, incentives and liquidity constraints of solar installers. Although we have agreements with our customers, these agreements generally do not have long-term purchase commitments and are generally terminable by either party after a relatively short notice period. In addition, these customers may decide to no longer use, or to reduce the use of, our products and services for other reasons that may be out of our control. We may also be affected by events impacting our large customers that result in them decreasing their orders with us or impairing their ability to pay for our products, whether due to a decrease in demand from the end markets they serve or the deterioration in the financial condition or bankruptcy of any such customer or the solar installers they resell to, or a significant decrease in their business. We regularly monitor and evaluate the credit status of our customers and attempt to adjust sales terms as appropriate, which may not be successful. The loss of, or events affecting, any of our large customers has had from time to time, and could in the future have a material adverse effect on our business, financial condition and results of operations.</w:t>
      </w:r>
    </w:p>
    <w:p>
      <w:pPr>
        <w:spacing w:after="0" w:line="57" w:lineRule="exact"/>
        <w:rPr>
          <w:sz w:val="20"/>
          <w:szCs w:val="20"/>
          <w:color w:val="auto"/>
        </w:rPr>
      </w:pPr>
    </w:p>
    <w:p>
      <w:pPr>
        <w:jc w:val="both"/>
        <w:spacing w:after="0" w:line="292" w:lineRule="auto"/>
        <w:rPr>
          <w:sz w:val="20"/>
          <w:szCs w:val="20"/>
          <w:color w:val="auto"/>
        </w:rPr>
      </w:pPr>
      <w:r>
        <w:rPr>
          <w:rFonts w:ascii="Arial" w:cs="Arial" w:eastAsia="Arial" w:hAnsi="Arial"/>
          <w:sz w:val="17"/>
          <w:szCs w:val="17"/>
          <w:b w:val="1"/>
          <w:bCs w:val="1"/>
          <w:i w:val="1"/>
          <w:iCs w:val="1"/>
          <w:color w:val="auto"/>
        </w:rPr>
        <w:t>Our financial results may vary significantly from quarter to quarter due to a number of factors, which may lead to volatility in our stock price.</w:t>
      </w:r>
    </w:p>
    <w:p>
      <w:pPr>
        <w:spacing w:after="0" w:line="34" w:lineRule="exact"/>
        <w:rPr>
          <w:sz w:val="20"/>
          <w:szCs w:val="20"/>
          <w:color w:val="auto"/>
        </w:rPr>
      </w:pPr>
    </w:p>
    <w:p>
      <w:pPr>
        <w:jc w:val="both"/>
        <w:ind w:firstLine="470"/>
        <w:spacing w:after="0" w:line="266" w:lineRule="auto"/>
        <w:rPr>
          <w:sz w:val="20"/>
          <w:szCs w:val="20"/>
          <w:color w:val="auto"/>
        </w:rPr>
      </w:pPr>
      <w:r>
        <w:rPr>
          <w:rFonts w:ascii="Arial" w:cs="Arial" w:eastAsia="Arial" w:hAnsi="Arial"/>
          <w:sz w:val="17"/>
          <w:szCs w:val="17"/>
          <w:color w:val="auto"/>
        </w:rPr>
        <w:t>Our quarterly revenue and results of operations have varied in the past and may continue to vary significantly from quarter to quarter. As a result, the trading price of our common stock has been, and is likely to continue to be, volatile and could be subject to wide fluctuations in response to various factors, some of which are beyond our control. In addition, the trading prices of the securities of solar companies in general have been highly volatile, and the volatility in market price and trading volume of securities is often unrelated or disproportionate to the financial performance of the companies issuing the securities. Factors affecting the market price of our common stock, some of which are beyond our control, include:</w:t>
      </w:r>
    </w:p>
    <w:p>
      <w:pPr>
        <w:spacing w:after="0" w:line="276" w:lineRule="exact"/>
        <w:rPr>
          <w:sz w:val="20"/>
          <w:szCs w:val="20"/>
          <w:color w:val="auto"/>
        </w:rPr>
      </w:pPr>
    </w:p>
    <w:p>
      <w:pPr>
        <w:ind w:left="780" w:hanging="305"/>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seasonal and other fluctuations in demand for our products;</w:t>
      </w:r>
    </w:p>
    <w:p>
      <w:pPr>
        <w:spacing w:after="0" w:line="118" w:lineRule="exact"/>
        <w:rPr>
          <w:rFonts w:ascii="Arial" w:cs="Arial" w:eastAsia="Arial" w:hAnsi="Arial"/>
          <w:sz w:val="17"/>
          <w:szCs w:val="17"/>
          <w:color w:val="auto"/>
        </w:rPr>
      </w:pPr>
    </w:p>
    <w:p>
      <w:pPr>
        <w:ind w:left="780" w:hanging="305"/>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timing, volume and product mix of sales of our products, which may have different ASPs or profit margins;</w:t>
      </w:r>
    </w:p>
    <w:p>
      <w:pPr>
        <w:spacing w:after="0" w:line="118" w:lineRule="exact"/>
        <w:rPr>
          <w:rFonts w:ascii="Arial" w:cs="Arial" w:eastAsia="Arial" w:hAnsi="Arial"/>
          <w:sz w:val="17"/>
          <w:szCs w:val="17"/>
          <w:color w:val="auto"/>
        </w:rPr>
      </w:pPr>
    </w:p>
    <w:p>
      <w:pPr>
        <w:ind w:left="780" w:hanging="305"/>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our pricing and sales policies or the pricing and sales policies of our competitors;</w:t>
      </w:r>
    </w:p>
    <w:p>
      <w:pPr>
        <w:spacing w:after="0" w:line="118" w:lineRule="exact"/>
        <w:rPr>
          <w:rFonts w:ascii="Arial" w:cs="Arial" w:eastAsia="Arial" w:hAnsi="Arial"/>
          <w:sz w:val="17"/>
          <w:szCs w:val="17"/>
          <w:color w:val="auto"/>
        </w:rPr>
      </w:pPr>
    </w:p>
    <w:p>
      <w:pPr>
        <w:ind w:left="780" w:hanging="305"/>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impact of supply chain disruptions on our business, sales and results of operations;</w:t>
      </w:r>
    </w:p>
    <w:p>
      <w:pPr>
        <w:spacing w:after="0" w:line="118" w:lineRule="exact"/>
        <w:rPr>
          <w:rFonts w:ascii="Arial" w:cs="Arial" w:eastAsia="Arial" w:hAnsi="Arial"/>
          <w:sz w:val="17"/>
          <w:szCs w:val="17"/>
          <w:color w:val="auto"/>
        </w:rPr>
      </w:pPr>
    </w:p>
    <w:p>
      <w:pPr>
        <w:ind w:left="780" w:hanging="305"/>
        <w:spacing w:after="0" w:line="298" w:lineRule="auto"/>
        <w:tabs>
          <w:tab w:leader="none" w:pos="776"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design, manufacture and deliver products to our customers in a timely and cost-effective manner and that meet customer requirements;</w:t>
      </w:r>
    </w:p>
    <w:p>
      <w:pPr>
        <w:spacing w:after="0" w:line="37" w:lineRule="exact"/>
        <w:rPr>
          <w:rFonts w:ascii="Arial" w:cs="Arial" w:eastAsia="Arial" w:hAnsi="Arial"/>
          <w:sz w:val="17"/>
          <w:szCs w:val="17"/>
          <w:color w:val="auto"/>
        </w:rPr>
      </w:pPr>
    </w:p>
    <w:p>
      <w:pPr>
        <w:ind w:left="780" w:hanging="305"/>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manage our relationships with our contract manufacturers, customers and suppliers;</w:t>
      </w:r>
    </w:p>
    <w:p>
      <w:pPr>
        <w:spacing w:after="0" w:line="118" w:lineRule="exact"/>
        <w:rPr>
          <w:rFonts w:ascii="Arial" w:cs="Arial" w:eastAsia="Arial" w:hAnsi="Arial"/>
          <w:sz w:val="17"/>
          <w:szCs w:val="17"/>
          <w:color w:val="auto"/>
        </w:rPr>
      </w:pPr>
    </w:p>
    <w:p>
      <w:pPr>
        <w:ind w:left="780" w:hanging="305"/>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quality control or yield problems in our manufacturing operations;</w:t>
      </w:r>
    </w:p>
    <w:p>
      <w:pPr>
        <w:spacing w:after="0" w:line="118" w:lineRule="exact"/>
        <w:rPr>
          <w:rFonts w:ascii="Arial" w:cs="Arial" w:eastAsia="Arial" w:hAnsi="Arial"/>
          <w:sz w:val="17"/>
          <w:szCs w:val="17"/>
          <w:color w:val="auto"/>
        </w:rPr>
      </w:pPr>
    </w:p>
    <w:p>
      <w:pPr>
        <w:ind w:left="780" w:hanging="305"/>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anticipation, announcement or introductions of new or enhanced products by our competitors and ourselves;</w:t>
      </w:r>
    </w:p>
    <w:p>
      <w:pPr>
        <w:spacing w:after="0" w:line="118" w:lineRule="exact"/>
        <w:rPr>
          <w:rFonts w:ascii="Arial" w:cs="Arial" w:eastAsia="Arial" w:hAnsi="Arial"/>
          <w:sz w:val="17"/>
          <w:szCs w:val="17"/>
          <w:color w:val="auto"/>
        </w:rPr>
      </w:pPr>
    </w:p>
    <w:p>
      <w:pPr>
        <w:ind w:left="780" w:hanging="305"/>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reductions in the retail price of electricity;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80" w:hanging="305"/>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failure by any major customer to pay for orders, whether due to liquidity issues, bankruptcy or otherwise;</w:t>
      </w:r>
    </w:p>
    <w:p>
      <w:pPr>
        <w:spacing w:after="0" w:line="118" w:lineRule="exact"/>
        <w:rPr>
          <w:rFonts w:ascii="Arial" w:cs="Arial" w:eastAsia="Arial" w:hAnsi="Arial"/>
          <w:sz w:val="17"/>
          <w:szCs w:val="17"/>
          <w:color w:val="auto"/>
        </w:rPr>
      </w:pPr>
    </w:p>
    <w:p>
      <w:pPr>
        <w:ind w:left="780" w:hanging="305"/>
        <w:spacing w:after="0" w:line="298" w:lineRule="auto"/>
        <w:tabs>
          <w:tab w:leader="none" w:pos="776"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exposure to the credit risks of our customers, particularly in light of the fact that some of our customers are relatively new entrants to the solar market without long operating or credit histories, and the impact of inflation and higher interest rates;</w:t>
      </w:r>
    </w:p>
    <w:p>
      <w:pPr>
        <w:spacing w:after="0" w:line="37" w:lineRule="exact"/>
        <w:rPr>
          <w:rFonts w:ascii="Arial" w:cs="Arial" w:eastAsia="Arial" w:hAnsi="Arial"/>
          <w:sz w:val="17"/>
          <w:szCs w:val="17"/>
          <w:color w:val="auto"/>
        </w:rPr>
      </w:pPr>
    </w:p>
    <w:p>
      <w:pPr>
        <w:ind w:left="780" w:hanging="305"/>
        <w:spacing w:after="0" w:line="298" w:lineRule="auto"/>
        <w:tabs>
          <w:tab w:leader="none" w:pos="776"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laws, regulations and policies applicable to our business and products, particularly those relating to government incentives for solar energy applications;</w:t>
      </w:r>
    </w:p>
    <w:p>
      <w:pPr>
        <w:spacing w:after="0" w:line="37" w:lineRule="exact"/>
        <w:rPr>
          <w:rFonts w:ascii="Arial" w:cs="Arial" w:eastAsia="Arial" w:hAnsi="Arial"/>
          <w:sz w:val="17"/>
          <w:szCs w:val="17"/>
          <w:color w:val="auto"/>
        </w:rPr>
      </w:pPr>
    </w:p>
    <w:p>
      <w:pPr>
        <w:ind w:left="780" w:hanging="305"/>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impact of tariffs on the solar industry in general and our products in particular;</w:t>
      </w:r>
    </w:p>
    <w:p>
      <w:pPr>
        <w:spacing w:after="0" w:line="118" w:lineRule="exact"/>
        <w:rPr>
          <w:rFonts w:ascii="Arial" w:cs="Arial" w:eastAsia="Arial" w:hAnsi="Arial"/>
          <w:sz w:val="17"/>
          <w:szCs w:val="17"/>
          <w:color w:val="auto"/>
        </w:rPr>
      </w:pPr>
    </w:p>
    <w:p>
      <w:pPr>
        <w:ind w:left="780" w:hanging="305"/>
        <w:spacing w:after="0" w:line="269" w:lineRule="auto"/>
        <w:tabs>
          <w:tab w:leader="none" w:pos="77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amount and timing of operating costs and capital expenditures related to the maintenance and expansion of our business operations;</w:t>
      </w:r>
    </w:p>
    <w:p>
      <w:pPr>
        <w:spacing w:after="0" w:line="303" w:lineRule="exact"/>
        <w:rPr>
          <w:rFonts w:ascii="Arial" w:cs="Arial" w:eastAsia="Arial" w:hAnsi="Arial"/>
          <w:sz w:val="17"/>
          <w:szCs w:val="17"/>
          <w:color w:val="auto"/>
        </w:rPr>
      </w:pPr>
    </w:p>
    <w:p>
      <w:pPr>
        <w:ind w:left="780" w:hanging="305"/>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impact of government-sponsored programs on our customers;</w:t>
      </w:r>
    </w:p>
    <w:p>
      <w:pPr>
        <w:spacing w:after="0" w:line="118" w:lineRule="exact"/>
        <w:rPr>
          <w:rFonts w:ascii="Arial" w:cs="Arial" w:eastAsia="Arial" w:hAnsi="Arial"/>
          <w:sz w:val="17"/>
          <w:szCs w:val="17"/>
          <w:color w:val="auto"/>
        </w:rPr>
      </w:pPr>
    </w:p>
    <w:p>
      <w:pPr>
        <w:ind w:left="780" w:hanging="305"/>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estimate future warranty obligations due to product failure rates, claim rates or replacement costs;</w:t>
      </w:r>
    </w:p>
    <w:p>
      <w:pPr>
        <w:spacing w:after="0" w:line="118" w:lineRule="exact"/>
        <w:rPr>
          <w:rFonts w:ascii="Arial" w:cs="Arial" w:eastAsia="Arial" w:hAnsi="Arial"/>
          <w:sz w:val="17"/>
          <w:szCs w:val="17"/>
          <w:color w:val="auto"/>
        </w:rPr>
      </w:pPr>
    </w:p>
    <w:p>
      <w:pPr>
        <w:ind w:left="780" w:hanging="305"/>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forecast our customer demand and manufacturing requirements, and manage our inventory;</w:t>
      </w:r>
    </w:p>
    <w:p>
      <w:pPr>
        <w:spacing w:after="0" w:line="118" w:lineRule="exact"/>
        <w:rPr>
          <w:rFonts w:ascii="Arial" w:cs="Arial" w:eastAsia="Arial" w:hAnsi="Arial"/>
          <w:sz w:val="17"/>
          <w:szCs w:val="17"/>
          <w:color w:val="auto"/>
        </w:rPr>
      </w:pPr>
    </w:p>
    <w:p>
      <w:pPr>
        <w:ind w:left="780" w:hanging="305"/>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fluctuations in foreign currency exchange rates;</w:t>
      </w:r>
    </w:p>
    <w:p>
      <w:pPr>
        <w:spacing w:after="0" w:line="118" w:lineRule="exact"/>
        <w:rPr>
          <w:rFonts w:ascii="Arial" w:cs="Arial" w:eastAsia="Arial" w:hAnsi="Arial"/>
          <w:sz w:val="17"/>
          <w:szCs w:val="17"/>
          <w:color w:val="auto"/>
        </w:rPr>
      </w:pPr>
    </w:p>
    <w:p>
      <w:pPr>
        <w:ind w:left="780" w:hanging="305"/>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announcement of acquisitions or dispositions of our assets or business operations;</w:t>
      </w:r>
    </w:p>
    <w:p>
      <w:pPr>
        <w:spacing w:after="0" w:line="118" w:lineRule="exact"/>
        <w:rPr>
          <w:rFonts w:ascii="Arial" w:cs="Arial" w:eastAsia="Arial" w:hAnsi="Arial"/>
          <w:sz w:val="17"/>
          <w:szCs w:val="17"/>
          <w:color w:val="auto"/>
        </w:rPr>
      </w:pPr>
    </w:p>
    <w:p>
      <w:pPr>
        <w:ind w:left="780" w:hanging="305"/>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issuances of our common stock or equity-linked securities such as the Convertible Notes;</w:t>
      </w:r>
    </w:p>
    <w:p>
      <w:pPr>
        <w:spacing w:after="0" w:line="118" w:lineRule="exact"/>
        <w:rPr>
          <w:rFonts w:ascii="Arial" w:cs="Arial" w:eastAsia="Arial" w:hAnsi="Arial"/>
          <w:sz w:val="17"/>
          <w:szCs w:val="17"/>
          <w:color w:val="auto"/>
        </w:rPr>
      </w:pPr>
    </w:p>
    <w:p>
      <w:pPr>
        <w:ind w:left="780" w:hanging="305"/>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our management;</w:t>
      </w:r>
    </w:p>
    <w:p>
      <w:pPr>
        <w:spacing w:after="0" w:line="118" w:lineRule="exact"/>
        <w:rPr>
          <w:rFonts w:ascii="Arial" w:cs="Arial" w:eastAsia="Arial" w:hAnsi="Arial"/>
          <w:sz w:val="17"/>
          <w:szCs w:val="17"/>
          <w:color w:val="auto"/>
        </w:rPr>
      </w:pPr>
    </w:p>
    <w:p>
      <w:pPr>
        <w:jc w:val="both"/>
        <w:ind w:left="780" w:hanging="305"/>
        <w:spacing w:after="0" w:line="267" w:lineRule="auto"/>
        <w:tabs>
          <w:tab w:leader="none" w:pos="77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technical factors in the public trading market for our common stock that may produce price movements that may or may not comport to macro, industry or company-specific fundamentals, including, without limitation, the sentiment of retail investors (including as may be expressed on financial trading and other social media sites), the amount and status of short interest in our securities, rising interest rates, inflation, access to margin debt, trading in options and other derivatives on our common stock and any related hedging or other technical trading factors; and</w:t>
      </w:r>
    </w:p>
    <w:p>
      <w:pPr>
        <w:spacing w:after="0" w:line="62" w:lineRule="exact"/>
        <w:rPr>
          <w:rFonts w:ascii="Arial" w:cs="Arial" w:eastAsia="Arial" w:hAnsi="Arial"/>
          <w:sz w:val="17"/>
          <w:szCs w:val="17"/>
          <w:color w:val="auto"/>
        </w:rPr>
      </w:pPr>
    </w:p>
    <w:p>
      <w:pPr>
        <w:ind w:left="780" w:hanging="305"/>
        <w:spacing w:after="0" w:line="298" w:lineRule="auto"/>
        <w:tabs>
          <w:tab w:leader="none" w:pos="776" w:val="left"/>
        </w:tabs>
        <w:numPr>
          <w:ilvl w:val="0"/>
          <w:numId w:val="20"/>
        </w:numPr>
        <w:rPr>
          <w:rFonts w:ascii="Arial" w:cs="Arial" w:eastAsia="Arial" w:hAnsi="Arial"/>
          <w:sz w:val="17"/>
          <w:szCs w:val="17"/>
          <w:color w:val="auto"/>
        </w:rPr>
      </w:pPr>
      <w:r>
        <w:rPr>
          <w:rFonts w:ascii="Arial" w:cs="Arial" w:eastAsia="Arial" w:hAnsi="Arial"/>
          <w:sz w:val="17"/>
          <w:szCs w:val="17"/>
          <w:color w:val="auto"/>
        </w:rPr>
        <w:t>general social, geopolitical, environmental or health factors, including pandemics or widespread health epidemics such as the COVID-19 pandemic.</w:t>
      </w:r>
    </w:p>
    <w:p>
      <w:pPr>
        <w:spacing w:after="0" w:line="37"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above factors are difficult to forecast, and these, as well as other factors, could materially and adversely affect our quarterly and annual results of operations. Any failure to adjust spending quickly enough to compensate for a revenue shortfall could magnify the adverse impact of this revenue shortfall on our results of operations. Moreover, our results of operations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63" w:lineRule="exact"/>
        <w:rPr>
          <w:sz w:val="20"/>
          <w:szCs w:val="20"/>
          <w:color w:val="auto"/>
        </w:rPr>
      </w:pPr>
    </w:p>
    <w:p>
      <w:pPr>
        <w:jc w:val="both"/>
        <w:ind w:firstLine="470"/>
        <w:spacing w:after="0" w:line="274" w:lineRule="auto"/>
        <w:rPr>
          <w:sz w:val="20"/>
          <w:szCs w:val="20"/>
          <w:color w:val="auto"/>
        </w:rPr>
      </w:pPr>
      <w:r>
        <w:rPr>
          <w:rFonts w:ascii="Arial" w:cs="Arial" w:eastAsia="Arial" w:hAnsi="Arial"/>
          <w:sz w:val="17"/>
          <w:szCs w:val="17"/>
          <w:color w:val="auto"/>
        </w:rPr>
        <w:t>In addition, in the past, many companies that have experienced volatility in the market price of their stock have been subject to securities class action litigation. We have been in the past and may become in the future the target of this type of litigation in the future. Securities litigation against us could result in substantial costs and divert our management’s attention from other business concerns, which could seriously harm our business.</w:t>
      </w:r>
    </w:p>
    <w:p>
      <w:pPr>
        <w:spacing w:after="0" w:line="374"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2.</w:t>
        <w:tab/>
        <w:t>Unregistered Sales of Equity Securities and Use of Proceeds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Stock Repurchase Program</w:t>
      </w:r>
    </w:p>
    <w:p>
      <w:pPr>
        <w:spacing w:after="0" w:line="118" w:lineRule="exact"/>
        <w:rPr>
          <w:sz w:val="20"/>
          <w:szCs w:val="20"/>
          <w:color w:val="auto"/>
        </w:rPr>
      </w:pPr>
    </w:p>
    <w:p>
      <w:pPr>
        <w:jc w:val="both"/>
        <w:ind w:firstLine="470"/>
        <w:spacing w:after="0" w:line="270" w:lineRule="auto"/>
        <w:rPr>
          <w:sz w:val="20"/>
          <w:szCs w:val="20"/>
          <w:color w:val="auto"/>
        </w:rPr>
      </w:pPr>
      <w:r>
        <w:rPr>
          <w:rFonts w:ascii="Arial" w:cs="Arial" w:eastAsia="Arial" w:hAnsi="Arial"/>
          <w:sz w:val="17"/>
          <w:szCs w:val="17"/>
          <w:color w:val="auto"/>
        </w:rPr>
        <w:t>In July 2023, our board of directors authorized the 2023 Repurchase Program pursuant to which we may repurchase up to an aggregate of $1.0 billion of our common stock. As of June 30, 2024, we have approximately $648.1 million remaining for repurchase of shares under the 2023 Repurchase Program. Purchases may be completed from time to time in the open market or privately negotiated transactions, including through Rule 10b5-1 plans. The program may be discontinued or amended at any time and expires on July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71755</wp:posOffset>
            </wp:positionV>
            <wp:extent cx="716216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firstLine="470"/>
        <w:spacing w:after="0" w:line="298" w:lineRule="auto"/>
        <w:rPr>
          <w:sz w:val="20"/>
          <w:szCs w:val="20"/>
          <w:color w:val="auto"/>
        </w:rPr>
      </w:pPr>
      <w:r>
        <w:rPr>
          <w:rFonts w:ascii="Arial" w:cs="Arial" w:eastAsia="Arial" w:hAnsi="Arial"/>
          <w:sz w:val="17"/>
          <w:szCs w:val="17"/>
          <w:color w:val="auto"/>
        </w:rPr>
        <w:t>The following table provides information about our repurchases of our common stock during the three months ended June 30, 2024 (in thousands, except per share amounts):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2060" w:type="dxa"/>
            <w:vAlign w:val="bottom"/>
          </w:tcPr>
          <w:p>
            <w:pPr>
              <w:spacing w:after="0"/>
              <w:rPr>
                <w:sz w:val="20"/>
                <w:szCs w:val="20"/>
                <w:color w:val="auto"/>
              </w:rPr>
            </w:pPr>
            <w:r>
              <w:rPr>
                <w:rFonts w:ascii="Arial" w:cs="Arial" w:eastAsia="Arial" w:hAnsi="Arial"/>
                <w:sz w:val="14"/>
                <w:szCs w:val="14"/>
                <w:b w:val="1"/>
                <w:bCs w:val="1"/>
                <w:color w:val="auto"/>
              </w:rPr>
              <w:t>Period Ended</w:t>
            </w:r>
          </w:p>
        </w:tc>
        <w:tc>
          <w:tcPr>
            <w:tcW w:w="1960" w:type="dxa"/>
            <w:vAlign w:val="bottom"/>
          </w:tcPr>
          <w:p>
            <w:pPr>
              <w:jc w:val="right"/>
              <w:ind w:right="125"/>
              <w:spacing w:after="0"/>
              <w:rPr>
                <w:sz w:val="20"/>
                <w:szCs w:val="20"/>
                <w:color w:val="auto"/>
              </w:rPr>
            </w:pPr>
            <w:r>
              <w:rPr>
                <w:rFonts w:ascii="Arial" w:cs="Arial" w:eastAsia="Arial" w:hAnsi="Arial"/>
                <w:sz w:val="14"/>
                <w:szCs w:val="14"/>
                <w:b w:val="1"/>
                <w:bCs w:val="1"/>
                <w:color w:val="auto"/>
              </w:rPr>
              <w:t>Total Number of Shares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Average Price Paid per</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8"/>
              </w:rPr>
              <w:t>Total Number of Shares</w:t>
            </w:r>
          </w:p>
        </w:tc>
        <w:tc>
          <w:tcPr>
            <w:tcW w:w="100" w:type="dxa"/>
            <w:vAlign w:val="bottom"/>
          </w:tcPr>
          <w:p>
            <w:pPr>
              <w:spacing w:after="0"/>
              <w:rPr>
                <w:sz w:val="14"/>
                <w:szCs w:val="14"/>
                <w:color w:val="auto"/>
              </w:rPr>
            </w:pPr>
          </w:p>
        </w:tc>
        <w:tc>
          <w:tcPr>
            <w:tcW w:w="1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Approximate Dollar Value of</w:t>
            </w:r>
          </w:p>
        </w:tc>
      </w:tr>
      <w:tr>
        <w:trPr>
          <w:trHeight w:val="170"/>
        </w:trPr>
        <w:tc>
          <w:tcPr>
            <w:tcW w:w="1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960" w:type="dxa"/>
            <w:vAlign w:val="bottom"/>
          </w:tcPr>
          <w:p>
            <w:pPr>
              <w:jc w:val="right"/>
              <w:ind w:right="545"/>
              <w:spacing w:after="0"/>
              <w:rPr>
                <w:sz w:val="20"/>
                <w:szCs w:val="20"/>
                <w:color w:val="auto"/>
              </w:rPr>
            </w:pPr>
            <w:r>
              <w:rPr>
                <w:rFonts w:ascii="Arial" w:cs="Arial" w:eastAsia="Arial" w:hAnsi="Arial"/>
                <w:sz w:val="14"/>
                <w:szCs w:val="14"/>
                <w:b w:val="1"/>
                <w:bCs w:val="1"/>
                <w:color w:val="auto"/>
              </w:rPr>
              <w:t>Purchased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9"/>
                <w:szCs w:val="9"/>
                <w:b w:val="1"/>
                <w:bCs w:val="1"/>
                <w:color w:val="auto"/>
              </w:rPr>
              <w:t>(1)</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tcPr>
          <w:p>
            <w:pPr>
              <w:jc w:val="center"/>
              <w:ind w:right="86"/>
              <w:spacing w:after="0"/>
              <w:rPr>
                <w:sz w:val="20"/>
                <w:szCs w:val="20"/>
                <w:color w:val="auto"/>
              </w:rPr>
            </w:pPr>
            <w:r>
              <w:rPr>
                <w:rFonts w:ascii="Arial" w:cs="Arial" w:eastAsia="Arial" w:hAnsi="Arial"/>
                <w:sz w:val="14"/>
                <w:szCs w:val="14"/>
                <w:b w:val="1"/>
                <w:bCs w:val="1"/>
                <w:color w:val="auto"/>
                <w:w w:val="98"/>
              </w:rPr>
              <w:t>Shares that May Yet Be</w:t>
            </w:r>
          </w:p>
        </w:tc>
      </w:tr>
      <w:tr>
        <w:trPr>
          <w:trHeight w:val="155"/>
        </w:trPr>
        <w:tc>
          <w:tcPr>
            <w:tcW w:w="10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9"/>
              </w:rPr>
              <w:t>Publicly Announced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tcPr>
          <w:p>
            <w:pPr>
              <w:jc w:val="center"/>
              <w:ind w:right="86"/>
              <w:spacing w:after="0" w:line="155" w:lineRule="exact"/>
              <w:rPr>
                <w:sz w:val="20"/>
                <w:szCs w:val="20"/>
                <w:color w:val="auto"/>
              </w:rPr>
            </w:pPr>
            <w:r>
              <w:rPr>
                <w:rFonts w:ascii="Arial" w:cs="Arial" w:eastAsia="Arial" w:hAnsi="Arial"/>
                <w:sz w:val="14"/>
                <w:szCs w:val="14"/>
                <w:b w:val="1"/>
                <w:bCs w:val="1"/>
                <w:color w:val="auto"/>
                <w:w w:val="99"/>
              </w:rPr>
              <w:t>Purchased Under the</w:t>
            </w:r>
          </w:p>
        </w:tc>
      </w:tr>
      <w:tr>
        <w:trPr>
          <w:trHeight w:val="195"/>
        </w:trPr>
        <w:tc>
          <w:tcPr>
            <w:tcW w:w="1060" w:type="dxa"/>
            <w:vAlign w:val="bottom"/>
            <w:tcBorders>
              <w:bottom w:val="single" w:sz="8" w:color="CCEEFF"/>
            </w:tcBorders>
          </w:tcPr>
          <w:p>
            <w:pPr>
              <w:spacing w:after="0"/>
              <w:rPr>
                <w:sz w:val="16"/>
                <w:szCs w:val="16"/>
                <w:color w:val="auto"/>
              </w:rPr>
            </w:pPr>
          </w:p>
        </w:tc>
        <w:tc>
          <w:tcPr>
            <w:tcW w:w="206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Programs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86"/>
              <w:spacing w:after="0" w:line="195" w:lineRule="exact"/>
              <w:rPr>
                <w:sz w:val="20"/>
                <w:szCs w:val="20"/>
                <w:color w:val="auto"/>
              </w:rPr>
            </w:pPr>
            <w:r>
              <w:rPr>
                <w:rFonts w:ascii="Arial" w:cs="Arial" w:eastAsia="Arial" w:hAnsi="Arial"/>
                <w:sz w:val="14"/>
                <w:szCs w:val="14"/>
                <w:b w:val="1"/>
                <w:bCs w:val="1"/>
                <w:color w:val="auto"/>
                <w:w w:val="94"/>
              </w:rPr>
              <w:t>Programs</w:t>
            </w:r>
            <w:r>
              <w:rPr>
                <w:rFonts w:ascii="Arial" w:cs="Arial" w:eastAsia="Arial" w:hAnsi="Arial"/>
                <w:sz w:val="18"/>
                <w:szCs w:val="18"/>
                <w:b w:val="1"/>
                <w:bCs w:val="1"/>
                <w:color w:val="auto"/>
                <w:w w:val="94"/>
                <w:vertAlign w:val="superscript"/>
              </w:rPr>
              <w:t>(2)</w:t>
            </w:r>
          </w:p>
        </w:tc>
      </w:tr>
      <w:tr>
        <w:trPr>
          <w:trHeight w:val="228"/>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April 2024</w:t>
            </w:r>
          </w:p>
        </w:tc>
        <w:tc>
          <w:tcPr>
            <w:tcW w:w="19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9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748,006</w:t>
            </w:r>
          </w:p>
        </w:tc>
      </w:tr>
      <w:tr>
        <w:trPr>
          <w:trHeight w:val="234"/>
        </w:trPr>
        <w:tc>
          <w:tcPr>
            <w:tcW w:w="3120" w:type="dxa"/>
            <w:vAlign w:val="bottom"/>
            <w:gridSpan w:val="2"/>
          </w:tcPr>
          <w:p>
            <w:pPr>
              <w:ind w:left="20"/>
              <w:spacing w:after="0"/>
              <w:rPr>
                <w:sz w:val="20"/>
                <w:szCs w:val="20"/>
                <w:color w:val="auto"/>
              </w:rPr>
            </w:pPr>
            <w:r>
              <w:rPr>
                <w:rFonts w:ascii="Arial" w:cs="Arial" w:eastAsia="Arial" w:hAnsi="Arial"/>
                <w:sz w:val="16"/>
                <w:szCs w:val="16"/>
                <w:color w:val="auto"/>
              </w:rPr>
              <w:t>May 2024</w:t>
            </w:r>
          </w:p>
        </w:tc>
        <w:tc>
          <w:tcPr>
            <w:tcW w:w="1960" w:type="dxa"/>
            <w:vAlign w:val="bottom"/>
          </w:tcPr>
          <w:p>
            <w:pPr>
              <w:jc w:val="right"/>
              <w:ind w:right="5"/>
              <w:spacing w:after="0"/>
              <w:rPr>
                <w:sz w:val="20"/>
                <w:szCs w:val="20"/>
                <w:color w:val="auto"/>
              </w:rPr>
            </w:pPr>
            <w:r>
              <w:rPr>
                <w:rFonts w:ascii="Arial" w:cs="Arial" w:eastAsia="Arial" w:hAnsi="Arial"/>
                <w:sz w:val="16"/>
                <w:szCs w:val="16"/>
                <w:color w:val="auto"/>
              </w:rPr>
              <w:t>891,896</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112.02</w:t>
            </w:r>
          </w:p>
        </w:tc>
        <w:tc>
          <w:tcPr>
            <w:tcW w:w="100" w:type="dxa"/>
            <w:vAlign w:val="bottom"/>
          </w:tcPr>
          <w:p>
            <w:pPr>
              <w:spacing w:after="0"/>
              <w:rPr>
                <w:sz w:val="20"/>
                <w:szCs w:val="20"/>
                <w:color w:val="auto"/>
              </w:rPr>
            </w:pPr>
          </w:p>
        </w:tc>
        <w:tc>
          <w:tcPr>
            <w:tcW w:w="1960" w:type="dxa"/>
            <w:vAlign w:val="bottom"/>
          </w:tcPr>
          <w:p>
            <w:pPr>
              <w:jc w:val="right"/>
              <w:ind w:right="6"/>
              <w:spacing w:after="0"/>
              <w:rPr>
                <w:sz w:val="20"/>
                <w:szCs w:val="20"/>
                <w:color w:val="auto"/>
              </w:rPr>
            </w:pPr>
            <w:r>
              <w:rPr>
                <w:rFonts w:ascii="Arial" w:cs="Arial" w:eastAsia="Arial" w:hAnsi="Arial"/>
                <w:sz w:val="16"/>
                <w:szCs w:val="16"/>
                <w:color w:val="auto"/>
              </w:rPr>
              <w:t>891,896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648,098</w:t>
            </w:r>
          </w:p>
        </w:tc>
      </w:tr>
      <w:tr>
        <w:trPr>
          <w:trHeight w:val="236"/>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June 2024</w:t>
            </w:r>
          </w:p>
        </w:tc>
        <w:tc>
          <w:tcPr>
            <w:tcW w:w="19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648,098</w:t>
            </w:r>
          </w:p>
        </w:tc>
      </w:tr>
      <w:tr>
        <w:trPr>
          <w:trHeight w:val="200"/>
        </w:trPr>
        <w:tc>
          <w:tcPr>
            <w:tcW w:w="312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1960" w:type="dxa"/>
            <w:vAlign w:val="bottom"/>
          </w:tcPr>
          <w:p>
            <w:pPr>
              <w:jc w:val="right"/>
              <w:ind w:right="5"/>
              <w:spacing w:after="0"/>
              <w:rPr>
                <w:sz w:val="20"/>
                <w:szCs w:val="20"/>
                <w:color w:val="auto"/>
              </w:rPr>
            </w:pPr>
            <w:r>
              <w:rPr>
                <w:rFonts w:ascii="Arial" w:cs="Arial" w:eastAsia="Arial" w:hAnsi="Arial"/>
                <w:sz w:val="16"/>
                <w:szCs w:val="16"/>
                <w:color w:val="auto"/>
              </w:rPr>
              <w:t>891,896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jc w:val="right"/>
              <w:ind w:right="6"/>
              <w:spacing w:after="0"/>
              <w:rPr>
                <w:sz w:val="20"/>
                <w:szCs w:val="20"/>
                <w:color w:val="auto"/>
              </w:rPr>
            </w:pPr>
            <w:r>
              <w:rPr>
                <w:rFonts w:ascii="Arial" w:cs="Arial" w:eastAsia="Arial" w:hAnsi="Arial"/>
                <w:sz w:val="16"/>
                <w:szCs w:val="16"/>
                <w:color w:val="auto"/>
              </w:rPr>
              <w:t>891,896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8"/>
        </w:trPr>
        <w:tc>
          <w:tcPr>
            <w:tcW w:w="10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0"/>
        </w:trPr>
        <w:tc>
          <w:tcPr>
            <w:tcW w:w="10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10"/>
        </w:trPr>
        <w:tc>
          <w:tcPr>
            <w:tcW w:w="1060" w:type="dxa"/>
            <w:vAlign w:val="bottom"/>
            <w:tcBorders>
              <w:bottom w:val="single" w:sz="8" w:color="auto"/>
            </w:tcBorders>
          </w:tcPr>
          <w:p>
            <w:pPr>
              <w:spacing w:after="0"/>
              <w:rPr>
                <w:sz w:val="9"/>
                <w:szCs w:val="9"/>
                <w:color w:val="auto"/>
              </w:rPr>
            </w:pPr>
          </w:p>
        </w:tc>
        <w:tc>
          <w:tcPr>
            <w:tcW w:w="20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0" w:type="dxa"/>
            <w:vAlign w:val="bottom"/>
          </w:tcPr>
          <w:p>
            <w:pPr>
              <w:spacing w:after="0"/>
              <w:rPr>
                <w:sz w:val="9"/>
                <w:szCs w:val="9"/>
                <w:color w:val="auto"/>
              </w:rPr>
            </w:pPr>
          </w:p>
        </w:tc>
      </w:tr>
    </w:tbl>
    <w:p>
      <w:pPr>
        <w:spacing w:after="0" w:line="105" w:lineRule="exact"/>
        <w:rPr>
          <w:sz w:val="20"/>
          <w:szCs w:val="20"/>
          <w:color w:val="auto"/>
        </w:rPr>
      </w:pPr>
    </w:p>
    <w:p>
      <w:pPr>
        <w:ind w:left="400" w:hanging="395"/>
        <w:spacing w:after="0"/>
        <w:tabs>
          <w:tab w:leader="none" w:pos="4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Average price paid per share includes brokerage commissions.</w:t>
      </w:r>
    </w:p>
    <w:p>
      <w:pPr>
        <w:spacing w:after="0" w:line="116" w:lineRule="exact"/>
        <w:rPr>
          <w:rFonts w:ascii="Arial" w:cs="Arial" w:eastAsia="Arial" w:hAnsi="Arial"/>
          <w:sz w:val="16"/>
          <w:szCs w:val="16"/>
          <w:color w:val="auto"/>
        </w:rPr>
      </w:pPr>
    </w:p>
    <w:p>
      <w:pPr>
        <w:ind w:left="480" w:right="120" w:hanging="475"/>
        <w:spacing w:after="0" w:line="267" w:lineRule="auto"/>
        <w:tabs>
          <w:tab w:leader="none" w:pos="419" w:val="left"/>
        </w:tabs>
        <w:numPr>
          <w:ilvl w:val="0"/>
          <w:numId w:val="21"/>
        </w:numPr>
        <w:rPr>
          <w:rFonts w:ascii="Arial" w:cs="Arial" w:eastAsia="Arial" w:hAnsi="Arial"/>
          <w:sz w:val="16"/>
          <w:szCs w:val="16"/>
          <w:color w:val="auto"/>
        </w:rPr>
      </w:pPr>
      <w:r>
        <w:rPr>
          <w:rFonts w:ascii="Arial" w:cs="Arial" w:eastAsia="Arial" w:hAnsi="Arial"/>
          <w:sz w:val="16"/>
          <w:szCs w:val="16"/>
          <w:color w:val="auto"/>
        </w:rPr>
        <w:t>During the three months ended June 30, 2024, we repurchased 891,896 shares of our common stock at a weighted average price of $112.02 per share for an aggregate amount of $99.9 million.</w:t>
      </w:r>
    </w:p>
    <w:p>
      <w:pPr>
        <w:spacing w:after="0" w:line="159"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3.</w:t>
        <w:tab/>
        <w:t>Defaults Upon Senior Securities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21"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4.</w:t>
        <w:tab/>
        <w:t>Mine Safety Disclosures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Not applicable.</w:t>
      </w:r>
    </w:p>
    <w:p>
      <w:pPr>
        <w:spacing w:after="0" w:line="221"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5.</w:t>
        <w:tab/>
        <w:t>Other Information</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Rule 10b5-1 Trading Plans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Not applicable.</w:t>
      </w:r>
    </w:p>
    <w:p>
      <w:pPr>
        <w:spacing w:after="0" w:line="116"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 list of exhibits filed with this report or incorporated herein by reference is found in the Exhibit Index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2024 Form 10-Q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216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i w:val="1"/>
          <w:iCs w:val="1"/>
          <w:color w:val="0000FF"/>
        </w:rPr>
        <w:t>Table of Contents</w:t>
      </w:r>
    </w:p>
    <w:p>
      <w:pPr>
        <w:sectPr>
          <w:pgSz w:w="11900" w:h="16838" w:orient="portrait"/>
          <w:cols w:equalWidth="0" w:num="1">
            <w:col w:w="11220"/>
          </w:cols>
          <w:pgMar w:left="320" w:top="28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Exhibit</w:t>
      </w:r>
    </w:p>
    <w:p>
      <w:pPr>
        <w:ind w:left="240"/>
        <w:spacing w:after="0"/>
        <w:rPr>
          <w:sz w:val="20"/>
          <w:szCs w:val="20"/>
          <w:color w:val="auto"/>
        </w:rPr>
      </w:pPr>
      <w:r>
        <w:rPr>
          <w:rFonts w:ascii="Arial" w:cs="Arial" w:eastAsia="Arial" w:hAnsi="Arial"/>
          <w:sz w:val="14"/>
          <w:szCs w:val="14"/>
          <w:b w:val="1"/>
          <w:bCs w:val="1"/>
          <w:color w:val="auto"/>
        </w:rPr>
        <w:t>Number</w:t>
      </w:r>
    </w:p>
    <w:p>
      <w:pPr>
        <w:spacing w:after="0" w:line="139" w:lineRule="exact"/>
        <w:rPr>
          <w:sz w:val="20"/>
          <w:szCs w:val="20"/>
          <w:color w:val="auto"/>
        </w:rPr>
      </w:pPr>
    </w:p>
    <w:p>
      <w:pPr>
        <w:ind w:left="400"/>
        <w:spacing w:after="0"/>
        <w:rPr>
          <w:rFonts w:ascii="Arial" w:cs="Arial" w:eastAsia="Arial" w:hAnsi="Arial"/>
          <w:sz w:val="14"/>
          <w:szCs w:val="14"/>
          <w:color w:val="0000FF"/>
        </w:rPr>
      </w:pPr>
      <w:hyperlink r:id="rId102">
        <w:r>
          <w:rPr>
            <w:rFonts w:ascii="Arial" w:cs="Arial" w:eastAsia="Arial" w:hAnsi="Arial"/>
            <w:sz w:val="14"/>
            <w:szCs w:val="14"/>
            <w:color w:val="0000FF"/>
          </w:rPr>
          <w:t>3.1</w:t>
        </w:r>
      </w:hyperlink>
    </w:p>
    <w:p>
      <w:pPr>
        <w:spacing w:after="0" w:line="349" w:lineRule="exact"/>
        <w:rPr>
          <w:sz w:val="20"/>
          <w:szCs w:val="20"/>
          <w:color w:val="auto"/>
        </w:rPr>
      </w:pPr>
    </w:p>
    <w:p>
      <w:pPr>
        <w:ind w:left="400"/>
        <w:spacing w:after="0"/>
        <w:rPr>
          <w:rFonts w:ascii="Arial" w:cs="Arial" w:eastAsia="Arial" w:hAnsi="Arial"/>
          <w:sz w:val="14"/>
          <w:szCs w:val="14"/>
          <w:color w:val="0000FF"/>
        </w:rPr>
      </w:pPr>
      <w:hyperlink r:id="rId103">
        <w:r>
          <w:rPr>
            <w:rFonts w:ascii="Arial" w:cs="Arial" w:eastAsia="Arial" w:hAnsi="Arial"/>
            <w:sz w:val="14"/>
            <w:szCs w:val="14"/>
            <w:color w:val="0000FF"/>
          </w:rPr>
          <w:t>3.2</w:t>
        </w:r>
      </w:hyperlink>
    </w:p>
    <w:p>
      <w:pPr>
        <w:spacing w:after="0" w:line="200" w:lineRule="exact"/>
        <w:rPr>
          <w:sz w:val="20"/>
          <w:szCs w:val="20"/>
          <w:color w:val="auto"/>
        </w:rPr>
      </w:pPr>
    </w:p>
    <w:p>
      <w:pPr>
        <w:spacing w:after="0" w:line="240" w:lineRule="exact"/>
        <w:rPr>
          <w:sz w:val="20"/>
          <w:szCs w:val="20"/>
          <w:color w:val="auto"/>
        </w:rPr>
      </w:pPr>
    </w:p>
    <w:p>
      <w:pPr>
        <w:ind w:left="400"/>
        <w:spacing w:after="0"/>
        <w:rPr>
          <w:rFonts w:ascii="Arial" w:cs="Arial" w:eastAsia="Arial" w:hAnsi="Arial"/>
          <w:sz w:val="14"/>
          <w:szCs w:val="14"/>
          <w:color w:val="0000FF"/>
        </w:rPr>
      </w:pPr>
      <w:hyperlink r:id="rId104">
        <w:r>
          <w:rPr>
            <w:rFonts w:ascii="Arial" w:cs="Arial" w:eastAsia="Arial" w:hAnsi="Arial"/>
            <w:sz w:val="14"/>
            <w:szCs w:val="14"/>
            <w:color w:val="0000FF"/>
          </w:rPr>
          <w:t>3.3</w:t>
        </w:r>
      </w:hyperlink>
    </w:p>
    <w:p>
      <w:pPr>
        <w:spacing w:after="0" w:line="388" w:lineRule="exact"/>
        <w:rPr>
          <w:sz w:val="20"/>
          <w:szCs w:val="20"/>
          <w:color w:val="auto"/>
        </w:rPr>
      </w:pPr>
    </w:p>
    <w:p>
      <w:pPr>
        <w:ind w:left="400"/>
        <w:spacing w:after="0"/>
        <w:rPr>
          <w:rFonts w:ascii="Arial" w:cs="Arial" w:eastAsia="Arial" w:hAnsi="Arial"/>
          <w:sz w:val="14"/>
          <w:szCs w:val="14"/>
          <w:color w:val="0000FF"/>
        </w:rPr>
      </w:pPr>
      <w:hyperlink r:id="rId105">
        <w:r>
          <w:rPr>
            <w:rFonts w:ascii="Arial" w:cs="Arial" w:eastAsia="Arial" w:hAnsi="Arial"/>
            <w:sz w:val="14"/>
            <w:szCs w:val="14"/>
            <w:color w:val="0000FF"/>
          </w:rPr>
          <w:t>3.4</w:t>
        </w:r>
      </w:hyperlink>
    </w:p>
    <w:p>
      <w:pPr>
        <w:spacing w:after="0" w:line="205" w:lineRule="exact"/>
        <w:rPr>
          <w:sz w:val="20"/>
          <w:szCs w:val="20"/>
          <w:color w:val="auto"/>
        </w:rPr>
      </w:pPr>
    </w:p>
    <w:p>
      <w:pPr>
        <w:ind w:left="400"/>
        <w:spacing w:after="0"/>
        <w:rPr>
          <w:rFonts w:ascii="Arial" w:cs="Arial" w:eastAsia="Arial" w:hAnsi="Arial"/>
          <w:sz w:val="14"/>
          <w:szCs w:val="14"/>
          <w:color w:val="0000FF"/>
        </w:rPr>
      </w:pPr>
      <w:hyperlink r:id="rId106">
        <w:r>
          <w:rPr>
            <w:rFonts w:ascii="Arial" w:cs="Arial" w:eastAsia="Arial" w:hAnsi="Arial"/>
            <w:sz w:val="14"/>
            <w:szCs w:val="14"/>
            <w:color w:val="0000FF"/>
          </w:rPr>
          <w:t>3.5</w:t>
        </w:r>
      </w:hyperlink>
    </w:p>
    <w:p>
      <w:pPr>
        <w:spacing w:after="0" w:line="270" w:lineRule="exact"/>
        <w:rPr>
          <w:sz w:val="20"/>
          <w:szCs w:val="20"/>
          <w:color w:val="auto"/>
        </w:rPr>
      </w:pPr>
    </w:p>
    <w:p>
      <w:pPr>
        <w:ind w:left="400"/>
        <w:spacing w:after="0"/>
        <w:rPr>
          <w:rFonts w:ascii="Arial" w:cs="Arial" w:eastAsia="Arial" w:hAnsi="Arial"/>
          <w:sz w:val="14"/>
          <w:szCs w:val="14"/>
          <w:color w:val="0000FF"/>
        </w:rPr>
      </w:pPr>
      <w:hyperlink r:id="rId107">
        <w:r>
          <w:rPr>
            <w:rFonts w:ascii="Arial" w:cs="Arial" w:eastAsia="Arial" w:hAnsi="Arial"/>
            <w:sz w:val="14"/>
            <w:szCs w:val="14"/>
            <w:color w:val="0000FF"/>
          </w:rPr>
          <w:t>3.6</w:t>
        </w:r>
      </w:hyperlink>
    </w:p>
    <w:p>
      <w:pPr>
        <w:spacing w:after="0" w:line="270" w:lineRule="exact"/>
        <w:rPr>
          <w:sz w:val="20"/>
          <w:szCs w:val="20"/>
          <w:color w:val="auto"/>
        </w:rPr>
      </w:pPr>
    </w:p>
    <w:p>
      <w:pPr>
        <w:ind w:left="360"/>
        <w:spacing w:after="0"/>
        <w:rPr>
          <w:sz w:val="20"/>
          <w:szCs w:val="20"/>
          <w:color w:val="auto"/>
        </w:rPr>
      </w:pPr>
      <w:r>
        <w:rPr>
          <w:rFonts w:ascii="Arial" w:cs="Arial" w:eastAsia="Arial" w:hAnsi="Arial"/>
          <w:sz w:val="14"/>
          <w:szCs w:val="14"/>
          <w:color w:val="0000FF"/>
        </w:rPr>
        <w:t>31.1</w:t>
      </w:r>
    </w:p>
    <w:p>
      <w:pPr>
        <w:spacing w:after="0" w:line="270" w:lineRule="exact"/>
        <w:rPr>
          <w:sz w:val="20"/>
          <w:szCs w:val="20"/>
          <w:color w:val="auto"/>
        </w:rPr>
      </w:pPr>
    </w:p>
    <w:p>
      <w:pPr>
        <w:ind w:left="360"/>
        <w:spacing w:after="0"/>
        <w:rPr>
          <w:sz w:val="20"/>
          <w:szCs w:val="20"/>
          <w:color w:val="auto"/>
        </w:rPr>
      </w:pPr>
      <w:r>
        <w:rPr>
          <w:rFonts w:ascii="Arial" w:cs="Arial" w:eastAsia="Arial" w:hAnsi="Arial"/>
          <w:sz w:val="14"/>
          <w:szCs w:val="14"/>
          <w:color w:val="0000FF"/>
        </w:rPr>
        <w:t>31.2</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4"/>
          <w:szCs w:val="14"/>
          <w:color w:val="0000FF"/>
        </w:rPr>
        <w:t>32.1</w:t>
      </w:r>
      <w:r>
        <w:rPr>
          <w:rFonts w:ascii="Arial" w:cs="Arial" w:eastAsia="Arial" w:hAnsi="Arial"/>
          <w:sz w:val="14"/>
          <w:szCs w:val="14"/>
          <w:color w:val="000000"/>
        </w:rPr>
        <w:t>*</w:t>
      </w:r>
    </w:p>
    <w:p>
      <w:pPr>
        <w:spacing w:after="0" w:line="200" w:lineRule="exact"/>
        <w:rPr>
          <w:sz w:val="20"/>
          <w:szCs w:val="20"/>
          <w:color w:val="auto"/>
        </w:rPr>
      </w:pPr>
    </w:p>
    <w:p>
      <w:pPr>
        <w:spacing w:after="0" w:line="24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101.INS</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101.SCH</w:t>
      </w:r>
    </w:p>
    <w:p>
      <w:pPr>
        <w:spacing w:after="0" w:line="28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101.CAL</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101.DEF</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101.LAB</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101.PRE</w:t>
      </w:r>
    </w:p>
    <w:p>
      <w:pPr>
        <w:spacing w:after="0" w:line="36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294005</wp:posOffset>
            </wp:positionV>
            <wp:extent cx="5892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5892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61595</wp:posOffset>
            </wp:positionV>
            <wp:extent cx="7136765" cy="281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136765" cy="281940"/>
                    </a:xfrm>
                    <a:prstGeom prst="rect">
                      <a:avLst/>
                    </a:prstGeom>
                    <a:noFill/>
                  </pic:spPr>
                </pic:pic>
              </a:graphicData>
            </a:graphic>
          </wp:anchor>
        </w:drawing>
      </w:r>
    </w:p>
    <w:p>
      <w:pPr>
        <w:spacing w:after="0" w:line="211" w:lineRule="exact"/>
        <w:rPr>
          <w:sz w:val="20"/>
          <w:szCs w:val="20"/>
          <w:color w:val="auto"/>
        </w:rPr>
      </w:pPr>
    </w:p>
    <w:p>
      <w:pPr>
        <w:jc w:val="center"/>
        <w:ind w:right="140"/>
        <w:spacing w:after="0"/>
        <w:rPr>
          <w:rFonts w:ascii="Arial" w:cs="Arial" w:eastAsia="Arial" w:hAnsi="Arial"/>
          <w:sz w:val="13"/>
          <w:szCs w:val="13"/>
          <w:color w:val="0000FF"/>
        </w:rPr>
      </w:pPr>
      <w:hyperlink r:id="rId102">
        <w:r>
          <w:rPr>
            <w:rFonts w:ascii="Arial" w:cs="Arial" w:eastAsia="Arial" w:hAnsi="Arial"/>
            <w:sz w:val="13"/>
            <w:szCs w:val="13"/>
            <w:color w:val="0000FF"/>
          </w:rPr>
          <w:t>Amended and Restated Certificate of Incorporation of Enphase Energy, Inc.</w:t>
        </w:r>
      </w:hyperlink>
    </w:p>
    <w:p>
      <w:pPr>
        <w:spacing w:after="0" w:line="282" w:lineRule="exact"/>
        <w:rPr>
          <w:sz w:val="20"/>
          <w:szCs w:val="20"/>
          <w:color w:val="auto"/>
        </w:rPr>
      </w:pPr>
    </w:p>
    <w:p>
      <w:pPr>
        <w:ind w:right="520"/>
        <w:spacing w:after="0" w:line="287" w:lineRule="auto"/>
        <w:rPr>
          <w:rFonts w:ascii="Arial" w:cs="Arial" w:eastAsia="Arial" w:hAnsi="Arial"/>
          <w:sz w:val="14"/>
          <w:szCs w:val="14"/>
          <w:color w:val="0000FF"/>
        </w:rPr>
      </w:pPr>
      <w:hyperlink r:id="rId103">
        <w:r>
          <w:rPr>
            <w:rFonts w:ascii="Arial" w:cs="Arial" w:eastAsia="Arial" w:hAnsi="Arial"/>
            <w:sz w:val="14"/>
            <w:szCs w:val="14"/>
            <w:color w:val="0000FF"/>
          </w:rPr>
          <w:t>Certificate of Amendment of the Amended and Restated Certificate of</w:t>
        </w:r>
      </w:hyperlink>
      <w:r>
        <w:rPr>
          <w:rFonts w:ascii="Arial" w:cs="Arial" w:eastAsia="Arial" w:hAnsi="Arial"/>
          <w:sz w:val="14"/>
          <w:szCs w:val="14"/>
          <w:color w:val="0000FF"/>
        </w:rPr>
        <w:t xml:space="preserve"> </w:t>
      </w:r>
      <w:hyperlink r:id="rId103">
        <w:r>
          <w:rPr>
            <w:rFonts w:ascii="Arial" w:cs="Arial" w:eastAsia="Arial" w:hAnsi="Arial"/>
            <w:sz w:val="14"/>
            <w:szCs w:val="14"/>
            <w:color w:val="0000FF"/>
          </w:rPr>
          <w:t>Incorporation of Enphase Energy,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60325</wp:posOffset>
            </wp:positionV>
            <wp:extent cx="7136765" cy="3816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136765" cy="381635"/>
                    </a:xfrm>
                    <a:prstGeom prst="rect">
                      <a:avLst/>
                    </a:prstGeom>
                    <a:noFill/>
                  </pic:spPr>
                </pic:pic>
              </a:graphicData>
            </a:graphic>
          </wp:anchor>
        </w:drawing>
      </w:r>
    </w:p>
    <w:p>
      <w:pPr>
        <w:spacing w:after="0" w:line="196" w:lineRule="exact"/>
        <w:rPr>
          <w:sz w:val="20"/>
          <w:szCs w:val="20"/>
          <w:color w:val="auto"/>
        </w:rPr>
      </w:pPr>
    </w:p>
    <w:p>
      <w:pPr>
        <w:ind w:right="520"/>
        <w:spacing w:after="0" w:line="287" w:lineRule="auto"/>
        <w:rPr>
          <w:rFonts w:ascii="Arial" w:cs="Arial" w:eastAsia="Arial" w:hAnsi="Arial"/>
          <w:sz w:val="14"/>
          <w:szCs w:val="14"/>
          <w:color w:val="0000FF"/>
        </w:rPr>
      </w:pPr>
      <w:hyperlink r:id="rId104">
        <w:r>
          <w:rPr>
            <w:rFonts w:ascii="Arial" w:cs="Arial" w:eastAsia="Arial" w:hAnsi="Arial"/>
            <w:sz w:val="14"/>
            <w:szCs w:val="14"/>
            <w:color w:val="0000FF"/>
          </w:rPr>
          <w:t>Certificate of Amendment of the Amended and Restated Certificate of</w:t>
        </w:r>
      </w:hyperlink>
      <w:r>
        <w:rPr>
          <w:rFonts w:ascii="Arial" w:cs="Arial" w:eastAsia="Arial" w:hAnsi="Arial"/>
          <w:sz w:val="14"/>
          <w:szCs w:val="14"/>
          <w:color w:val="0000FF"/>
        </w:rPr>
        <w:t xml:space="preserve"> </w:t>
      </w:r>
      <w:hyperlink r:id="rId104">
        <w:r>
          <w:rPr>
            <w:rFonts w:ascii="Arial" w:cs="Arial" w:eastAsia="Arial" w:hAnsi="Arial"/>
            <w:sz w:val="14"/>
            <w:szCs w:val="14"/>
            <w:color w:val="0000FF"/>
          </w:rPr>
          <w:t>Incorporation of Enphase Energy, Inc.</w:t>
        </w:r>
      </w:hyperlink>
    </w:p>
    <w:p>
      <w:pPr>
        <w:spacing w:after="0" w:line="112" w:lineRule="exact"/>
        <w:rPr>
          <w:sz w:val="20"/>
          <w:szCs w:val="20"/>
          <w:color w:val="auto"/>
        </w:rPr>
      </w:pPr>
    </w:p>
    <w:p>
      <w:pPr>
        <w:ind w:right="520"/>
        <w:spacing w:after="0" w:line="287" w:lineRule="auto"/>
        <w:rPr>
          <w:rFonts w:ascii="Arial" w:cs="Arial" w:eastAsia="Arial" w:hAnsi="Arial"/>
          <w:sz w:val="14"/>
          <w:szCs w:val="14"/>
          <w:color w:val="0000FF"/>
        </w:rPr>
      </w:pPr>
      <w:hyperlink r:id="rId105">
        <w:r>
          <w:rPr>
            <w:rFonts w:ascii="Arial" w:cs="Arial" w:eastAsia="Arial" w:hAnsi="Arial"/>
            <w:sz w:val="14"/>
            <w:szCs w:val="14"/>
            <w:color w:val="0000FF"/>
          </w:rPr>
          <w:t>Certificate of Amendment of the Amended and Restated Certificate of</w:t>
        </w:r>
      </w:hyperlink>
      <w:r>
        <w:rPr>
          <w:rFonts w:ascii="Arial" w:cs="Arial" w:eastAsia="Arial" w:hAnsi="Arial"/>
          <w:sz w:val="14"/>
          <w:szCs w:val="14"/>
          <w:color w:val="0000FF"/>
        </w:rPr>
        <w:t xml:space="preserve"> </w:t>
      </w:r>
      <w:hyperlink r:id="rId105">
        <w:r>
          <w:rPr>
            <w:rFonts w:ascii="Arial" w:cs="Arial" w:eastAsia="Arial" w:hAnsi="Arial"/>
            <w:sz w:val="14"/>
            <w:szCs w:val="14"/>
            <w:color w:val="0000FF"/>
          </w:rPr>
          <w:t>Incorporation of Enphase Energy,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-5715</wp:posOffset>
            </wp:positionV>
            <wp:extent cx="7136765" cy="2736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136765" cy="273685"/>
                    </a:xfrm>
                    <a:prstGeom prst="rect">
                      <a:avLst/>
                    </a:prstGeom>
                    <a:noFill/>
                  </pic:spPr>
                </pic:pic>
              </a:graphicData>
            </a:graphic>
          </wp:anchor>
        </w:drawing>
      </w:r>
    </w:p>
    <w:p>
      <w:pPr>
        <w:ind w:right="520"/>
        <w:spacing w:after="0" w:line="287" w:lineRule="auto"/>
        <w:rPr>
          <w:rFonts w:ascii="Arial" w:cs="Arial" w:eastAsia="Arial" w:hAnsi="Arial"/>
          <w:sz w:val="14"/>
          <w:szCs w:val="14"/>
          <w:color w:val="0000FF"/>
        </w:rPr>
      </w:pPr>
      <w:hyperlink r:id="rId106">
        <w:r>
          <w:rPr>
            <w:rFonts w:ascii="Arial" w:cs="Arial" w:eastAsia="Arial" w:hAnsi="Arial"/>
            <w:sz w:val="14"/>
            <w:szCs w:val="14"/>
            <w:color w:val="0000FF"/>
          </w:rPr>
          <w:t>Certificate of Amendment of the Amended and Restated Certificate of</w:t>
        </w:r>
      </w:hyperlink>
      <w:r>
        <w:rPr>
          <w:rFonts w:ascii="Arial" w:cs="Arial" w:eastAsia="Arial" w:hAnsi="Arial"/>
          <w:sz w:val="14"/>
          <w:szCs w:val="14"/>
          <w:color w:val="0000FF"/>
        </w:rPr>
        <w:t xml:space="preserve"> </w:t>
      </w:r>
      <w:hyperlink r:id="rId106">
        <w:r>
          <w:rPr>
            <w:rFonts w:ascii="Arial" w:cs="Arial" w:eastAsia="Arial" w:hAnsi="Arial"/>
            <w:sz w:val="14"/>
            <w:szCs w:val="14"/>
            <w:color w:val="0000FF"/>
          </w:rPr>
          <w:t>Incorporation of Enphase Energy, Inc.</w:t>
        </w:r>
      </w:hyperlink>
    </w:p>
    <w:p>
      <w:pPr>
        <w:spacing w:after="0" w:line="138" w:lineRule="exact"/>
        <w:rPr>
          <w:sz w:val="20"/>
          <w:szCs w:val="20"/>
          <w:color w:val="auto"/>
        </w:rPr>
      </w:pPr>
    </w:p>
    <w:p>
      <w:pPr>
        <w:spacing w:after="0"/>
        <w:rPr>
          <w:rFonts w:ascii="Arial" w:cs="Arial" w:eastAsia="Arial" w:hAnsi="Arial"/>
          <w:sz w:val="14"/>
          <w:szCs w:val="14"/>
          <w:color w:val="0000FF"/>
        </w:rPr>
      </w:pPr>
      <w:hyperlink r:id="rId107">
        <w:r>
          <w:rPr>
            <w:rFonts w:ascii="Arial" w:cs="Arial" w:eastAsia="Arial" w:hAnsi="Arial"/>
            <w:sz w:val="14"/>
            <w:szCs w:val="14"/>
            <w:color w:val="0000FF"/>
          </w:rPr>
          <w:t>Amended and Restated Bylaws of Enphase Energy,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94615</wp:posOffset>
            </wp:positionV>
            <wp:extent cx="7136765" cy="2736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136765" cy="27368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0000FF"/>
        </w:rPr>
        <w:t>Certification of Chief Executive Officer pursuant to Rule 13a-14(a)/15d-14(a).</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0000FF"/>
        </w:rPr>
        <w:t>Certification of Chief Financial Officer pursuant to Rule 13a-14(a)/15d-14(a).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94615</wp:posOffset>
            </wp:positionV>
            <wp:extent cx="7136765" cy="4813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136765" cy="481330"/>
                    </a:xfrm>
                    <a:prstGeom prst="rect">
                      <a:avLst/>
                    </a:prstGeom>
                    <a:noFill/>
                  </pic:spPr>
                </pic:pic>
              </a:graphicData>
            </a:graphic>
          </wp:anchor>
        </w:drawing>
      </w:r>
    </w:p>
    <w:p>
      <w:pPr>
        <w:spacing w:after="0" w:line="250"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0000FF"/>
        </w:rPr>
        <w:t>Certification of Chief Executive Officer and Chief Financial Officer pursuant to 18 U.S.C. Section 1350 as Adopted Pursuant to Section 906 of the Sarbanes-Oxley Act of 2002, as amended.</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94615</wp:posOffset>
            </wp:positionV>
            <wp:extent cx="7136765" cy="2736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7136765" cy="27368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Schema Document.</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94615</wp:posOffset>
            </wp:positionV>
            <wp:extent cx="7136765" cy="2736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7136765" cy="27368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Definition Linkbase Document.</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94615</wp:posOffset>
            </wp:positionV>
            <wp:extent cx="7136765" cy="2736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136765" cy="27368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Presentation Document.</w:t>
      </w:r>
    </w:p>
    <w:p>
      <w:pPr>
        <w:spacing w:after="0" w:line="270" w:lineRule="exact"/>
        <w:rPr>
          <w:sz w:val="20"/>
          <w:szCs w:val="20"/>
          <w:color w:val="auto"/>
        </w:rPr>
      </w:pPr>
    </w:p>
    <w:p>
      <w:pPr>
        <w:ind w:right="80"/>
        <w:spacing w:after="0" w:line="287" w:lineRule="auto"/>
        <w:rPr>
          <w:sz w:val="20"/>
          <w:szCs w:val="20"/>
          <w:color w:val="auto"/>
        </w:rPr>
      </w:pPr>
      <w:r>
        <w:rPr>
          <w:rFonts w:ascii="Arial" w:cs="Arial" w:eastAsia="Arial" w:hAnsi="Arial"/>
          <w:sz w:val="14"/>
          <w:szCs w:val="14"/>
          <w:color w:val="auto"/>
        </w:rPr>
        <w:t>Cover Page Interactive Data File (formatted as Inline XBRL and contained in Exhibits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6060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Form</w:t>
            </w: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SEC File No.</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060" w:type="dxa"/>
            <w:vAlign w:val="bottom"/>
          </w:tcPr>
          <w:p>
            <w:pPr>
              <w:ind w:left="1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66"/>
        </w:trPr>
        <w:tc>
          <w:tcPr>
            <w:tcW w:w="5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8"/>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4/6/2012</w:t>
            </w:r>
          </w:p>
        </w:tc>
        <w:tc>
          <w:tcPr>
            <w:tcW w:w="0" w:type="dxa"/>
            <w:vAlign w:val="bottom"/>
          </w:tcPr>
          <w:p>
            <w:pPr>
              <w:spacing w:after="0"/>
              <w:rPr>
                <w:sz w:val="1"/>
                <w:szCs w:val="1"/>
                <w:color w:val="auto"/>
              </w:rPr>
            </w:pPr>
          </w:p>
        </w:tc>
      </w:tr>
      <w:tr>
        <w:trPr>
          <w:trHeight w:val="510"/>
        </w:trPr>
        <w:tc>
          <w:tcPr>
            <w:tcW w:w="680" w:type="dxa"/>
            <w:vAlign w:val="bottom"/>
            <w:gridSpan w:val="2"/>
          </w:tcPr>
          <w:p>
            <w:pPr>
              <w:jc w:val="center"/>
              <w:ind w:right="80"/>
              <w:spacing w:after="0"/>
              <w:rPr>
                <w:sz w:val="20"/>
                <w:szCs w:val="20"/>
                <w:color w:val="auto"/>
              </w:rPr>
            </w:pPr>
            <w:r>
              <w:rPr>
                <w:rFonts w:ascii="Arial" w:cs="Arial" w:eastAsia="Arial" w:hAnsi="Arial"/>
                <w:sz w:val="14"/>
                <w:szCs w:val="14"/>
                <w:color w:val="auto"/>
              </w:rPr>
              <w:t>10-Q</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8/9/2017</w:t>
            </w:r>
          </w:p>
        </w:tc>
        <w:tc>
          <w:tcPr>
            <w:tcW w:w="0" w:type="dxa"/>
            <w:vAlign w:val="bottom"/>
          </w:tcPr>
          <w:p>
            <w:pPr>
              <w:spacing w:after="0"/>
              <w:rPr>
                <w:sz w:val="1"/>
                <w:szCs w:val="1"/>
                <w:color w:val="auto"/>
              </w:rPr>
            </w:pPr>
          </w:p>
        </w:tc>
      </w:tr>
      <w:tr>
        <w:trPr>
          <w:trHeight w:val="601"/>
        </w:trPr>
        <w:tc>
          <w:tcPr>
            <w:tcW w:w="680" w:type="dxa"/>
            <w:vAlign w:val="bottom"/>
            <w:gridSpan w:val="2"/>
          </w:tcPr>
          <w:p>
            <w:pPr>
              <w:jc w:val="center"/>
              <w:ind w:right="80"/>
              <w:spacing w:after="0"/>
              <w:rPr>
                <w:sz w:val="20"/>
                <w:szCs w:val="20"/>
                <w:color w:val="auto"/>
              </w:rPr>
            </w:pPr>
            <w:r>
              <w:rPr>
                <w:rFonts w:ascii="Arial" w:cs="Arial" w:eastAsia="Arial" w:hAnsi="Arial"/>
                <w:sz w:val="14"/>
                <w:szCs w:val="14"/>
                <w:color w:val="auto"/>
              </w:rPr>
              <w:t>10-Q</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8/6/2018</w:t>
            </w:r>
          </w:p>
        </w:tc>
        <w:tc>
          <w:tcPr>
            <w:tcW w:w="0" w:type="dxa"/>
            <w:vAlign w:val="bottom"/>
          </w:tcPr>
          <w:p>
            <w:pPr>
              <w:spacing w:after="0"/>
              <w:rPr>
                <w:sz w:val="1"/>
                <w:szCs w:val="1"/>
                <w:color w:val="auto"/>
              </w:rPr>
            </w:pPr>
          </w:p>
        </w:tc>
      </w:tr>
      <w:tr>
        <w:trPr>
          <w:trHeight w:val="497"/>
        </w:trPr>
        <w:tc>
          <w:tcPr>
            <w:tcW w:w="6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5/27/2020</w:t>
            </w:r>
          </w:p>
        </w:tc>
        <w:tc>
          <w:tcPr>
            <w:tcW w:w="0" w:type="dxa"/>
            <w:vAlign w:val="bottom"/>
          </w:tcPr>
          <w:p>
            <w:pPr>
              <w:spacing w:after="0"/>
              <w:rPr>
                <w:sz w:val="1"/>
                <w:szCs w:val="1"/>
                <w:color w:val="auto"/>
              </w:rPr>
            </w:pPr>
          </w:p>
        </w:tc>
      </w:tr>
      <w:tr>
        <w:trPr>
          <w:trHeight w:val="52"/>
        </w:trPr>
        <w:tc>
          <w:tcPr>
            <w:tcW w:w="680" w:type="dxa"/>
            <w:vAlign w:val="bottom"/>
            <w:gridSpan w:val="2"/>
            <w:vMerge w:val="continue"/>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rPr>
              <w:t>S-8</w:t>
            </w:r>
          </w:p>
        </w:tc>
        <w:tc>
          <w:tcPr>
            <w:tcW w:w="1160" w:type="dxa"/>
            <w:vAlign w:val="bottom"/>
          </w:tcPr>
          <w:p>
            <w:pPr>
              <w:jc w:val="center"/>
              <w:spacing w:after="0"/>
              <w:rPr>
                <w:sz w:val="20"/>
                <w:szCs w:val="20"/>
                <w:color w:val="auto"/>
              </w:rPr>
            </w:pPr>
            <w:r>
              <w:rPr>
                <w:rFonts w:ascii="Arial" w:cs="Arial" w:eastAsia="Arial" w:hAnsi="Arial"/>
                <w:sz w:val="14"/>
                <w:szCs w:val="14"/>
                <w:color w:val="auto"/>
                <w:w w:val="98"/>
              </w:rPr>
              <w:t>333-256290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5/19/2021</w:t>
            </w:r>
          </w:p>
        </w:tc>
        <w:tc>
          <w:tcPr>
            <w:tcW w:w="0" w:type="dxa"/>
            <w:vAlign w:val="bottom"/>
          </w:tcPr>
          <w:p>
            <w:pPr>
              <w:spacing w:after="0"/>
              <w:rPr>
                <w:sz w:val="1"/>
                <w:szCs w:val="1"/>
                <w:color w:val="auto"/>
              </w:rPr>
            </w:pPr>
          </w:p>
        </w:tc>
      </w:tr>
      <w:tr>
        <w:trPr>
          <w:trHeight w:val="431"/>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4/8/2022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Filed</w:t>
      </w:r>
    </w:p>
    <w:p>
      <w:pPr>
        <w:jc w:val="center"/>
        <w:ind w:right="160"/>
        <w:spacing w:after="0"/>
        <w:rPr>
          <w:sz w:val="20"/>
          <w:szCs w:val="20"/>
          <w:color w:val="auto"/>
        </w:rPr>
      </w:pPr>
      <w:r>
        <w:rPr>
          <w:rFonts w:ascii="Arial" w:cs="Arial" w:eastAsia="Arial" w:hAnsi="Arial"/>
          <w:sz w:val="14"/>
          <w:szCs w:val="14"/>
          <w:b w:val="1"/>
          <w:bCs w:val="1"/>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X</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2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4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X</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X</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X</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X</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X</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X</w:t>
      </w:r>
    </w:p>
    <w:p>
      <w:pPr>
        <w:spacing w:after="0" w:line="34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X</w:t>
      </w:r>
    </w:p>
    <w:p>
      <w:pPr>
        <w:spacing w:after="0" w:line="345" w:lineRule="exact"/>
        <w:rPr>
          <w:sz w:val="20"/>
          <w:szCs w:val="20"/>
          <w:color w:val="auto"/>
        </w:rPr>
      </w:pPr>
    </w:p>
    <w:p>
      <w:pPr>
        <w:sectPr>
          <w:pgSz w:w="11900" w:h="16838" w:orient="portrait"/>
          <w:cols w:equalWidth="0" w:num="4">
            <w:col w:w="780" w:space="320"/>
            <w:col w:w="4800" w:space="160"/>
            <w:col w:w="4120" w:space="280"/>
            <w:col w:w="760"/>
          </w:cols>
          <w:pgMar w:left="320" w:top="280" w:right="359" w:bottom="1440" w:gutter="0" w:footer="0" w:header="0"/>
          <w:type w:val="continuous"/>
        </w:sectPr>
      </w:pPr>
    </w:p>
    <w:p>
      <w:pPr>
        <w:spacing w:after="0" w:line="283" w:lineRule="exact"/>
        <w:rPr>
          <w:sz w:val="20"/>
          <w:szCs w:val="20"/>
          <w:color w:val="auto"/>
        </w:rPr>
      </w:pPr>
    </w:p>
    <w:p>
      <w:pPr>
        <w:ind w:left="320" w:hanging="315"/>
        <w:spacing w:after="0" w:line="277" w:lineRule="auto"/>
        <w:tabs>
          <w:tab w:leader="none" w:pos="26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certifications attached as Exhibit 32.1 accompany this Quarterly Report on Form 10-Q pursuant to 18 U.S.C. Section 1350, as adopted pursuant to Section 906 of the Sarbanes-Oxley Act, and shall not be deemed “filed” by Enphase Energy, Inc. for purposes of Section 18 of the Securities Exchange Act of 1934, as amended, nor shall they be deemed incorporated by reference in any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828282"/>
        </w:rPr>
        <w:t>Enphase Energy, Inc. | 2024 Form 10-Q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216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280" w:right="35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SIGNATURE</w:t>
      </w:r>
    </w:p>
    <w:p>
      <w:pPr>
        <w:spacing w:after="0" w:line="120" w:lineRule="exact"/>
        <w:rPr>
          <w:sz w:val="20"/>
          <w:szCs w:val="20"/>
          <w:color w:val="auto"/>
        </w:rPr>
      </w:pPr>
    </w:p>
    <w:p>
      <w:pPr>
        <w:ind w:firstLine="470"/>
        <w:spacing w:after="0" w:line="29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Quarterly Report on Form 10-Q to be signed on its behalf by the undersigned, thereunto duly authorized.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Dated: July 23, 2024</w:t>
      </w:r>
    </w:p>
    <w:p>
      <w:pPr>
        <w:spacing w:after="0" w:line="155"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ENPHASE ENERGY, INC.</w:t>
      </w:r>
    </w:p>
    <w:p>
      <w:pPr>
        <w:spacing w:after="0" w:line="81" w:lineRule="exact"/>
        <w:rPr>
          <w:sz w:val="20"/>
          <w:szCs w:val="20"/>
          <w:color w:val="auto"/>
        </w:rPr>
      </w:pPr>
    </w:p>
    <w:p>
      <w:pPr>
        <w:ind w:left="4520"/>
        <w:spacing w:after="0"/>
        <w:tabs>
          <w:tab w:leader="none" w:pos="55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Mandy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3504565</wp:posOffset>
            </wp:positionH>
            <wp:positionV relativeFrom="paragraph">
              <wp:posOffset>19050</wp:posOffset>
            </wp:positionV>
            <wp:extent cx="33858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2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Mandy Yang</w:t>
      </w:r>
    </w:p>
    <w:p>
      <w:pPr>
        <w:spacing w:after="0" w:line="17"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Executive Vice President and Chief Financial Officer</w:t>
      </w:r>
    </w:p>
    <w:p>
      <w:pPr>
        <w:ind w:left="5540"/>
        <w:spacing w:after="0" w:line="224" w:lineRule="auto"/>
        <w:rPr>
          <w:sz w:val="20"/>
          <w:szCs w:val="20"/>
          <w:color w:val="auto"/>
        </w:rPr>
      </w:pPr>
      <w:r>
        <w:rPr>
          <w:rFonts w:ascii="Arial" w:cs="Arial" w:eastAsia="Arial" w:hAnsi="Arial"/>
          <w:sz w:val="17"/>
          <w:szCs w:val="17"/>
          <w:color w:val="auto"/>
        </w:rPr>
        <w:t>(Principal Financial Officer)</w:t>
      </w:r>
    </w:p>
    <w:p>
      <w:pPr>
        <w:spacing w:after="0" w:line="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10"/>
          <w:szCs w:val="10"/>
          <w:color w:val="828282"/>
        </w:rPr>
        <w:t>Enphase Energy, Inc. | 2024 Form 10-Q | 48</w:t>
      </w:r>
    </w:p>
    <w:p>
      <w:pPr>
        <w:sectPr>
          <w:pgSz w:w="11900" w:h="16838" w:orient="portrait"/>
          <w:cols w:equalWidth="0" w:num="1">
            <w:col w:w="11180"/>
          </w:cols>
          <w:pgMar w:left="320" w:top="279" w:right="399" w:bottom="1440" w:gutter="0" w:footer="0" w:header="0"/>
        </w:sectPr>
      </w:pPr>
    </w:p>
    <w:bookmarkStart w:id="48" w:name="page49"/>
    <w:bookmarkEnd w:id="48"/>
    <w:p>
      <w:pPr>
        <w:jc w:val="right"/>
        <w:spacing w:after="0"/>
        <w:rPr>
          <w:sz w:val="20"/>
          <w:szCs w:val="20"/>
          <w:color w:val="auto"/>
        </w:rPr>
      </w:pPr>
      <w:r>
        <w:rPr>
          <w:rFonts w:ascii="Arial" w:cs="Arial" w:eastAsia="Arial" w:hAnsi="Arial"/>
          <w:sz w:val="17"/>
          <w:szCs w:val="17"/>
          <w:b w:val="1"/>
          <w:bCs w:val="1"/>
          <w:color w:val="auto"/>
        </w:rPr>
        <w:t>Exhibit 31.1</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I, Badrinarayanan Kothandaraman, certify that:</w:t>
      </w:r>
    </w:p>
    <w:p>
      <w:pPr>
        <w:spacing w:after="0" w:line="118" w:lineRule="exact"/>
        <w:rPr>
          <w:sz w:val="20"/>
          <w:szCs w:val="20"/>
          <w:color w:val="auto"/>
        </w:rPr>
      </w:pPr>
    </w:p>
    <w:p>
      <w:pPr>
        <w:ind w:left="300" w:hanging="295"/>
        <w:spacing w:after="0"/>
        <w:tabs>
          <w:tab w:leader="none" w:pos="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 have reviewed this Form 10-Q of Enphase Energy, Inc.;</w:t>
      </w:r>
    </w:p>
    <w:p>
      <w:pPr>
        <w:spacing w:after="0" w:line="118" w:lineRule="exact"/>
        <w:rPr>
          <w:rFonts w:ascii="Arial" w:cs="Arial" w:eastAsia="Arial" w:hAnsi="Arial"/>
          <w:sz w:val="17"/>
          <w:szCs w:val="17"/>
          <w:color w:val="auto"/>
        </w:rPr>
      </w:pPr>
    </w:p>
    <w:p>
      <w:pPr>
        <w:ind w:left="320" w:right="140" w:hanging="315"/>
        <w:spacing w:after="0" w:line="277" w:lineRule="auto"/>
        <w:tabs>
          <w:tab w:leader="none" w:pos="308"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7"/>
          <w:szCs w:val="17"/>
          <w:color w:val="auto"/>
        </w:rPr>
      </w:pPr>
    </w:p>
    <w:p>
      <w:pPr>
        <w:ind w:left="320" w:right="100" w:hanging="315"/>
        <w:spacing w:after="0" w:line="298" w:lineRule="auto"/>
        <w:tabs>
          <w:tab w:leader="none" w:pos="308"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7"/>
          <w:szCs w:val="17"/>
          <w:color w:val="auto"/>
        </w:rPr>
      </w:pPr>
    </w:p>
    <w:p>
      <w:pPr>
        <w:ind w:left="320" w:right="100" w:hanging="315"/>
        <w:spacing w:after="0" w:line="277" w:lineRule="auto"/>
        <w:tabs>
          <w:tab w:leader="none" w:pos="30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 w:lineRule="exact"/>
        <w:rPr>
          <w:rFonts w:ascii="Arial" w:cs="Arial" w:eastAsia="Arial" w:hAnsi="Arial"/>
          <w:sz w:val="17"/>
          <w:szCs w:val="17"/>
          <w:color w:val="auto"/>
        </w:rPr>
      </w:pPr>
    </w:p>
    <w:p>
      <w:pPr>
        <w:ind w:left="1100" w:right="180" w:hanging="311"/>
        <w:spacing w:after="0" w:line="277" w:lineRule="auto"/>
        <w:tabs>
          <w:tab w:leader="none" w:pos="1088"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Arial" w:cs="Arial" w:eastAsia="Arial" w:hAnsi="Arial"/>
          <w:sz w:val="17"/>
          <w:szCs w:val="17"/>
          <w:color w:val="auto"/>
        </w:rPr>
      </w:pPr>
    </w:p>
    <w:p>
      <w:pPr>
        <w:ind w:left="1100" w:right="60" w:hanging="311"/>
        <w:spacing w:after="0" w:line="277" w:lineRule="auto"/>
        <w:tabs>
          <w:tab w:leader="none" w:pos="1088"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Arial" w:cs="Arial" w:eastAsia="Arial" w:hAnsi="Arial"/>
          <w:sz w:val="17"/>
          <w:szCs w:val="17"/>
          <w:color w:val="auto"/>
        </w:rPr>
      </w:pPr>
    </w:p>
    <w:p>
      <w:pPr>
        <w:ind w:left="1100" w:right="100" w:hanging="311"/>
        <w:spacing w:after="0" w:line="277" w:lineRule="auto"/>
        <w:tabs>
          <w:tab w:leader="none" w:pos="1092"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 w:lineRule="exact"/>
        <w:rPr>
          <w:rFonts w:ascii="Arial" w:cs="Arial" w:eastAsia="Arial" w:hAnsi="Arial"/>
          <w:sz w:val="17"/>
          <w:szCs w:val="17"/>
          <w:color w:val="auto"/>
        </w:rPr>
      </w:pPr>
    </w:p>
    <w:p>
      <w:pPr>
        <w:ind w:left="1100" w:right="320" w:hanging="311"/>
        <w:spacing w:after="0" w:line="277" w:lineRule="auto"/>
        <w:tabs>
          <w:tab w:leader="none" w:pos="1088" w:val="left"/>
        </w:tabs>
        <w:numPr>
          <w:ilvl w:val="1"/>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7"/>
          <w:szCs w:val="17"/>
          <w:color w:val="auto"/>
        </w:rPr>
      </w:pPr>
    </w:p>
    <w:p>
      <w:pPr>
        <w:ind w:left="320" w:right="20" w:hanging="315"/>
        <w:spacing w:after="0" w:line="298" w:lineRule="auto"/>
        <w:tabs>
          <w:tab w:leader="none" w:pos="30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1100" w:right="160" w:hanging="311"/>
        <w:spacing w:after="0" w:line="298" w:lineRule="auto"/>
        <w:tabs>
          <w:tab w:leader="none" w:pos="1088"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1100" w:right="380" w:hanging="311"/>
        <w:spacing w:after="0" w:line="298" w:lineRule="auto"/>
        <w:tabs>
          <w:tab w:leader="none" w:pos="1088" w:val="left"/>
        </w:tabs>
        <w:numPr>
          <w:ilvl w:val="1"/>
          <w:numId w:val="2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color w:val="auto"/>
        </w:rPr>
        <w:t>Date: July 23, 2024</w:t>
      </w:r>
    </w:p>
    <w:p>
      <w:pPr>
        <w:spacing w:after="0" w:line="200" w:lineRule="exact"/>
        <w:rPr>
          <w:sz w:val="20"/>
          <w:szCs w:val="20"/>
          <w:color w:val="auto"/>
        </w:rPr>
      </w:pPr>
    </w:p>
    <w:p>
      <w:pPr>
        <w:spacing w:after="0" w:line="25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 BADRINARAYANAN KOTHANDARAMAN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19050</wp:posOffset>
            </wp:positionV>
            <wp:extent cx="35680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2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Badrinarayanan Kothandaraman</w:t>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President and Chief Executive Officer</w:t>
      </w:r>
    </w:p>
    <w:p>
      <w:pPr>
        <w:ind w:left="564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036"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7"/>
          <w:szCs w:val="17"/>
          <w:b w:val="1"/>
          <w:bCs w:val="1"/>
          <w:color w:val="auto"/>
        </w:rPr>
        <w:t>Exhibit 31.2</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I, Mandy Yang, certify that:</w:t>
      </w:r>
    </w:p>
    <w:p>
      <w:pPr>
        <w:spacing w:after="0" w:line="118" w:lineRule="exact"/>
        <w:rPr>
          <w:sz w:val="20"/>
          <w:szCs w:val="20"/>
          <w:color w:val="auto"/>
        </w:rPr>
      </w:pPr>
    </w:p>
    <w:p>
      <w:pPr>
        <w:ind w:left="300" w:hanging="295"/>
        <w:spacing w:after="0"/>
        <w:tabs>
          <w:tab w:leader="none" w:pos="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 have reviewed this Form 10-Q of Enphase Energy, Inc.;</w:t>
      </w:r>
    </w:p>
    <w:p>
      <w:pPr>
        <w:spacing w:after="0" w:line="118" w:lineRule="exact"/>
        <w:rPr>
          <w:rFonts w:ascii="Arial" w:cs="Arial" w:eastAsia="Arial" w:hAnsi="Arial"/>
          <w:sz w:val="17"/>
          <w:szCs w:val="17"/>
          <w:color w:val="auto"/>
        </w:rPr>
      </w:pPr>
    </w:p>
    <w:p>
      <w:pPr>
        <w:ind w:left="320" w:right="140" w:hanging="315"/>
        <w:spacing w:after="0" w:line="277" w:lineRule="auto"/>
        <w:tabs>
          <w:tab w:leader="none" w:pos="308"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7"/>
          <w:szCs w:val="17"/>
          <w:color w:val="auto"/>
        </w:rPr>
      </w:pPr>
    </w:p>
    <w:p>
      <w:pPr>
        <w:ind w:left="320" w:right="100" w:hanging="315"/>
        <w:spacing w:after="0" w:line="298" w:lineRule="auto"/>
        <w:tabs>
          <w:tab w:leader="none" w:pos="308"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7"/>
          <w:szCs w:val="17"/>
          <w:color w:val="auto"/>
        </w:rPr>
      </w:pPr>
    </w:p>
    <w:p>
      <w:pPr>
        <w:ind w:left="320" w:right="100" w:hanging="315"/>
        <w:spacing w:after="0" w:line="277" w:lineRule="auto"/>
        <w:tabs>
          <w:tab w:leader="none" w:pos="308"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 w:lineRule="exact"/>
        <w:rPr>
          <w:rFonts w:ascii="Arial" w:cs="Arial" w:eastAsia="Arial" w:hAnsi="Arial"/>
          <w:sz w:val="17"/>
          <w:szCs w:val="17"/>
          <w:color w:val="auto"/>
        </w:rPr>
      </w:pPr>
    </w:p>
    <w:p>
      <w:pPr>
        <w:ind w:left="1100" w:right="180" w:hanging="311"/>
        <w:spacing w:after="0" w:line="277" w:lineRule="auto"/>
        <w:tabs>
          <w:tab w:leader="none" w:pos="1088"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Arial" w:cs="Arial" w:eastAsia="Arial" w:hAnsi="Arial"/>
          <w:sz w:val="17"/>
          <w:szCs w:val="17"/>
          <w:color w:val="auto"/>
        </w:rPr>
      </w:pPr>
    </w:p>
    <w:p>
      <w:pPr>
        <w:ind w:left="1100" w:right="60" w:hanging="311"/>
        <w:spacing w:after="0" w:line="277" w:lineRule="auto"/>
        <w:tabs>
          <w:tab w:leader="none" w:pos="1088"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Arial" w:cs="Arial" w:eastAsia="Arial" w:hAnsi="Arial"/>
          <w:sz w:val="17"/>
          <w:szCs w:val="17"/>
          <w:color w:val="auto"/>
        </w:rPr>
      </w:pPr>
    </w:p>
    <w:p>
      <w:pPr>
        <w:ind w:left="1100" w:right="100" w:hanging="311"/>
        <w:spacing w:after="0" w:line="277" w:lineRule="auto"/>
        <w:tabs>
          <w:tab w:leader="none" w:pos="1092"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 w:lineRule="exact"/>
        <w:rPr>
          <w:rFonts w:ascii="Arial" w:cs="Arial" w:eastAsia="Arial" w:hAnsi="Arial"/>
          <w:sz w:val="17"/>
          <w:szCs w:val="17"/>
          <w:color w:val="auto"/>
        </w:rPr>
      </w:pPr>
    </w:p>
    <w:p>
      <w:pPr>
        <w:ind w:left="1100" w:right="320" w:hanging="311"/>
        <w:spacing w:after="0" w:line="277" w:lineRule="auto"/>
        <w:tabs>
          <w:tab w:leader="none" w:pos="1088" w:val="left"/>
        </w:tabs>
        <w:numPr>
          <w:ilvl w:val="1"/>
          <w:numId w:val="2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7"/>
          <w:szCs w:val="17"/>
          <w:color w:val="auto"/>
        </w:rPr>
      </w:pPr>
    </w:p>
    <w:p>
      <w:pPr>
        <w:ind w:left="320" w:right="20" w:hanging="315"/>
        <w:spacing w:after="0" w:line="298" w:lineRule="auto"/>
        <w:tabs>
          <w:tab w:leader="none" w:pos="308"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1100" w:right="160" w:hanging="311"/>
        <w:spacing w:after="0" w:line="298" w:lineRule="auto"/>
        <w:tabs>
          <w:tab w:leader="none" w:pos="1088"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1100" w:right="380" w:hanging="311"/>
        <w:spacing w:after="0" w:line="298" w:lineRule="auto"/>
        <w:tabs>
          <w:tab w:leader="none" w:pos="1088" w:val="left"/>
        </w:tabs>
        <w:numPr>
          <w:ilvl w:val="1"/>
          <w:numId w:val="2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color w:val="auto"/>
        </w:rPr>
        <w:t>Date: July 23, 2024</w:t>
      </w:r>
    </w:p>
    <w:p>
      <w:pPr>
        <w:spacing w:after="0" w:line="200" w:lineRule="exact"/>
        <w:rPr>
          <w:sz w:val="20"/>
          <w:szCs w:val="20"/>
          <w:color w:val="auto"/>
        </w:rPr>
      </w:pPr>
    </w:p>
    <w:p>
      <w:pPr>
        <w:spacing w:after="0" w:line="25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 MANDY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19050</wp:posOffset>
            </wp:positionV>
            <wp:extent cx="35680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2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Mandy Yang</w:t>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Executive Vice President and Chief Financial Officer (Principal Financial</w:t>
      </w:r>
    </w:p>
    <w:p>
      <w:pPr>
        <w:ind w:left="5640"/>
        <w:spacing w:after="0"/>
        <w:rPr>
          <w:sz w:val="20"/>
          <w:szCs w:val="20"/>
          <w:color w:val="auto"/>
        </w:rPr>
      </w:pPr>
      <w:r>
        <w:rPr>
          <w:rFonts w:ascii="Arial" w:cs="Arial" w:eastAsia="Arial" w:hAnsi="Arial"/>
          <w:sz w:val="17"/>
          <w:szCs w:val="17"/>
          <w:color w:val="auto"/>
        </w:rPr>
        <w:t>Officer)</w:t>
      </w:r>
    </w:p>
    <w:p>
      <w:pPr>
        <w:sectPr>
          <w:pgSz w:w="11900" w:h="16838" w:orient="portrait"/>
          <w:cols w:equalWidth="0" w:num="1">
            <w:col w:w="11240"/>
          </w:cols>
          <w:pgMar w:left="320" w:top="103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7"/>
          <w:szCs w:val="17"/>
          <w:b w:val="1"/>
          <w:bCs w:val="1"/>
          <w:color w:val="auto"/>
        </w:rPr>
        <w:t>Exhibit 32.1</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07"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Badrinarayanan Kothandaraman, President and Chief Executive Officer of Enphase Energy, Inc. (the “Company”), and Mandy Yang, Executive Vice President and Chief Financial Officer of the Company, each hereby certifies that, to the best of his or her knowledge:</w:t>
      </w:r>
    </w:p>
    <w:p>
      <w:pPr>
        <w:spacing w:after="0" w:line="61" w:lineRule="exact"/>
        <w:rPr>
          <w:sz w:val="20"/>
          <w:szCs w:val="20"/>
          <w:color w:val="auto"/>
        </w:rPr>
      </w:pPr>
    </w:p>
    <w:p>
      <w:pPr>
        <w:ind w:right="160" w:firstLine="5"/>
        <w:spacing w:after="0" w:line="298" w:lineRule="auto"/>
        <w:tabs>
          <w:tab w:leader="none" w:pos="194"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quarterly period ended June 30, 2024, to which this Certification is attached as Exhibit 32.1 (the “Periodic Report”), fully complies with the requirements of Section 13(a) or Section 15(d) of the Exchange Act; and</w:t>
      </w:r>
    </w:p>
    <w:p>
      <w:pPr>
        <w:spacing w:after="0" w:line="37" w:lineRule="exact"/>
        <w:rPr>
          <w:rFonts w:ascii="Arial" w:cs="Arial" w:eastAsia="Arial" w:hAnsi="Arial"/>
          <w:sz w:val="17"/>
          <w:szCs w:val="17"/>
          <w:color w:val="auto"/>
        </w:rPr>
      </w:pPr>
    </w:p>
    <w:p>
      <w:pPr>
        <w:ind w:right="140" w:firstLine="5"/>
        <w:spacing w:after="0" w:line="298" w:lineRule="auto"/>
        <w:tabs>
          <w:tab w:leader="none" w:pos="194"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60" w:type="dxa"/>
            <w:vAlign w:val="bottom"/>
            <w:gridSpan w:val="2"/>
          </w:tcPr>
          <w:p>
            <w:pPr>
              <w:ind w:left="20"/>
              <w:spacing w:after="0"/>
              <w:rPr>
                <w:sz w:val="20"/>
                <w:szCs w:val="20"/>
                <w:color w:val="auto"/>
              </w:rPr>
            </w:pPr>
            <w:r>
              <w:rPr>
                <w:rFonts w:ascii="Arial" w:cs="Arial" w:eastAsia="Arial" w:hAnsi="Arial"/>
                <w:sz w:val="17"/>
                <w:szCs w:val="17"/>
                <w:color w:val="auto"/>
              </w:rPr>
              <w:t>Date: July 23, 2024</w:t>
            </w:r>
          </w:p>
        </w:tc>
        <w:tc>
          <w:tcPr>
            <w:tcW w:w="5560" w:type="dxa"/>
            <w:vAlign w:val="bottom"/>
          </w:tcPr>
          <w:p>
            <w:pPr>
              <w:ind w:left="20"/>
              <w:spacing w:after="0"/>
              <w:rPr>
                <w:sz w:val="20"/>
                <w:szCs w:val="20"/>
                <w:color w:val="auto"/>
              </w:rPr>
            </w:pPr>
            <w:r>
              <w:rPr>
                <w:rFonts w:ascii="Arial" w:cs="Arial" w:eastAsia="Arial" w:hAnsi="Arial"/>
                <w:sz w:val="17"/>
                <w:szCs w:val="17"/>
                <w:color w:val="auto"/>
              </w:rPr>
              <w:t>July 23, 2024</w:t>
            </w:r>
          </w:p>
        </w:tc>
      </w:tr>
      <w:tr>
        <w:trPr>
          <w:trHeight w:val="428"/>
        </w:trPr>
        <w:tc>
          <w:tcPr>
            <w:tcW w:w="5660" w:type="dxa"/>
            <w:vAlign w:val="bottom"/>
            <w:gridSpan w:val="2"/>
          </w:tcPr>
          <w:p>
            <w:pPr>
              <w:ind w:left="20"/>
              <w:spacing w:after="0"/>
              <w:rPr>
                <w:sz w:val="20"/>
                <w:szCs w:val="20"/>
                <w:color w:val="auto"/>
              </w:rPr>
            </w:pPr>
            <w:r>
              <w:rPr>
                <w:rFonts w:ascii="Arial" w:cs="Arial" w:eastAsia="Arial" w:hAnsi="Arial"/>
                <w:sz w:val="17"/>
                <w:szCs w:val="17"/>
                <w:color w:val="auto"/>
              </w:rPr>
              <w:t>/s/ BADRINARAYANAN KOTHANDARAMAN</w:t>
            </w:r>
          </w:p>
        </w:tc>
        <w:tc>
          <w:tcPr>
            <w:tcW w:w="5560" w:type="dxa"/>
            <w:vAlign w:val="bottom"/>
          </w:tcPr>
          <w:p>
            <w:pPr>
              <w:ind w:left="20"/>
              <w:spacing w:after="0"/>
              <w:rPr>
                <w:sz w:val="20"/>
                <w:szCs w:val="20"/>
                <w:color w:val="auto"/>
              </w:rPr>
            </w:pPr>
            <w:r>
              <w:rPr>
                <w:rFonts w:ascii="Arial" w:cs="Arial" w:eastAsia="Arial" w:hAnsi="Arial"/>
                <w:sz w:val="17"/>
                <w:szCs w:val="17"/>
                <w:color w:val="auto"/>
              </w:rPr>
              <w:t>/s/ MANDY YANG</w:t>
            </w:r>
          </w:p>
        </w:tc>
      </w:tr>
      <w:tr>
        <w:trPr>
          <w:trHeight w:val="211"/>
        </w:trPr>
        <w:tc>
          <w:tcPr>
            <w:tcW w:w="55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Badrinarayanan Kothandaraman</w:t>
            </w:r>
          </w:p>
        </w:tc>
        <w:tc>
          <w:tcPr>
            <w:tcW w:w="100" w:type="dxa"/>
            <w:vAlign w:val="bottom"/>
          </w:tcPr>
          <w:p>
            <w:pPr>
              <w:spacing w:after="0"/>
              <w:rPr>
                <w:sz w:val="18"/>
                <w:szCs w:val="18"/>
                <w:color w:val="auto"/>
              </w:rPr>
            </w:pPr>
          </w:p>
        </w:tc>
        <w:tc>
          <w:tcPr>
            <w:tcW w:w="55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Mandy Yang</w:t>
            </w:r>
          </w:p>
        </w:tc>
      </w:tr>
      <w:tr>
        <w:trPr>
          <w:trHeight w:val="174"/>
        </w:trPr>
        <w:tc>
          <w:tcPr>
            <w:tcW w:w="5660" w:type="dxa"/>
            <w:vAlign w:val="bottom"/>
            <w:gridSpan w:val="2"/>
          </w:tcPr>
          <w:p>
            <w:pPr>
              <w:ind w:left="20"/>
              <w:spacing w:after="0" w:line="174" w:lineRule="exact"/>
              <w:rPr>
                <w:sz w:val="20"/>
                <w:szCs w:val="20"/>
                <w:color w:val="auto"/>
              </w:rPr>
            </w:pPr>
            <w:r>
              <w:rPr>
                <w:rFonts w:ascii="Arial" w:cs="Arial" w:eastAsia="Arial" w:hAnsi="Arial"/>
                <w:sz w:val="17"/>
                <w:szCs w:val="17"/>
                <w:color w:val="auto"/>
              </w:rPr>
              <w:t>President and Chief Executive Officer</w:t>
            </w:r>
          </w:p>
        </w:tc>
        <w:tc>
          <w:tcPr>
            <w:tcW w:w="5560" w:type="dxa"/>
            <w:vAlign w:val="bottom"/>
          </w:tcPr>
          <w:p>
            <w:pPr>
              <w:ind w:left="20"/>
              <w:spacing w:after="0" w:line="174" w:lineRule="exact"/>
              <w:rPr>
                <w:sz w:val="20"/>
                <w:szCs w:val="20"/>
                <w:color w:val="auto"/>
              </w:rPr>
            </w:pPr>
            <w:r>
              <w:rPr>
                <w:rFonts w:ascii="Arial" w:cs="Arial" w:eastAsia="Arial" w:hAnsi="Arial"/>
                <w:sz w:val="17"/>
                <w:szCs w:val="17"/>
                <w:color w:val="auto"/>
              </w:rPr>
              <w:t>Executive Vice President and Chief Financial Officer (Principal</w:t>
            </w:r>
          </w:p>
        </w:tc>
      </w:tr>
      <w:tr>
        <w:trPr>
          <w:trHeight w:val="230"/>
        </w:trPr>
        <w:tc>
          <w:tcPr>
            <w:tcW w:w="5660" w:type="dxa"/>
            <w:vAlign w:val="bottom"/>
            <w:gridSpan w:val="2"/>
          </w:tcPr>
          <w:p>
            <w:pPr>
              <w:ind w:left="20"/>
              <w:spacing w:after="0"/>
              <w:rPr>
                <w:sz w:val="20"/>
                <w:szCs w:val="20"/>
                <w:color w:val="auto"/>
              </w:rPr>
            </w:pPr>
            <w:r>
              <w:rPr>
                <w:rFonts w:ascii="Arial" w:cs="Arial" w:eastAsia="Arial" w:hAnsi="Arial"/>
                <w:sz w:val="17"/>
                <w:szCs w:val="17"/>
                <w:color w:val="auto"/>
              </w:rPr>
              <w:t>(Principal Executive Officer)</w:t>
            </w:r>
          </w:p>
        </w:tc>
        <w:tc>
          <w:tcPr>
            <w:tcW w:w="5560" w:type="dxa"/>
            <w:vAlign w:val="bottom"/>
          </w:tcPr>
          <w:p>
            <w:pPr>
              <w:ind w:left="20"/>
              <w:spacing w:after="0"/>
              <w:rPr>
                <w:sz w:val="20"/>
                <w:szCs w:val="20"/>
                <w:color w:val="auto"/>
              </w:rPr>
            </w:pPr>
            <w:r>
              <w:rPr>
                <w:rFonts w:ascii="Arial" w:cs="Arial" w:eastAsia="Arial" w:hAnsi="Arial"/>
                <w:sz w:val="17"/>
                <w:szCs w:val="17"/>
                <w:color w:val="auto"/>
              </w:rPr>
              <w:t>Financial Officer)</w:t>
            </w:r>
          </w:p>
        </w:tc>
      </w:tr>
    </w:tbl>
    <w:p>
      <w:pPr>
        <w:spacing w:after="0" w:line="200" w:lineRule="exact"/>
        <w:rPr>
          <w:sz w:val="20"/>
          <w:szCs w:val="20"/>
          <w:color w:val="auto"/>
        </w:rPr>
      </w:pPr>
    </w:p>
    <w:p>
      <w:pPr>
        <w:spacing w:after="0" w:line="2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signed original of this written statement required by Section 906 of the Sarbanes-Oxley Act of 2002, or other document authenticating, acknowledging, or otherwise adopting the signature that appears in typed form within the electronic version of this written statement required by Section 906 of the Sarbanes-Oxley Act of 2002, has been provided to Enphase Energy, Inc. and will be retained by it and furnished to the Securities and Exchange Commission or its staff upon request.</w:t>
      </w: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6"/>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7"/>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decimal"/>
      <w:start w:val="8"/>
    </w:lvl>
  </w:abstractNum>
  <w:abstractNum w:abstractNumId="9">
    <w:nsid w:val="519B500D"/>
    <w:multiLevelType w:val="hybridMultilevel"/>
    <w:lvl w:ilvl="0">
      <w:lvlJc w:val="left"/>
      <w:lvlText w:val="(%1)"/>
      <w:numFmt w:val="decimal"/>
      <w:start w:val="3"/>
    </w:lvl>
  </w:abstractNum>
  <w:abstractNum w:abstractNumId="10">
    <w:nsid w:val="431BD7B7"/>
    <w:multiLevelType w:val="hybridMultilevel"/>
    <w:lvl w:ilvl="0">
      <w:lvlJc w:val="left"/>
      <w:lvlText w:val="%1."/>
      <w:numFmt w:val="decimal"/>
      <w:start w:val="10"/>
    </w:lvl>
  </w:abstractNum>
  <w:abstractNum w:abstractNumId="11">
    <w:nsid w:val="3F2DBA31"/>
    <w:multiLevelType w:val="hybridMultilevel"/>
    <w:lvl w:ilvl="0">
      <w:lvlJc w:val="left"/>
      <w:lvlText w:val="%1."/>
      <w:numFmt w:val="decimal"/>
      <w:start w:val="11"/>
    </w:lvl>
  </w:abstractNum>
  <w:abstractNum w:abstractNumId="12">
    <w:nsid w:val="7C83E458"/>
    <w:multiLevelType w:val="hybridMultilevel"/>
    <w:lvl w:ilvl="0">
      <w:lvlJc w:val="left"/>
      <w:lvlText w:val="%1."/>
      <w:numFmt w:val="decimal"/>
      <w:start w:val="12"/>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3"/>
    </w:lvl>
  </w:abstractNum>
  <w:abstractNum w:abstractNumId="17">
    <w:nsid w:val="333AB105"/>
    <w:multiLevelType w:val="hybridMultilevel"/>
    <w:lvl w:ilvl="0">
      <w:lvlJc w:val="left"/>
      <w:lvlText w:val="%1."/>
      <w:numFmt w:val="decimal"/>
      <w:start w:val="14"/>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02" Type="http://schemas.openxmlformats.org/officeDocument/2006/relationships/hyperlink" Target="https://www.sec.gov/Archives/edgar/data/1463101/000119312512153425/d330683dex31.htm" TargetMode="External"/><Relationship Id="rId103" Type="http://schemas.openxmlformats.org/officeDocument/2006/relationships/hyperlink" Target="https://www.sec.gov/Archives/edgar/data/1463101/000146310117000091/a2017q210-qexx31certificat.htm" TargetMode="External"/><Relationship Id="rId104" Type="http://schemas.openxmlformats.org/officeDocument/2006/relationships/hyperlink" Target="https://www.sec.gov/Archives/edgar/data/1463101/000146310118000075/a2018q210-qexx33.htm" TargetMode="External"/><Relationship Id="rId105" Type="http://schemas.openxmlformats.org/officeDocument/2006/relationships/hyperlink" Target="https://www.sec.gov/Archives/edgar/data/1463101/000146310120000075/a20208-kexx31.htm" TargetMode="External"/><Relationship Id="rId106" Type="http://schemas.openxmlformats.org/officeDocument/2006/relationships/hyperlink" Target="https://www.sec.gov/Archives/edgar/data/1463101/000146310121000078/ex-45certificateofamendment.htm" TargetMode="External"/><Relationship Id="rId107" Type="http://schemas.openxmlformats.org/officeDocument/2006/relationships/hyperlink" Target="https://www.sec.gov/Archives/edgar/data/1463101/000146310122000037/enphaseamendedandrestated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2024-07-23T15:46:28Z</dcterms:created>
  <dcterms:modified xsi:type="dcterms:W3CDTF">2024-07-23T15:46:28Z</dcterms:modified>
</cp:coreProperties>
</file>