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Malchow Joseph Ian</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Enphase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ENPH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05/13/2026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ENPHASE ENERGY</w:t>
            </w:r>
          </w:p>
        </w:tc>
        <w:tc>
          <w:tcPr>
            <w:tcW w:w="138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47281 BAYSIDE PARKWAY</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5,952</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69,912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issued pursuant to the 2021 Equity Incentive Plan (the "2021 Plan"). RSUs vest in four equal quarterly installments from the grant date, such that the total RSUs are fully vested on the earlier of (i) the one-year anniversary of the date of grant or (ii) the date of the Issuer's next annual meeting of stockholders, subject to the Reporting Person's Continuous Service (as defined in the 2021 Plan) through each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Lisan Hung,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05/15/2026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Joseph Malchow</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142" TargetMode="External"/><Relationship Id="rId14" Type="http://schemas.openxmlformats.org/officeDocument/2006/relationships/hyperlink" Target="http://www.sec.gov/cgi-bin/browse-edgar?action=getcompany&amp;CIK=0001463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2026-05-15T17:02:52Z</dcterms:created>
  <dcterms:modified xsi:type="dcterms:W3CDTF">2026-05-15T17:02:52Z</dcterms:modified>
</cp:coreProperties>
</file>