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461010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3028315</wp:posOffset>
            </wp:positionH>
            <wp:positionV relativeFrom="paragraph">
              <wp:posOffset>83185</wp:posOffset>
            </wp:positionV>
            <wp:extent cx="10915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3149600</wp:posOffset>
            </wp:positionH>
            <wp:positionV relativeFrom="paragraph">
              <wp:posOffset>121285</wp:posOffset>
            </wp:positionV>
            <wp:extent cx="10915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(Mark One)</w:t>
      </w:r>
    </w:p>
    <w:p>
      <w:pPr>
        <w:spacing w:after="0" w:line="93"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180" w:hanging="175"/>
        <w:spacing w:after="0"/>
        <w:tabs>
          <w:tab w:leader="none" w:pos="18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7" w:lineRule="exact"/>
        <w:rPr>
          <w:sz w:val="24"/>
          <w:szCs w:val="24"/>
          <w:color w:val="auto"/>
        </w:rPr>
      </w:pPr>
    </w:p>
    <w:p>
      <w:pPr>
        <w:ind w:left="40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86360</wp:posOffset>
            </wp:positionV>
            <wp:extent cx="18192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9275" cy="698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160020</wp:posOffset>
            </wp:positionV>
            <wp:extent cx="1751965" cy="302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1965" cy="302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1020" w:type="dxa"/>
        <w:tblCellMar>
          <w:top w:w="0" w:type="dxa"/>
          <w:left w:w="0" w:type="dxa"/>
          <w:bottom w:w="0" w:type="dxa"/>
          <w:right w:w="0" w:type="dxa"/>
        </w:tblCellMar>
      </w:tblPr>
      <w:tr>
        <w:trPr>
          <w:trHeight w:val="356"/>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gridSpan w:val="5"/>
          </w:tcPr>
          <w:p>
            <w:pPr>
              <w:jc w:val="center"/>
              <w:ind w:right="120"/>
              <w:spacing w:after="0"/>
              <w:rPr>
                <w:sz w:val="20"/>
                <w:szCs w:val="20"/>
                <w:color w:val="auto"/>
              </w:rPr>
            </w:pPr>
            <w:r>
              <w:rPr>
                <w:rFonts w:ascii="Arial" w:cs="Arial" w:eastAsia="Arial" w:hAnsi="Arial"/>
                <w:sz w:val="25"/>
                <w:szCs w:val="25"/>
                <w:b w:val="1"/>
                <w:bCs w:val="1"/>
                <w:color w:val="auto"/>
              </w:rPr>
              <w:t>Enphase Energy, Inc.</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20" w:type="dxa"/>
            <w:vAlign w:val="bottom"/>
            <w:gridSpan w:val="4"/>
          </w:tcPr>
          <w:p>
            <w:pPr>
              <w:jc w:val="center"/>
              <w:ind w:right="920"/>
              <w:spacing w:after="0"/>
              <w:rPr>
                <w:sz w:val="20"/>
                <w:szCs w:val="20"/>
                <w:color w:val="auto"/>
              </w:rPr>
            </w:pPr>
            <w:r>
              <w:rPr>
                <w:rFonts w:ascii="Arial" w:cs="Arial" w:eastAsia="Arial" w:hAnsi="Arial"/>
                <w:sz w:val="10"/>
                <w:szCs w:val="10"/>
                <w:color w:val="auto"/>
                <w:w w:val="99"/>
              </w:rPr>
              <w:t>(Exact name of registrant as specified in its charter)</w:t>
            </w: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1740" w:type="dxa"/>
            <w:vAlign w:val="bottom"/>
            <w:gridSpan w:val="2"/>
            <w:vMerge w:val="restart"/>
          </w:tcPr>
          <w:p>
            <w:pPr>
              <w:jc w:val="center"/>
              <w:ind w:left="145"/>
              <w:spacing w:after="0"/>
              <w:rPr>
                <w:sz w:val="20"/>
                <w:szCs w:val="20"/>
                <w:color w:val="auto"/>
              </w:rPr>
            </w:pPr>
            <w:r>
              <w:rPr>
                <w:rFonts w:ascii="Arial" w:cs="Arial" w:eastAsia="Arial" w:hAnsi="Arial"/>
                <w:sz w:val="14"/>
                <w:szCs w:val="14"/>
                <w:b w:val="1"/>
                <w:bCs w:val="1"/>
                <w:color w:val="auto"/>
              </w:rPr>
              <w:t>Delaware</w:t>
            </w:r>
          </w:p>
        </w:tc>
        <w:tc>
          <w:tcPr>
            <w:tcW w:w="8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20-4645388</w:t>
            </w: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1740" w:type="dxa"/>
            <w:vAlign w:val="bottom"/>
            <w:gridSpan w:val="2"/>
          </w:tcPr>
          <w:p>
            <w:pPr>
              <w:jc w:val="center"/>
              <w:ind w:left="165"/>
              <w:spacing w:after="0" w:line="102" w:lineRule="exact"/>
              <w:rPr>
                <w:sz w:val="20"/>
                <w:szCs w:val="20"/>
                <w:color w:val="auto"/>
              </w:rPr>
            </w:pPr>
            <w:r>
              <w:rPr>
                <w:rFonts w:ascii="Arial" w:cs="Arial" w:eastAsia="Arial" w:hAnsi="Arial"/>
                <w:sz w:val="10"/>
                <w:szCs w:val="10"/>
                <w:color w:val="auto"/>
                <w:w w:val="99"/>
              </w:rPr>
              <w:t>(State or other jurisdiction of</w:t>
            </w: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Pr>
          <w:p>
            <w:pPr>
              <w:ind w:left="20"/>
              <w:spacing w:after="0" w:line="102" w:lineRule="exact"/>
              <w:rPr>
                <w:sz w:val="20"/>
                <w:szCs w:val="20"/>
                <w:color w:val="auto"/>
              </w:rPr>
            </w:pPr>
            <w:r>
              <w:rPr>
                <w:rFonts w:ascii="Arial" w:cs="Arial" w:eastAsia="Arial" w:hAnsi="Arial"/>
                <w:sz w:val="10"/>
                <w:szCs w:val="10"/>
                <w:color w:val="auto"/>
              </w:rPr>
              <w:t>(I.R.S. Employer</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740" w:type="dxa"/>
            <w:vAlign w:val="bottom"/>
            <w:gridSpan w:val="2"/>
          </w:tcPr>
          <w:p>
            <w:pPr>
              <w:jc w:val="center"/>
              <w:ind w:left="165"/>
              <w:spacing w:after="0"/>
              <w:rPr>
                <w:sz w:val="20"/>
                <w:szCs w:val="20"/>
                <w:color w:val="auto"/>
              </w:rPr>
            </w:pPr>
            <w:r>
              <w:rPr>
                <w:rFonts w:ascii="Arial" w:cs="Arial" w:eastAsia="Arial" w:hAnsi="Arial"/>
                <w:sz w:val="10"/>
                <w:szCs w:val="10"/>
                <w:color w:val="auto"/>
                <w:w w:val="98"/>
              </w:rPr>
              <w:t>incorporation or organization)</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0" w:type="dxa"/>
            <w:vAlign w:val="bottom"/>
            <w:gridSpan w:val="2"/>
          </w:tcPr>
          <w:p>
            <w:pPr>
              <w:ind w:left="220"/>
              <w:spacing w:after="0"/>
              <w:rPr>
                <w:sz w:val="20"/>
                <w:szCs w:val="20"/>
                <w:color w:val="auto"/>
              </w:rPr>
            </w:pPr>
            <w:r>
              <w:rPr>
                <w:rFonts w:ascii="Arial" w:cs="Arial" w:eastAsia="Arial" w:hAnsi="Arial"/>
                <w:sz w:val="10"/>
                <w:szCs w:val="10"/>
                <w:color w:val="auto"/>
              </w:rPr>
              <w:t>Identification No.)</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2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rPr>
              <w:t>47281 Bayside Parkway</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2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rPr>
              <w:t>Fremont, CA 94538</w:t>
            </w: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40" w:type="dxa"/>
            <w:vAlign w:val="bottom"/>
            <w:gridSpan w:val="5"/>
          </w:tcPr>
          <w:p>
            <w:pPr>
              <w:jc w:val="center"/>
              <w:ind w:right="100"/>
              <w:spacing w:after="0"/>
              <w:rPr>
                <w:sz w:val="20"/>
                <w:szCs w:val="20"/>
                <w:color w:val="auto"/>
              </w:rPr>
            </w:pPr>
            <w:r>
              <w:rPr>
                <w:rFonts w:ascii="Arial" w:cs="Arial" w:eastAsia="Arial" w:hAnsi="Arial"/>
                <w:sz w:val="10"/>
                <w:szCs w:val="10"/>
                <w:color w:val="auto"/>
                <w:w w:val="99"/>
              </w:rPr>
              <w:t>(Address of principal executive offices, including zip code)</w:t>
            </w: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gridSpan w:val="4"/>
          </w:tcPr>
          <w:p>
            <w:pPr>
              <w:jc w:val="center"/>
              <w:ind w:left="360"/>
              <w:spacing w:after="0"/>
              <w:rPr>
                <w:sz w:val="20"/>
                <w:szCs w:val="20"/>
                <w:color w:val="auto"/>
              </w:rPr>
            </w:pPr>
            <w:r>
              <w:rPr>
                <w:rFonts w:ascii="Arial" w:cs="Arial" w:eastAsia="Arial" w:hAnsi="Arial"/>
                <w:sz w:val="14"/>
                <w:szCs w:val="14"/>
                <w:b w:val="1"/>
                <w:bCs w:val="1"/>
                <w:color w:val="auto"/>
              </w:rPr>
              <w:t>(877) 774-7000</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20" w:type="dxa"/>
            <w:vAlign w:val="bottom"/>
            <w:gridSpan w:val="4"/>
          </w:tcPr>
          <w:p>
            <w:pPr>
              <w:jc w:val="center"/>
              <w:ind w:right="940"/>
              <w:spacing w:after="0"/>
              <w:rPr>
                <w:sz w:val="20"/>
                <w:szCs w:val="20"/>
                <w:color w:val="auto"/>
              </w:rPr>
            </w:pPr>
            <w:r>
              <w:rPr>
                <w:rFonts w:ascii="Arial" w:cs="Arial" w:eastAsia="Arial" w:hAnsi="Arial"/>
                <w:sz w:val="10"/>
                <w:szCs w:val="10"/>
                <w:color w:val="auto"/>
                <w:w w:val="98"/>
              </w:rPr>
              <w:t>(Registrant’s telephone number, including area code)</w:t>
            </w: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1740" w:type="dxa"/>
            <w:vAlign w:val="bottom"/>
            <w:gridSpan w:val="2"/>
          </w:tcPr>
          <w:p>
            <w:pPr>
              <w:jc w:val="center"/>
              <w:ind w:right="940"/>
              <w:spacing w:after="0"/>
              <w:rPr>
                <w:sz w:val="20"/>
                <w:szCs w:val="20"/>
                <w:color w:val="auto"/>
              </w:rPr>
            </w:pPr>
            <w:r>
              <w:rPr>
                <w:rFonts w:ascii="Arial" w:cs="Arial" w:eastAsia="Arial" w:hAnsi="Arial"/>
                <w:sz w:val="10"/>
                <w:szCs w:val="10"/>
                <w:color w:val="auto"/>
                <w:w w:val="96"/>
              </w:rPr>
              <w:t>Title of each class:</w:t>
            </w:r>
          </w:p>
        </w:tc>
        <w:tc>
          <w:tcPr>
            <w:tcW w:w="820" w:type="dxa"/>
            <w:vAlign w:val="bottom"/>
          </w:tcPr>
          <w:p>
            <w:pPr>
              <w:spacing w:after="0"/>
              <w:rPr>
                <w:sz w:val="16"/>
                <w:szCs w:val="16"/>
                <w:color w:val="auto"/>
              </w:rPr>
            </w:pPr>
          </w:p>
        </w:tc>
        <w:tc>
          <w:tcPr>
            <w:tcW w:w="3420" w:type="dxa"/>
            <w:vAlign w:val="bottom"/>
            <w:gridSpan w:val="4"/>
          </w:tcPr>
          <w:p>
            <w:pPr>
              <w:jc w:val="center"/>
              <w:ind w:right="940"/>
              <w:spacing w:after="0"/>
              <w:rPr>
                <w:sz w:val="20"/>
                <w:szCs w:val="20"/>
                <w:color w:val="auto"/>
              </w:rPr>
            </w:pPr>
            <w:r>
              <w:rPr>
                <w:rFonts w:ascii="Arial" w:cs="Arial" w:eastAsia="Arial" w:hAnsi="Arial"/>
                <w:sz w:val="10"/>
                <w:szCs w:val="10"/>
                <w:color w:val="auto"/>
                <w:w w:val="97"/>
              </w:rPr>
              <w:t>Trading Symbol(s)</w:t>
            </w:r>
          </w:p>
        </w:tc>
        <w:tc>
          <w:tcPr>
            <w:tcW w:w="2200" w:type="dxa"/>
            <w:vAlign w:val="bottom"/>
            <w:gridSpan w:val="2"/>
          </w:tcPr>
          <w:p>
            <w:pPr>
              <w:ind w:left="240"/>
              <w:spacing w:after="0"/>
              <w:rPr>
                <w:sz w:val="20"/>
                <w:szCs w:val="20"/>
                <w:color w:val="auto"/>
              </w:rPr>
            </w:pPr>
            <w:r>
              <w:rPr>
                <w:rFonts w:ascii="Arial" w:cs="Arial" w:eastAsia="Arial" w:hAnsi="Arial"/>
                <w:sz w:val="10"/>
                <w:szCs w:val="10"/>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Common Stock, $0.00001 par value per share</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80" w:type="dxa"/>
            <w:vAlign w:val="bottom"/>
            <w:gridSpan w:val="3"/>
          </w:tcPr>
          <w:p>
            <w:pPr>
              <w:jc w:val="center"/>
              <w:ind w:right="1780"/>
              <w:spacing w:after="0"/>
              <w:rPr>
                <w:sz w:val="20"/>
                <w:szCs w:val="20"/>
                <w:color w:val="auto"/>
              </w:rPr>
            </w:pPr>
            <w:r>
              <w:rPr>
                <w:rFonts w:ascii="Arial" w:cs="Arial" w:eastAsia="Arial" w:hAnsi="Arial"/>
                <w:sz w:val="11"/>
                <w:szCs w:val="11"/>
                <w:b w:val="1"/>
                <w:bCs w:val="1"/>
                <w:color w:val="auto"/>
              </w:rPr>
              <w:t>ENPH</w:t>
            </w:r>
          </w:p>
        </w:tc>
        <w:tc>
          <w:tcPr>
            <w:tcW w:w="240" w:type="dxa"/>
            <w:vAlign w:val="bottom"/>
          </w:tcPr>
          <w:p>
            <w:pPr>
              <w:spacing w:after="0"/>
              <w:rPr>
                <w:sz w:val="15"/>
                <w:szCs w:val="15"/>
                <w:color w:val="auto"/>
              </w:rPr>
            </w:pPr>
          </w:p>
        </w:tc>
        <w:tc>
          <w:tcPr>
            <w:tcW w:w="1960" w:type="dxa"/>
            <w:vAlign w:val="bottom"/>
          </w:tcPr>
          <w:p>
            <w:pPr>
              <w:ind w:left="380"/>
              <w:spacing w:after="0"/>
              <w:rPr>
                <w:sz w:val="20"/>
                <w:szCs w:val="20"/>
                <w:color w:val="auto"/>
              </w:rPr>
            </w:pPr>
            <w:r>
              <w:rPr>
                <w:rFonts w:ascii="Arial" w:cs="Arial" w:eastAsia="Arial" w:hAnsi="Arial"/>
                <w:sz w:val="11"/>
                <w:szCs w:val="11"/>
                <w:b w:val="1"/>
                <w:bCs w:val="1"/>
                <w:color w:val="auto"/>
              </w:rPr>
              <w:t>Nasdaq Global Market</w:t>
            </w:r>
          </w:p>
        </w:tc>
        <w:tc>
          <w:tcPr>
            <w:tcW w:w="0" w:type="dxa"/>
            <w:vAlign w:val="bottom"/>
          </w:tcPr>
          <w:p>
            <w:pPr>
              <w:spacing w:after="0"/>
              <w:rPr>
                <w:sz w:val="1"/>
                <w:szCs w:val="1"/>
                <w:color w:val="auto"/>
              </w:rPr>
            </w:pP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99695</wp:posOffset>
            </wp:positionV>
            <wp:extent cx="18192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9275" cy="6985"/>
                    </a:xfrm>
                    <a:prstGeom prst="rect">
                      <a:avLst/>
                    </a:prstGeom>
                    <a:noFill/>
                  </pic:spPr>
                </pic:pic>
              </a:graphicData>
            </a:graphic>
          </wp:anchor>
        </w:drawing>
      </w:r>
    </w:p>
    <w:p>
      <w:pPr>
        <w:spacing w:after="0" w:line="264" w:lineRule="exact"/>
        <w:rPr>
          <w:sz w:val="24"/>
          <w:szCs w:val="24"/>
          <w:color w:val="auto"/>
        </w:rPr>
      </w:pPr>
    </w:p>
    <w:p>
      <w:pPr>
        <w:spacing w:after="0" w:line="17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21" w:lineRule="exact"/>
        <w:rPr>
          <w:sz w:val="24"/>
          <w:szCs w:val="24"/>
          <w:color w:val="auto"/>
        </w:rPr>
      </w:pPr>
    </w:p>
    <w:p>
      <w:pPr>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 w:name="page2"/>
    <w:bookmarkEnd w:id="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18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49"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1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240"/>
              <w:spacing w:after="0"/>
              <w:rPr>
                <w:sz w:val="20"/>
                <w:szCs w:val="20"/>
                <w:color w:val="auto"/>
              </w:rPr>
            </w:pPr>
            <w:r>
              <w:rPr>
                <w:rFonts w:ascii="Arial" w:cs="Arial" w:eastAsia="Arial" w:hAnsi="Arial"/>
                <w:sz w:val="13"/>
                <w:szCs w:val="13"/>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1"/>
        </w:trPr>
        <w:tc>
          <w:tcPr>
            <w:tcW w:w="2120" w:type="dxa"/>
            <w:vAlign w:val="bottom"/>
          </w:tcPr>
          <w:p>
            <w:pPr>
              <w:spacing w:after="0"/>
              <w:rPr>
                <w:sz w:val="20"/>
                <w:szCs w:val="20"/>
                <w:color w:val="auto"/>
              </w:rPr>
            </w:pPr>
            <w:r>
              <w:rPr>
                <w:rFonts w:ascii="Arial" w:cs="Arial" w:eastAsia="Arial" w:hAnsi="Arial"/>
                <w:sz w:val="13"/>
                <w:szCs w:val="13"/>
                <w:color w:val="auto"/>
              </w:rPr>
              <w:t>Non-accelerated filer</w:t>
            </w:r>
          </w:p>
        </w:tc>
        <w:tc>
          <w:tcPr>
            <w:tcW w:w="32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240"/>
              <w:spacing w:after="0"/>
              <w:rPr>
                <w:sz w:val="20"/>
                <w:szCs w:val="20"/>
                <w:color w:val="auto"/>
              </w:rPr>
            </w:pPr>
            <w:r>
              <w:rPr>
                <w:rFonts w:ascii="Arial" w:cs="Arial" w:eastAsia="Arial" w:hAnsi="Arial"/>
                <w:sz w:val="13"/>
                <w:szCs w:val="13"/>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4"/>
        </w:trPr>
        <w:tc>
          <w:tcPr>
            <w:tcW w:w="21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640" w:type="dxa"/>
            <w:vAlign w:val="bottom"/>
          </w:tcPr>
          <w:p>
            <w:pPr>
              <w:ind w:left="2240"/>
              <w:spacing w:after="0"/>
              <w:rPr>
                <w:sz w:val="20"/>
                <w:szCs w:val="20"/>
                <w:color w:val="auto"/>
              </w:rPr>
            </w:pPr>
            <w:r>
              <w:rPr>
                <w:rFonts w:ascii="Arial" w:cs="Arial" w:eastAsia="Arial" w:hAnsi="Arial"/>
                <w:sz w:val="13"/>
                <w:szCs w:val="13"/>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2" w:lineRule="exact"/>
        <w:rPr>
          <w:sz w:val="20"/>
          <w:szCs w:val="20"/>
          <w:color w:val="auto"/>
        </w:rPr>
      </w:pPr>
    </w:p>
    <w:p>
      <w:pPr>
        <w:spacing w:after="0" w:line="183" w:lineRule="exact"/>
        <w:rPr>
          <w:sz w:val="20"/>
          <w:szCs w:val="20"/>
          <w:color w:val="auto"/>
        </w:rPr>
      </w:pPr>
      <w:r>
        <w:rPr>
          <w:rFonts w:ascii="Arial" w:cs="Arial" w:eastAsia="Arial" w:hAnsi="Arial"/>
          <w:sz w:val="13"/>
          <w:szCs w:val="13"/>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9" w:lineRule="exact"/>
        <w:rPr>
          <w:sz w:val="20"/>
          <w:szCs w:val="20"/>
          <w:color w:val="auto"/>
        </w:rPr>
      </w:pPr>
    </w:p>
    <w:p>
      <w:pPr>
        <w:spacing w:after="0" w:line="18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1" w:lineRule="exact"/>
        <w:rPr>
          <w:sz w:val="20"/>
          <w:szCs w:val="20"/>
          <w:color w:val="auto"/>
        </w:rPr>
      </w:pPr>
    </w:p>
    <w:p>
      <w:pPr>
        <w:spacing w:after="0" w:line="17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aggregate market value of the voting stock held by non-affiliates of the registrant on June 30, 2020, based upon the closing price of $47.57 of the registrant’s common stock as reported on the Nasdaq Global Market, was approximately $4.0 billion.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As of February 8, 2021, there were 129,021,311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76200</wp:posOffset>
            </wp:positionV>
            <wp:extent cx="10915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Portions of the registrant’s Proxy Statement for the 2021 Annual Meeting of Stockholders to be filed with the Securities and Exchange Commission within 120 days after the end of the registrant’s fiscal year ended December 31,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776605</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69215</wp:posOffset>
            </wp:positionV>
            <wp:extent cx="71481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42545</wp:posOffset>
            </wp:positionV>
            <wp:extent cx="71481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 w:name="page3"/>
    <w:bookmarkEnd w:id="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 w:type="dxa"/>
            <w:vAlign w:val="bottom"/>
          </w:tcPr>
          <w:p>
            <w:pPr>
              <w:spacing w:after="0"/>
              <w:rPr>
                <w:sz w:val="17"/>
                <w:szCs w:val="17"/>
                <w:color w:val="auto"/>
              </w:rPr>
            </w:pPr>
          </w:p>
        </w:tc>
        <w:tc>
          <w:tcPr>
            <w:tcW w:w="9620" w:type="dxa"/>
            <w:vAlign w:val="bottom"/>
          </w:tcPr>
          <w:p>
            <w:pPr>
              <w:ind w:left="4160"/>
              <w:spacing w:after="0"/>
              <w:rPr>
                <w:sz w:val="20"/>
                <w:szCs w:val="20"/>
                <w:color w:val="auto"/>
              </w:rPr>
            </w:pPr>
            <w:r>
              <w:rPr>
                <w:rFonts w:ascii="Arial" w:cs="Arial" w:eastAsia="Arial" w:hAnsi="Arial"/>
                <w:sz w:val="14"/>
                <w:szCs w:val="14"/>
                <w:b w:val="1"/>
                <w:bCs w:val="1"/>
                <w:color w:val="auto"/>
              </w:rPr>
              <w:t>Enphase Energy, Inc.</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9620" w:type="dxa"/>
            <w:vAlign w:val="bottom"/>
          </w:tcPr>
          <w:p>
            <w:pPr>
              <w:ind w:left="4280"/>
              <w:spacing w:after="0"/>
              <w:rPr>
                <w:sz w:val="20"/>
                <w:szCs w:val="20"/>
                <w:color w:val="auto"/>
              </w:rPr>
            </w:pPr>
            <w:r>
              <w:rPr>
                <w:rFonts w:ascii="Arial" w:cs="Arial" w:eastAsia="Arial" w:hAnsi="Arial"/>
                <w:sz w:val="14"/>
                <w:szCs w:val="14"/>
                <w:b w:val="1"/>
                <w:bCs w:val="1"/>
                <w:color w:val="auto"/>
              </w:rPr>
              <w:t>Table of Contents</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9620" w:type="dxa"/>
            <w:vAlign w:val="bottom"/>
            <w:vMerge w:val="restart"/>
          </w:tcPr>
          <w:p>
            <w:pPr>
              <w:jc w:val="center"/>
              <w:ind w:left="216"/>
              <w:spacing w:after="0"/>
              <w:rPr>
                <w:rFonts w:ascii="Arial" w:cs="Arial" w:eastAsia="Arial" w:hAnsi="Arial"/>
                <w:sz w:val="13"/>
                <w:szCs w:val="13"/>
                <w:b w:val="1"/>
                <w:bCs w:val="1"/>
                <w:color w:val="0000FF"/>
                <w:w w:val="98"/>
              </w:rPr>
            </w:pPr>
            <w:hyperlink w:anchor="page6">
              <w:r>
                <w:rPr>
                  <w:rFonts w:ascii="Arial" w:cs="Arial" w:eastAsia="Arial" w:hAnsi="Arial"/>
                  <w:sz w:val="13"/>
                  <w:szCs w:val="13"/>
                  <w:b w:val="1"/>
                  <w:bCs w:val="1"/>
                  <w:color w:val="0000FF"/>
                  <w:w w:val="98"/>
                </w:rPr>
                <w:t>PART I</w:t>
              </w:r>
            </w:hyperlink>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96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7">
              <w:r>
                <w:rPr>
                  <w:rFonts w:ascii="Arial" w:cs="Arial" w:eastAsia="Arial" w:hAnsi="Arial"/>
                  <w:sz w:val="13"/>
                  <w:szCs w:val="13"/>
                  <w:color w:val="0000FF"/>
                </w:rPr>
                <w:t>Item 1.</w:t>
              </w:r>
            </w:hyperlink>
          </w:p>
        </w:tc>
        <w:tc>
          <w:tcPr>
            <w:tcW w:w="9620" w:type="dxa"/>
            <w:vAlign w:val="bottom"/>
          </w:tcPr>
          <w:p>
            <w:pPr>
              <w:ind w:left="280"/>
              <w:spacing w:after="0"/>
              <w:rPr>
                <w:rFonts w:ascii="Arial" w:cs="Arial" w:eastAsia="Arial" w:hAnsi="Arial"/>
                <w:sz w:val="13"/>
                <w:szCs w:val="13"/>
                <w:color w:val="0000FF"/>
              </w:rPr>
            </w:pPr>
            <w:hyperlink w:anchor="page7">
              <w:r>
                <w:rPr>
                  <w:rFonts w:ascii="Arial" w:cs="Arial" w:eastAsia="Arial" w:hAnsi="Arial"/>
                  <w:sz w:val="13"/>
                  <w:szCs w:val="13"/>
                  <w:color w:val="0000FF"/>
                </w:rPr>
                <w:t>Business</w:t>
              </w:r>
            </w:hyperlink>
          </w:p>
        </w:tc>
        <w:tc>
          <w:tcPr>
            <w:tcW w:w="880" w:type="dxa"/>
            <w:vAlign w:val="bottom"/>
          </w:tcPr>
          <w:p>
            <w:pPr>
              <w:jc w:val="center"/>
              <w:spacing w:after="0"/>
              <w:rPr>
                <w:rFonts w:ascii="Arial" w:cs="Arial" w:eastAsia="Arial" w:hAnsi="Arial"/>
                <w:sz w:val="13"/>
                <w:szCs w:val="13"/>
                <w:color w:val="0000FF"/>
              </w:rPr>
            </w:pPr>
            <w:hyperlink w:anchor="page7">
              <w:r>
                <w:rPr>
                  <w:rFonts w:ascii="Arial" w:cs="Arial" w:eastAsia="Arial" w:hAnsi="Arial"/>
                  <w:sz w:val="13"/>
                  <w:szCs w:val="13"/>
                  <w:color w:val="0000FF"/>
                </w:rPr>
                <w:t>7</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5">
              <w:r>
                <w:rPr>
                  <w:rFonts w:ascii="Arial" w:cs="Arial" w:eastAsia="Arial" w:hAnsi="Arial"/>
                  <w:sz w:val="13"/>
                  <w:szCs w:val="13"/>
                  <w:color w:val="0000FF"/>
                </w:rPr>
                <w:t>Item 1A.</w:t>
              </w:r>
            </w:hyperlink>
          </w:p>
        </w:tc>
        <w:tc>
          <w:tcPr>
            <w:tcW w:w="9620" w:type="dxa"/>
            <w:vAlign w:val="bottom"/>
          </w:tcPr>
          <w:p>
            <w:pPr>
              <w:ind w:left="280"/>
              <w:spacing w:after="0"/>
              <w:rPr>
                <w:rFonts w:ascii="Arial" w:cs="Arial" w:eastAsia="Arial" w:hAnsi="Arial"/>
                <w:sz w:val="13"/>
                <w:szCs w:val="13"/>
                <w:color w:val="0000FF"/>
              </w:rPr>
            </w:pPr>
            <w:hyperlink w:anchor="page15">
              <w:r>
                <w:rPr>
                  <w:rFonts w:ascii="Arial" w:cs="Arial" w:eastAsia="Arial" w:hAnsi="Arial"/>
                  <w:sz w:val="13"/>
                  <w:szCs w:val="13"/>
                  <w:color w:val="0000FF"/>
                </w:rPr>
                <w:t>Risk Factors</w:t>
              </w:r>
            </w:hyperlink>
          </w:p>
        </w:tc>
        <w:tc>
          <w:tcPr>
            <w:tcW w:w="880" w:type="dxa"/>
            <w:vAlign w:val="bottom"/>
          </w:tcPr>
          <w:p>
            <w:pPr>
              <w:jc w:val="center"/>
              <w:spacing w:after="0"/>
              <w:rPr>
                <w:rFonts w:ascii="Arial" w:cs="Arial" w:eastAsia="Arial" w:hAnsi="Arial"/>
                <w:sz w:val="13"/>
                <w:szCs w:val="13"/>
                <w:color w:val="0000FF"/>
                <w:w w:val="96"/>
              </w:rPr>
            </w:pPr>
            <w:hyperlink w:anchor="page15">
              <w:r>
                <w:rPr>
                  <w:rFonts w:ascii="Arial" w:cs="Arial" w:eastAsia="Arial" w:hAnsi="Arial"/>
                  <w:sz w:val="13"/>
                  <w:szCs w:val="13"/>
                  <w:color w:val="0000FF"/>
                  <w:w w:val="96"/>
                </w:rPr>
                <w:t>15</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49">
              <w:r>
                <w:rPr>
                  <w:rFonts w:ascii="Arial" w:cs="Arial" w:eastAsia="Arial" w:hAnsi="Arial"/>
                  <w:sz w:val="13"/>
                  <w:szCs w:val="13"/>
                  <w:color w:val="0000FF"/>
                </w:rPr>
                <w:t>Item 1B.</w:t>
              </w:r>
            </w:hyperlink>
          </w:p>
        </w:tc>
        <w:tc>
          <w:tcPr>
            <w:tcW w:w="9620" w:type="dxa"/>
            <w:vAlign w:val="bottom"/>
          </w:tcPr>
          <w:p>
            <w:pPr>
              <w:ind w:left="280"/>
              <w:spacing w:after="0"/>
              <w:rPr>
                <w:rFonts w:ascii="Arial" w:cs="Arial" w:eastAsia="Arial" w:hAnsi="Arial"/>
                <w:sz w:val="13"/>
                <w:szCs w:val="13"/>
                <w:color w:val="0000FF"/>
              </w:rPr>
            </w:pPr>
            <w:hyperlink w:anchor="page49">
              <w:r>
                <w:rPr>
                  <w:rFonts w:ascii="Arial" w:cs="Arial" w:eastAsia="Arial" w:hAnsi="Arial"/>
                  <w:sz w:val="13"/>
                  <w:szCs w:val="13"/>
                  <w:color w:val="0000FF"/>
                </w:rPr>
                <w:t>Unresolved Staff Comments</w:t>
              </w:r>
            </w:hyperlink>
          </w:p>
        </w:tc>
        <w:tc>
          <w:tcPr>
            <w:tcW w:w="880" w:type="dxa"/>
            <w:vAlign w:val="bottom"/>
          </w:tcPr>
          <w:p>
            <w:pPr>
              <w:jc w:val="center"/>
              <w:spacing w:after="0"/>
              <w:rPr>
                <w:rFonts w:ascii="Arial" w:cs="Arial" w:eastAsia="Arial" w:hAnsi="Arial"/>
                <w:sz w:val="13"/>
                <w:szCs w:val="13"/>
                <w:color w:val="0000FF"/>
                <w:w w:val="96"/>
              </w:rPr>
            </w:pPr>
            <w:hyperlink w:anchor="page49">
              <w:r>
                <w:rPr>
                  <w:rFonts w:ascii="Arial" w:cs="Arial" w:eastAsia="Arial" w:hAnsi="Arial"/>
                  <w:sz w:val="13"/>
                  <w:szCs w:val="13"/>
                  <w:color w:val="0000FF"/>
                  <w:w w:val="96"/>
                </w:rPr>
                <w:t>49</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49">
              <w:r>
                <w:rPr>
                  <w:rFonts w:ascii="Arial" w:cs="Arial" w:eastAsia="Arial" w:hAnsi="Arial"/>
                  <w:sz w:val="13"/>
                  <w:szCs w:val="13"/>
                  <w:color w:val="0000FF"/>
                </w:rPr>
                <w:t>Item 2.</w:t>
              </w:r>
            </w:hyperlink>
          </w:p>
        </w:tc>
        <w:tc>
          <w:tcPr>
            <w:tcW w:w="9620" w:type="dxa"/>
            <w:vAlign w:val="bottom"/>
          </w:tcPr>
          <w:p>
            <w:pPr>
              <w:ind w:left="280"/>
              <w:spacing w:after="0"/>
              <w:rPr>
                <w:rFonts w:ascii="Arial" w:cs="Arial" w:eastAsia="Arial" w:hAnsi="Arial"/>
                <w:sz w:val="13"/>
                <w:szCs w:val="13"/>
                <w:color w:val="0000FF"/>
              </w:rPr>
            </w:pPr>
            <w:hyperlink w:anchor="page49">
              <w:r>
                <w:rPr>
                  <w:rFonts w:ascii="Arial" w:cs="Arial" w:eastAsia="Arial" w:hAnsi="Arial"/>
                  <w:sz w:val="13"/>
                  <w:szCs w:val="13"/>
                  <w:color w:val="0000FF"/>
                </w:rPr>
                <w:t>Properties</w:t>
              </w:r>
            </w:hyperlink>
          </w:p>
        </w:tc>
        <w:tc>
          <w:tcPr>
            <w:tcW w:w="880" w:type="dxa"/>
            <w:vAlign w:val="bottom"/>
          </w:tcPr>
          <w:p>
            <w:pPr>
              <w:jc w:val="center"/>
              <w:spacing w:after="0"/>
              <w:rPr>
                <w:rFonts w:ascii="Arial" w:cs="Arial" w:eastAsia="Arial" w:hAnsi="Arial"/>
                <w:sz w:val="13"/>
                <w:szCs w:val="13"/>
                <w:color w:val="0000FF"/>
                <w:w w:val="96"/>
              </w:rPr>
            </w:pPr>
            <w:hyperlink w:anchor="page49">
              <w:r>
                <w:rPr>
                  <w:rFonts w:ascii="Arial" w:cs="Arial" w:eastAsia="Arial" w:hAnsi="Arial"/>
                  <w:sz w:val="13"/>
                  <w:szCs w:val="13"/>
                  <w:color w:val="0000FF"/>
                  <w:w w:val="96"/>
                </w:rPr>
                <w:t>50</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50">
              <w:r>
                <w:rPr>
                  <w:rFonts w:ascii="Arial" w:cs="Arial" w:eastAsia="Arial" w:hAnsi="Arial"/>
                  <w:sz w:val="13"/>
                  <w:szCs w:val="13"/>
                  <w:color w:val="0000FF"/>
                </w:rPr>
                <w:t>Item 3.</w:t>
              </w:r>
            </w:hyperlink>
          </w:p>
        </w:tc>
        <w:tc>
          <w:tcPr>
            <w:tcW w:w="9620" w:type="dxa"/>
            <w:vAlign w:val="bottom"/>
          </w:tcPr>
          <w:p>
            <w:pPr>
              <w:ind w:left="280"/>
              <w:spacing w:after="0"/>
              <w:rPr>
                <w:rFonts w:ascii="Arial" w:cs="Arial" w:eastAsia="Arial" w:hAnsi="Arial"/>
                <w:sz w:val="13"/>
                <w:szCs w:val="13"/>
                <w:color w:val="0000FF"/>
              </w:rPr>
            </w:pPr>
            <w:hyperlink w:anchor="page50">
              <w:r>
                <w:rPr>
                  <w:rFonts w:ascii="Arial" w:cs="Arial" w:eastAsia="Arial" w:hAnsi="Arial"/>
                  <w:sz w:val="13"/>
                  <w:szCs w:val="13"/>
                  <w:color w:val="0000FF"/>
                </w:rPr>
                <w:t>Legal Proceedings</w:t>
              </w:r>
            </w:hyperlink>
          </w:p>
        </w:tc>
        <w:tc>
          <w:tcPr>
            <w:tcW w:w="880" w:type="dxa"/>
            <w:vAlign w:val="bottom"/>
          </w:tcPr>
          <w:p>
            <w:pPr>
              <w:jc w:val="center"/>
              <w:spacing w:after="0"/>
              <w:rPr>
                <w:rFonts w:ascii="Arial" w:cs="Arial" w:eastAsia="Arial" w:hAnsi="Arial"/>
                <w:sz w:val="13"/>
                <w:szCs w:val="13"/>
                <w:color w:val="0000FF"/>
                <w:w w:val="96"/>
              </w:rPr>
            </w:pPr>
            <w:hyperlink w:anchor="page50">
              <w:r>
                <w:rPr>
                  <w:rFonts w:ascii="Arial" w:cs="Arial" w:eastAsia="Arial" w:hAnsi="Arial"/>
                  <w:sz w:val="13"/>
                  <w:szCs w:val="13"/>
                  <w:color w:val="0000FF"/>
                  <w:w w:val="96"/>
                </w:rPr>
                <w:t>50</w:t>
              </w:r>
            </w:hyperlink>
          </w:p>
        </w:tc>
        <w:tc>
          <w:tcPr>
            <w:tcW w:w="0" w:type="dxa"/>
            <w:vAlign w:val="bottom"/>
          </w:tcPr>
          <w:p>
            <w:pPr>
              <w:spacing w:after="0"/>
              <w:rPr>
                <w:sz w:val="1"/>
                <w:szCs w:val="1"/>
                <w:color w:val="auto"/>
              </w:rPr>
            </w:pPr>
          </w:p>
        </w:tc>
      </w:tr>
      <w:tr>
        <w:trPr>
          <w:trHeight w:val="168"/>
        </w:trPr>
        <w:tc>
          <w:tcPr>
            <w:tcW w:w="780" w:type="dxa"/>
            <w:vAlign w:val="bottom"/>
          </w:tcPr>
          <w:p>
            <w:pPr>
              <w:ind w:left="20"/>
              <w:spacing w:after="0"/>
              <w:rPr>
                <w:rFonts w:ascii="Arial" w:cs="Arial" w:eastAsia="Arial" w:hAnsi="Arial"/>
                <w:sz w:val="13"/>
                <w:szCs w:val="13"/>
                <w:color w:val="0000FF"/>
              </w:rPr>
            </w:pPr>
            <w:hyperlink w:anchor="page51">
              <w:r>
                <w:rPr>
                  <w:rFonts w:ascii="Arial" w:cs="Arial" w:eastAsia="Arial" w:hAnsi="Arial"/>
                  <w:sz w:val="13"/>
                  <w:szCs w:val="13"/>
                  <w:color w:val="0000FF"/>
                </w:rPr>
                <w:t>Item 4.</w:t>
              </w:r>
            </w:hyperlink>
          </w:p>
        </w:tc>
        <w:tc>
          <w:tcPr>
            <w:tcW w:w="9620" w:type="dxa"/>
            <w:vAlign w:val="bottom"/>
          </w:tcPr>
          <w:p>
            <w:pPr>
              <w:ind w:left="280"/>
              <w:spacing w:after="0"/>
              <w:rPr>
                <w:rFonts w:ascii="Arial" w:cs="Arial" w:eastAsia="Arial" w:hAnsi="Arial"/>
                <w:sz w:val="13"/>
                <w:szCs w:val="13"/>
                <w:color w:val="0000FF"/>
              </w:rPr>
            </w:pPr>
            <w:hyperlink w:anchor="page51">
              <w:r>
                <w:rPr>
                  <w:rFonts w:ascii="Arial" w:cs="Arial" w:eastAsia="Arial" w:hAnsi="Arial"/>
                  <w:sz w:val="13"/>
                  <w:szCs w:val="13"/>
                  <w:color w:val="0000FF"/>
                </w:rPr>
                <w:t>Mine Safety Disclosures</w:t>
              </w:r>
            </w:hyperlink>
          </w:p>
        </w:tc>
        <w:tc>
          <w:tcPr>
            <w:tcW w:w="880" w:type="dxa"/>
            <w:vAlign w:val="bottom"/>
          </w:tcPr>
          <w:p>
            <w:pPr>
              <w:jc w:val="center"/>
              <w:spacing w:after="0"/>
              <w:rPr>
                <w:rFonts w:ascii="Arial" w:cs="Arial" w:eastAsia="Arial" w:hAnsi="Arial"/>
                <w:sz w:val="13"/>
                <w:szCs w:val="13"/>
                <w:color w:val="0000FF"/>
                <w:w w:val="96"/>
              </w:rPr>
            </w:pPr>
            <w:hyperlink w:anchor="page51">
              <w:r>
                <w:rPr>
                  <w:rFonts w:ascii="Arial" w:cs="Arial" w:eastAsia="Arial" w:hAnsi="Arial"/>
                  <w:sz w:val="13"/>
                  <w:szCs w:val="13"/>
                  <w:color w:val="0000FF"/>
                  <w:w w:val="96"/>
                </w:rPr>
                <w:t>51</w:t>
              </w:r>
            </w:hyperlink>
          </w:p>
        </w:tc>
        <w:tc>
          <w:tcPr>
            <w:tcW w:w="0" w:type="dxa"/>
            <w:vAlign w:val="bottom"/>
          </w:tcPr>
          <w:p>
            <w:pPr>
              <w:spacing w:after="0"/>
              <w:rPr>
                <w:sz w:val="1"/>
                <w:szCs w:val="1"/>
                <w:color w:val="auto"/>
              </w:rPr>
            </w:pPr>
          </w:p>
        </w:tc>
      </w:tr>
      <w:tr>
        <w:trPr>
          <w:trHeight w:val="172"/>
        </w:trPr>
        <w:tc>
          <w:tcPr>
            <w:tcW w:w="780" w:type="dxa"/>
            <w:vAlign w:val="bottom"/>
          </w:tcPr>
          <w:p>
            <w:pPr>
              <w:spacing w:after="0"/>
              <w:rPr>
                <w:sz w:val="14"/>
                <w:szCs w:val="14"/>
                <w:color w:val="auto"/>
              </w:rPr>
            </w:pPr>
          </w:p>
        </w:tc>
        <w:tc>
          <w:tcPr>
            <w:tcW w:w="9620" w:type="dxa"/>
            <w:vAlign w:val="bottom"/>
          </w:tcPr>
          <w:p>
            <w:pPr>
              <w:jc w:val="center"/>
              <w:ind w:left="216"/>
              <w:spacing w:after="0"/>
              <w:rPr>
                <w:rFonts w:ascii="Arial" w:cs="Arial" w:eastAsia="Arial" w:hAnsi="Arial"/>
                <w:sz w:val="13"/>
                <w:szCs w:val="13"/>
                <w:b w:val="1"/>
                <w:bCs w:val="1"/>
                <w:color w:val="0000FF"/>
                <w:w w:val="99"/>
              </w:rPr>
            </w:pPr>
            <w:hyperlink w:anchor="page51">
              <w:r>
                <w:rPr>
                  <w:rFonts w:ascii="Arial" w:cs="Arial" w:eastAsia="Arial" w:hAnsi="Arial"/>
                  <w:sz w:val="13"/>
                  <w:szCs w:val="13"/>
                  <w:b w:val="1"/>
                  <w:bCs w:val="1"/>
                  <w:color w:val="0000FF"/>
                  <w:w w:val="99"/>
                </w:rPr>
                <w:t>PART II</w:t>
              </w:r>
            </w:hyperlink>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52">
              <w:r>
                <w:rPr>
                  <w:rFonts w:ascii="Arial" w:cs="Arial" w:eastAsia="Arial" w:hAnsi="Arial"/>
                  <w:sz w:val="13"/>
                  <w:szCs w:val="13"/>
                  <w:color w:val="0000FF"/>
                </w:rPr>
                <w:t>Item 5.</w:t>
              </w:r>
            </w:hyperlink>
          </w:p>
        </w:tc>
        <w:tc>
          <w:tcPr>
            <w:tcW w:w="9620" w:type="dxa"/>
            <w:vAlign w:val="bottom"/>
          </w:tcPr>
          <w:p>
            <w:pPr>
              <w:ind w:left="280"/>
              <w:spacing w:after="0"/>
              <w:rPr>
                <w:rFonts w:ascii="Arial" w:cs="Arial" w:eastAsia="Arial" w:hAnsi="Arial"/>
                <w:sz w:val="13"/>
                <w:szCs w:val="13"/>
                <w:color w:val="0000FF"/>
              </w:rPr>
            </w:pPr>
            <w:hyperlink w:anchor="page52">
              <w:r>
                <w:rPr>
                  <w:rFonts w:ascii="Arial" w:cs="Arial" w:eastAsia="Arial" w:hAnsi="Arial"/>
                  <w:sz w:val="13"/>
                  <w:szCs w:val="13"/>
                  <w:color w:val="0000FF"/>
                </w:rPr>
                <w:t>Market for the Registrant’s Common Equity, Related Stockholder Matters and Issuer Purchases of Equity Securities</w:t>
              </w:r>
            </w:hyperlink>
          </w:p>
        </w:tc>
        <w:tc>
          <w:tcPr>
            <w:tcW w:w="880" w:type="dxa"/>
            <w:vAlign w:val="bottom"/>
          </w:tcPr>
          <w:p>
            <w:pPr>
              <w:jc w:val="center"/>
              <w:spacing w:after="0"/>
              <w:rPr>
                <w:rFonts w:ascii="Arial" w:cs="Arial" w:eastAsia="Arial" w:hAnsi="Arial"/>
                <w:sz w:val="13"/>
                <w:szCs w:val="13"/>
                <w:color w:val="0000FF"/>
                <w:w w:val="96"/>
              </w:rPr>
            </w:pPr>
            <w:hyperlink w:anchor="page52">
              <w:r>
                <w:rPr>
                  <w:rFonts w:ascii="Arial" w:cs="Arial" w:eastAsia="Arial" w:hAnsi="Arial"/>
                  <w:sz w:val="13"/>
                  <w:szCs w:val="13"/>
                  <w:color w:val="0000FF"/>
                  <w:w w:val="96"/>
                </w:rPr>
                <w:t>52</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53">
              <w:r>
                <w:rPr>
                  <w:rFonts w:ascii="Arial" w:cs="Arial" w:eastAsia="Arial" w:hAnsi="Arial"/>
                  <w:sz w:val="13"/>
                  <w:szCs w:val="13"/>
                  <w:color w:val="0000FF"/>
                </w:rPr>
                <w:t>Item 6.</w:t>
              </w:r>
            </w:hyperlink>
          </w:p>
        </w:tc>
        <w:tc>
          <w:tcPr>
            <w:tcW w:w="9620" w:type="dxa"/>
            <w:vAlign w:val="bottom"/>
          </w:tcPr>
          <w:p>
            <w:pPr>
              <w:ind w:left="280"/>
              <w:spacing w:after="0"/>
              <w:rPr>
                <w:rFonts w:ascii="Arial" w:cs="Arial" w:eastAsia="Arial" w:hAnsi="Arial"/>
                <w:sz w:val="13"/>
                <w:szCs w:val="13"/>
                <w:color w:val="0000FF"/>
              </w:rPr>
            </w:pPr>
            <w:hyperlink w:anchor="page53">
              <w:r>
                <w:rPr>
                  <w:rFonts w:ascii="Arial" w:cs="Arial" w:eastAsia="Arial" w:hAnsi="Arial"/>
                  <w:sz w:val="13"/>
                  <w:szCs w:val="13"/>
                  <w:color w:val="0000FF"/>
                </w:rPr>
                <w:t>Selected Consolidated Financial Data</w:t>
              </w:r>
            </w:hyperlink>
          </w:p>
        </w:tc>
        <w:tc>
          <w:tcPr>
            <w:tcW w:w="880" w:type="dxa"/>
            <w:vAlign w:val="bottom"/>
          </w:tcPr>
          <w:p>
            <w:pPr>
              <w:jc w:val="center"/>
              <w:spacing w:after="0"/>
              <w:rPr>
                <w:rFonts w:ascii="Arial" w:cs="Arial" w:eastAsia="Arial" w:hAnsi="Arial"/>
                <w:sz w:val="13"/>
                <w:szCs w:val="13"/>
                <w:color w:val="0000FF"/>
                <w:w w:val="96"/>
              </w:rPr>
            </w:pPr>
            <w:hyperlink w:anchor="page53">
              <w:r>
                <w:rPr>
                  <w:rFonts w:ascii="Arial" w:cs="Arial" w:eastAsia="Arial" w:hAnsi="Arial"/>
                  <w:sz w:val="13"/>
                  <w:szCs w:val="13"/>
                  <w:color w:val="0000FF"/>
                  <w:w w:val="96"/>
                </w:rPr>
                <w:t>53</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54">
              <w:r>
                <w:rPr>
                  <w:rFonts w:ascii="Arial" w:cs="Arial" w:eastAsia="Arial" w:hAnsi="Arial"/>
                  <w:sz w:val="13"/>
                  <w:szCs w:val="13"/>
                  <w:color w:val="0000FF"/>
                </w:rPr>
                <w:t>Item 7.</w:t>
              </w:r>
            </w:hyperlink>
          </w:p>
        </w:tc>
        <w:tc>
          <w:tcPr>
            <w:tcW w:w="9620" w:type="dxa"/>
            <w:vAlign w:val="bottom"/>
          </w:tcPr>
          <w:p>
            <w:pPr>
              <w:ind w:left="280"/>
              <w:spacing w:after="0"/>
              <w:rPr>
                <w:rFonts w:ascii="Arial" w:cs="Arial" w:eastAsia="Arial" w:hAnsi="Arial"/>
                <w:sz w:val="13"/>
                <w:szCs w:val="13"/>
                <w:color w:val="0000FF"/>
              </w:rPr>
            </w:pPr>
            <w:hyperlink w:anchor="page54">
              <w:r>
                <w:rPr>
                  <w:rFonts w:ascii="Arial" w:cs="Arial" w:eastAsia="Arial" w:hAnsi="Arial"/>
                  <w:sz w:val="13"/>
                  <w:szCs w:val="13"/>
                  <w:color w:val="0000FF"/>
                </w:rPr>
                <w:t>Management’s Discussion and Analysis of Financial Condition and Results of Operations</w:t>
              </w:r>
            </w:hyperlink>
          </w:p>
        </w:tc>
        <w:tc>
          <w:tcPr>
            <w:tcW w:w="880" w:type="dxa"/>
            <w:vAlign w:val="bottom"/>
          </w:tcPr>
          <w:p>
            <w:pPr>
              <w:jc w:val="center"/>
              <w:spacing w:after="0"/>
              <w:rPr>
                <w:rFonts w:ascii="Arial" w:cs="Arial" w:eastAsia="Arial" w:hAnsi="Arial"/>
                <w:sz w:val="13"/>
                <w:szCs w:val="13"/>
                <w:color w:val="0000FF"/>
                <w:w w:val="96"/>
              </w:rPr>
            </w:pPr>
            <w:hyperlink w:anchor="page54">
              <w:r>
                <w:rPr>
                  <w:rFonts w:ascii="Arial" w:cs="Arial" w:eastAsia="Arial" w:hAnsi="Arial"/>
                  <w:sz w:val="13"/>
                  <w:szCs w:val="13"/>
                  <w:color w:val="0000FF"/>
                  <w:w w:val="96"/>
                </w:rPr>
                <w:t>55</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70">
              <w:r>
                <w:rPr>
                  <w:rFonts w:ascii="Arial" w:cs="Arial" w:eastAsia="Arial" w:hAnsi="Arial"/>
                  <w:sz w:val="13"/>
                  <w:szCs w:val="13"/>
                  <w:color w:val="0000FF"/>
                </w:rPr>
                <w:t>Item 7A.</w:t>
              </w:r>
            </w:hyperlink>
          </w:p>
        </w:tc>
        <w:tc>
          <w:tcPr>
            <w:tcW w:w="9620" w:type="dxa"/>
            <w:vAlign w:val="bottom"/>
          </w:tcPr>
          <w:p>
            <w:pPr>
              <w:ind w:left="280"/>
              <w:spacing w:after="0"/>
              <w:rPr>
                <w:rFonts w:ascii="Arial" w:cs="Arial" w:eastAsia="Arial" w:hAnsi="Arial"/>
                <w:sz w:val="13"/>
                <w:szCs w:val="13"/>
                <w:color w:val="0000FF"/>
              </w:rPr>
            </w:pPr>
            <w:hyperlink w:anchor="page70">
              <w:r>
                <w:rPr>
                  <w:rFonts w:ascii="Arial" w:cs="Arial" w:eastAsia="Arial" w:hAnsi="Arial"/>
                  <w:sz w:val="13"/>
                  <w:szCs w:val="13"/>
                  <w:color w:val="0000FF"/>
                </w:rPr>
                <w:t>Quantitative and Qualitative Disclosures About Market Risk</w:t>
              </w:r>
            </w:hyperlink>
          </w:p>
        </w:tc>
        <w:tc>
          <w:tcPr>
            <w:tcW w:w="880" w:type="dxa"/>
            <w:vAlign w:val="bottom"/>
          </w:tcPr>
          <w:p>
            <w:pPr>
              <w:jc w:val="center"/>
              <w:spacing w:after="0"/>
              <w:rPr>
                <w:rFonts w:ascii="Arial" w:cs="Arial" w:eastAsia="Arial" w:hAnsi="Arial"/>
                <w:sz w:val="13"/>
                <w:szCs w:val="13"/>
                <w:color w:val="0000FF"/>
                <w:w w:val="96"/>
              </w:rPr>
            </w:pPr>
            <w:hyperlink w:anchor="page70">
              <w:r>
                <w:rPr>
                  <w:rFonts w:ascii="Arial" w:cs="Arial" w:eastAsia="Arial" w:hAnsi="Arial"/>
                  <w:sz w:val="13"/>
                  <w:szCs w:val="13"/>
                  <w:color w:val="0000FF"/>
                  <w:w w:val="96"/>
                </w:rPr>
                <w:t>70</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72">
              <w:r>
                <w:rPr>
                  <w:rFonts w:ascii="Arial" w:cs="Arial" w:eastAsia="Arial" w:hAnsi="Arial"/>
                  <w:sz w:val="13"/>
                  <w:szCs w:val="13"/>
                  <w:color w:val="0000FF"/>
                </w:rPr>
                <w:t>Item 8.</w:t>
              </w:r>
            </w:hyperlink>
          </w:p>
        </w:tc>
        <w:tc>
          <w:tcPr>
            <w:tcW w:w="9620" w:type="dxa"/>
            <w:vAlign w:val="bottom"/>
          </w:tcPr>
          <w:p>
            <w:pPr>
              <w:ind w:left="280"/>
              <w:spacing w:after="0"/>
              <w:rPr>
                <w:rFonts w:ascii="Arial" w:cs="Arial" w:eastAsia="Arial" w:hAnsi="Arial"/>
                <w:sz w:val="13"/>
                <w:szCs w:val="13"/>
                <w:color w:val="0000FF"/>
              </w:rPr>
            </w:pPr>
            <w:hyperlink w:anchor="page72">
              <w:r>
                <w:rPr>
                  <w:rFonts w:ascii="Arial" w:cs="Arial" w:eastAsia="Arial" w:hAnsi="Arial"/>
                  <w:sz w:val="13"/>
                  <w:szCs w:val="13"/>
                  <w:color w:val="0000FF"/>
                </w:rPr>
                <w:t>Financial Statements and Supplementary Data</w:t>
              </w:r>
            </w:hyperlink>
          </w:p>
        </w:tc>
        <w:tc>
          <w:tcPr>
            <w:tcW w:w="880" w:type="dxa"/>
            <w:vAlign w:val="bottom"/>
          </w:tcPr>
          <w:p>
            <w:pPr>
              <w:jc w:val="center"/>
              <w:spacing w:after="0"/>
              <w:rPr>
                <w:rFonts w:ascii="Arial" w:cs="Arial" w:eastAsia="Arial" w:hAnsi="Arial"/>
                <w:sz w:val="13"/>
                <w:szCs w:val="13"/>
                <w:color w:val="0000FF"/>
                <w:w w:val="96"/>
              </w:rPr>
            </w:pPr>
            <w:hyperlink w:anchor="page73">
              <w:r>
                <w:rPr>
                  <w:rFonts w:ascii="Arial" w:cs="Arial" w:eastAsia="Arial" w:hAnsi="Arial"/>
                  <w:sz w:val="13"/>
                  <w:szCs w:val="13"/>
                  <w:color w:val="0000FF"/>
                  <w:w w:val="96"/>
                </w:rPr>
                <w:t>73</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29">
              <w:r>
                <w:rPr>
                  <w:rFonts w:ascii="Arial" w:cs="Arial" w:eastAsia="Arial" w:hAnsi="Arial"/>
                  <w:sz w:val="13"/>
                  <w:szCs w:val="13"/>
                  <w:color w:val="0000FF"/>
                </w:rPr>
                <w:t>Item 9.</w:t>
              </w:r>
            </w:hyperlink>
          </w:p>
        </w:tc>
        <w:tc>
          <w:tcPr>
            <w:tcW w:w="9620" w:type="dxa"/>
            <w:vAlign w:val="bottom"/>
          </w:tcPr>
          <w:p>
            <w:pPr>
              <w:ind w:left="280"/>
              <w:spacing w:after="0"/>
              <w:rPr>
                <w:rFonts w:ascii="Arial" w:cs="Arial" w:eastAsia="Arial" w:hAnsi="Arial"/>
                <w:sz w:val="13"/>
                <w:szCs w:val="13"/>
                <w:color w:val="0000FF"/>
              </w:rPr>
            </w:pPr>
            <w:hyperlink w:anchor="page129">
              <w:r>
                <w:rPr>
                  <w:rFonts w:ascii="Arial" w:cs="Arial" w:eastAsia="Arial" w:hAnsi="Arial"/>
                  <w:sz w:val="13"/>
                  <w:szCs w:val="13"/>
                  <w:color w:val="0000FF"/>
                </w:rPr>
                <w:t>Changes in and Disagreements with Accountants on Accounting and Financial Disclosure</w:t>
              </w:r>
            </w:hyperlink>
          </w:p>
        </w:tc>
        <w:tc>
          <w:tcPr>
            <w:tcW w:w="880" w:type="dxa"/>
            <w:vAlign w:val="bottom"/>
          </w:tcPr>
          <w:p>
            <w:pPr>
              <w:jc w:val="center"/>
              <w:spacing w:after="0"/>
              <w:rPr>
                <w:rFonts w:ascii="Arial" w:cs="Arial" w:eastAsia="Arial" w:hAnsi="Arial"/>
                <w:sz w:val="13"/>
                <w:szCs w:val="13"/>
                <w:color w:val="0000FF"/>
                <w:w w:val="91"/>
              </w:rPr>
            </w:pPr>
            <w:hyperlink w:anchor="page129">
              <w:r>
                <w:rPr>
                  <w:rFonts w:ascii="Arial" w:cs="Arial" w:eastAsia="Arial" w:hAnsi="Arial"/>
                  <w:sz w:val="13"/>
                  <w:szCs w:val="13"/>
                  <w:color w:val="0000FF"/>
                  <w:w w:val="91"/>
                </w:rPr>
                <w:t>130</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0">
              <w:r>
                <w:rPr>
                  <w:rFonts w:ascii="Arial" w:cs="Arial" w:eastAsia="Arial" w:hAnsi="Arial"/>
                  <w:sz w:val="13"/>
                  <w:szCs w:val="13"/>
                  <w:color w:val="0000FF"/>
                </w:rPr>
                <w:t>Item 9A.</w:t>
              </w:r>
            </w:hyperlink>
          </w:p>
        </w:tc>
        <w:tc>
          <w:tcPr>
            <w:tcW w:w="9620" w:type="dxa"/>
            <w:vAlign w:val="bottom"/>
          </w:tcPr>
          <w:p>
            <w:pPr>
              <w:ind w:left="280"/>
              <w:spacing w:after="0"/>
              <w:rPr>
                <w:rFonts w:ascii="Arial" w:cs="Arial" w:eastAsia="Arial" w:hAnsi="Arial"/>
                <w:sz w:val="13"/>
                <w:szCs w:val="13"/>
                <w:color w:val="0000FF"/>
              </w:rPr>
            </w:pPr>
            <w:hyperlink w:anchor="page130">
              <w:r>
                <w:rPr>
                  <w:rFonts w:ascii="Arial" w:cs="Arial" w:eastAsia="Arial" w:hAnsi="Arial"/>
                  <w:sz w:val="13"/>
                  <w:szCs w:val="13"/>
                  <w:color w:val="0000FF"/>
                </w:rPr>
                <w:t>Controls and Procedures</w:t>
              </w:r>
            </w:hyperlink>
          </w:p>
        </w:tc>
        <w:tc>
          <w:tcPr>
            <w:tcW w:w="880" w:type="dxa"/>
            <w:vAlign w:val="bottom"/>
          </w:tcPr>
          <w:p>
            <w:pPr>
              <w:jc w:val="center"/>
              <w:spacing w:after="0"/>
              <w:rPr>
                <w:rFonts w:ascii="Arial" w:cs="Arial" w:eastAsia="Arial" w:hAnsi="Arial"/>
                <w:sz w:val="13"/>
                <w:szCs w:val="13"/>
                <w:color w:val="0000FF"/>
                <w:w w:val="91"/>
              </w:rPr>
            </w:pPr>
            <w:hyperlink w:anchor="page130">
              <w:r>
                <w:rPr>
                  <w:rFonts w:ascii="Arial" w:cs="Arial" w:eastAsia="Arial" w:hAnsi="Arial"/>
                  <w:sz w:val="13"/>
                  <w:szCs w:val="13"/>
                  <w:color w:val="0000FF"/>
                  <w:w w:val="91"/>
                </w:rPr>
                <w:t>130</w:t>
              </w:r>
            </w:hyperlink>
          </w:p>
        </w:tc>
        <w:tc>
          <w:tcPr>
            <w:tcW w:w="0" w:type="dxa"/>
            <w:vAlign w:val="bottom"/>
          </w:tcPr>
          <w:p>
            <w:pPr>
              <w:spacing w:after="0"/>
              <w:rPr>
                <w:sz w:val="1"/>
                <w:szCs w:val="1"/>
                <w:color w:val="auto"/>
              </w:rPr>
            </w:pPr>
          </w:p>
        </w:tc>
      </w:tr>
      <w:tr>
        <w:trPr>
          <w:trHeight w:val="168"/>
        </w:trPr>
        <w:tc>
          <w:tcPr>
            <w:tcW w:w="780" w:type="dxa"/>
            <w:vAlign w:val="bottom"/>
          </w:tcPr>
          <w:p>
            <w:pPr>
              <w:ind w:left="20"/>
              <w:spacing w:after="0"/>
              <w:rPr>
                <w:rFonts w:ascii="Arial" w:cs="Arial" w:eastAsia="Arial" w:hAnsi="Arial"/>
                <w:sz w:val="13"/>
                <w:szCs w:val="13"/>
                <w:color w:val="0000FF"/>
              </w:rPr>
            </w:pPr>
            <w:hyperlink w:anchor="page130">
              <w:r>
                <w:rPr>
                  <w:rFonts w:ascii="Arial" w:cs="Arial" w:eastAsia="Arial" w:hAnsi="Arial"/>
                  <w:sz w:val="13"/>
                  <w:szCs w:val="13"/>
                  <w:color w:val="0000FF"/>
                </w:rPr>
                <w:t>Item 9B.</w:t>
              </w:r>
            </w:hyperlink>
          </w:p>
        </w:tc>
        <w:tc>
          <w:tcPr>
            <w:tcW w:w="9620" w:type="dxa"/>
            <w:vAlign w:val="bottom"/>
          </w:tcPr>
          <w:p>
            <w:pPr>
              <w:ind w:left="280"/>
              <w:spacing w:after="0"/>
              <w:rPr>
                <w:rFonts w:ascii="Arial" w:cs="Arial" w:eastAsia="Arial" w:hAnsi="Arial"/>
                <w:sz w:val="13"/>
                <w:szCs w:val="13"/>
                <w:color w:val="0000FF"/>
              </w:rPr>
            </w:pPr>
            <w:hyperlink w:anchor="page130">
              <w:r>
                <w:rPr>
                  <w:rFonts w:ascii="Arial" w:cs="Arial" w:eastAsia="Arial" w:hAnsi="Arial"/>
                  <w:sz w:val="13"/>
                  <w:szCs w:val="13"/>
                  <w:color w:val="0000FF"/>
                </w:rPr>
                <w:t>Other Information</w:t>
              </w:r>
            </w:hyperlink>
          </w:p>
        </w:tc>
        <w:tc>
          <w:tcPr>
            <w:tcW w:w="880" w:type="dxa"/>
            <w:vAlign w:val="bottom"/>
          </w:tcPr>
          <w:p>
            <w:pPr>
              <w:jc w:val="center"/>
              <w:spacing w:after="0"/>
              <w:rPr>
                <w:rFonts w:ascii="Arial" w:cs="Arial" w:eastAsia="Arial" w:hAnsi="Arial"/>
                <w:sz w:val="13"/>
                <w:szCs w:val="13"/>
                <w:color w:val="0000FF"/>
                <w:w w:val="91"/>
              </w:rPr>
            </w:pPr>
            <w:hyperlink w:anchor="page130">
              <w:r>
                <w:rPr>
                  <w:rFonts w:ascii="Arial" w:cs="Arial" w:eastAsia="Arial" w:hAnsi="Arial"/>
                  <w:sz w:val="13"/>
                  <w:szCs w:val="13"/>
                  <w:color w:val="0000FF"/>
                  <w:w w:val="91"/>
                </w:rPr>
                <w:t>130</w:t>
              </w:r>
            </w:hyperlink>
          </w:p>
        </w:tc>
        <w:tc>
          <w:tcPr>
            <w:tcW w:w="0" w:type="dxa"/>
            <w:vAlign w:val="bottom"/>
          </w:tcPr>
          <w:p>
            <w:pPr>
              <w:spacing w:after="0"/>
              <w:rPr>
                <w:sz w:val="1"/>
                <w:szCs w:val="1"/>
                <w:color w:val="auto"/>
              </w:rPr>
            </w:pPr>
          </w:p>
        </w:tc>
      </w:tr>
      <w:tr>
        <w:trPr>
          <w:trHeight w:val="172"/>
        </w:trPr>
        <w:tc>
          <w:tcPr>
            <w:tcW w:w="780" w:type="dxa"/>
            <w:vAlign w:val="bottom"/>
          </w:tcPr>
          <w:p>
            <w:pPr>
              <w:spacing w:after="0"/>
              <w:rPr>
                <w:sz w:val="14"/>
                <w:szCs w:val="14"/>
                <w:color w:val="auto"/>
              </w:rPr>
            </w:pPr>
          </w:p>
        </w:tc>
        <w:tc>
          <w:tcPr>
            <w:tcW w:w="9620" w:type="dxa"/>
            <w:vAlign w:val="bottom"/>
          </w:tcPr>
          <w:p>
            <w:pPr>
              <w:jc w:val="center"/>
              <w:ind w:left="196"/>
              <w:spacing w:after="0"/>
              <w:rPr>
                <w:rFonts w:ascii="Arial" w:cs="Arial" w:eastAsia="Arial" w:hAnsi="Arial"/>
                <w:sz w:val="13"/>
                <w:szCs w:val="13"/>
                <w:b w:val="1"/>
                <w:bCs w:val="1"/>
                <w:color w:val="0000FF"/>
                <w:w w:val="96"/>
              </w:rPr>
            </w:pPr>
            <w:hyperlink w:anchor="page130">
              <w:r>
                <w:rPr>
                  <w:rFonts w:ascii="Arial" w:cs="Arial" w:eastAsia="Arial" w:hAnsi="Arial"/>
                  <w:sz w:val="13"/>
                  <w:szCs w:val="13"/>
                  <w:b w:val="1"/>
                  <w:bCs w:val="1"/>
                  <w:color w:val="0000FF"/>
                  <w:w w:val="96"/>
                </w:rPr>
                <w:t>PART III</w:t>
              </w:r>
            </w:hyperlink>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1">
              <w:r>
                <w:rPr>
                  <w:rFonts w:ascii="Arial" w:cs="Arial" w:eastAsia="Arial" w:hAnsi="Arial"/>
                  <w:sz w:val="13"/>
                  <w:szCs w:val="13"/>
                  <w:color w:val="0000FF"/>
                </w:rPr>
                <w:t>Item 10.</w:t>
              </w:r>
            </w:hyperlink>
          </w:p>
        </w:tc>
        <w:tc>
          <w:tcPr>
            <w:tcW w:w="9620" w:type="dxa"/>
            <w:vAlign w:val="bottom"/>
          </w:tcPr>
          <w:p>
            <w:pPr>
              <w:ind w:left="280"/>
              <w:spacing w:after="0"/>
              <w:rPr>
                <w:rFonts w:ascii="Arial" w:cs="Arial" w:eastAsia="Arial" w:hAnsi="Arial"/>
                <w:sz w:val="13"/>
                <w:szCs w:val="13"/>
                <w:color w:val="0000FF"/>
              </w:rPr>
            </w:pPr>
            <w:hyperlink w:anchor="page131">
              <w:r>
                <w:rPr>
                  <w:rFonts w:ascii="Arial" w:cs="Arial" w:eastAsia="Arial" w:hAnsi="Arial"/>
                  <w:sz w:val="13"/>
                  <w:szCs w:val="13"/>
                  <w:color w:val="0000FF"/>
                </w:rPr>
                <w:t>Directors, Executive Officers and Corporate Governance</w:t>
              </w:r>
            </w:hyperlink>
          </w:p>
        </w:tc>
        <w:tc>
          <w:tcPr>
            <w:tcW w:w="880" w:type="dxa"/>
            <w:vAlign w:val="bottom"/>
          </w:tcPr>
          <w:p>
            <w:pPr>
              <w:jc w:val="center"/>
              <w:spacing w:after="0"/>
              <w:rPr>
                <w:rFonts w:ascii="Arial" w:cs="Arial" w:eastAsia="Arial" w:hAnsi="Arial"/>
                <w:sz w:val="13"/>
                <w:szCs w:val="13"/>
                <w:color w:val="0000FF"/>
                <w:w w:val="91"/>
              </w:rPr>
            </w:pPr>
            <w:hyperlink w:anchor="page131">
              <w:r>
                <w:rPr>
                  <w:rFonts w:ascii="Arial" w:cs="Arial" w:eastAsia="Arial" w:hAnsi="Arial"/>
                  <w:sz w:val="13"/>
                  <w:szCs w:val="13"/>
                  <w:color w:val="0000FF"/>
                  <w:w w:val="91"/>
                </w:rPr>
                <w:t>131</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1">
              <w:r>
                <w:rPr>
                  <w:rFonts w:ascii="Arial" w:cs="Arial" w:eastAsia="Arial" w:hAnsi="Arial"/>
                  <w:sz w:val="13"/>
                  <w:szCs w:val="13"/>
                  <w:color w:val="0000FF"/>
                </w:rPr>
                <w:t>Item 11.</w:t>
              </w:r>
            </w:hyperlink>
          </w:p>
        </w:tc>
        <w:tc>
          <w:tcPr>
            <w:tcW w:w="9620" w:type="dxa"/>
            <w:vAlign w:val="bottom"/>
          </w:tcPr>
          <w:p>
            <w:pPr>
              <w:ind w:left="280"/>
              <w:spacing w:after="0"/>
              <w:rPr>
                <w:rFonts w:ascii="Arial" w:cs="Arial" w:eastAsia="Arial" w:hAnsi="Arial"/>
                <w:sz w:val="13"/>
                <w:szCs w:val="13"/>
                <w:color w:val="0000FF"/>
              </w:rPr>
            </w:pPr>
            <w:hyperlink w:anchor="page131">
              <w:r>
                <w:rPr>
                  <w:rFonts w:ascii="Arial" w:cs="Arial" w:eastAsia="Arial" w:hAnsi="Arial"/>
                  <w:sz w:val="13"/>
                  <w:szCs w:val="13"/>
                  <w:color w:val="0000FF"/>
                </w:rPr>
                <w:t>Executive Compensation</w:t>
              </w:r>
            </w:hyperlink>
          </w:p>
        </w:tc>
        <w:tc>
          <w:tcPr>
            <w:tcW w:w="880" w:type="dxa"/>
            <w:vAlign w:val="bottom"/>
          </w:tcPr>
          <w:p>
            <w:pPr>
              <w:jc w:val="center"/>
              <w:spacing w:after="0"/>
              <w:rPr>
                <w:rFonts w:ascii="Arial" w:cs="Arial" w:eastAsia="Arial" w:hAnsi="Arial"/>
                <w:sz w:val="13"/>
                <w:szCs w:val="13"/>
                <w:color w:val="0000FF"/>
                <w:w w:val="91"/>
              </w:rPr>
            </w:pPr>
            <w:hyperlink w:anchor="page131">
              <w:r>
                <w:rPr>
                  <w:rFonts w:ascii="Arial" w:cs="Arial" w:eastAsia="Arial" w:hAnsi="Arial"/>
                  <w:sz w:val="13"/>
                  <w:szCs w:val="13"/>
                  <w:color w:val="0000FF"/>
                  <w:w w:val="91"/>
                </w:rPr>
                <w:t>131</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1">
              <w:r>
                <w:rPr>
                  <w:rFonts w:ascii="Arial" w:cs="Arial" w:eastAsia="Arial" w:hAnsi="Arial"/>
                  <w:sz w:val="13"/>
                  <w:szCs w:val="13"/>
                  <w:color w:val="0000FF"/>
                </w:rPr>
                <w:t>Item 12.</w:t>
              </w:r>
            </w:hyperlink>
          </w:p>
        </w:tc>
        <w:tc>
          <w:tcPr>
            <w:tcW w:w="9620" w:type="dxa"/>
            <w:vAlign w:val="bottom"/>
          </w:tcPr>
          <w:p>
            <w:pPr>
              <w:ind w:left="280"/>
              <w:spacing w:after="0"/>
              <w:rPr>
                <w:rFonts w:ascii="Arial" w:cs="Arial" w:eastAsia="Arial" w:hAnsi="Arial"/>
                <w:sz w:val="13"/>
                <w:szCs w:val="13"/>
                <w:color w:val="0000FF"/>
              </w:rPr>
            </w:pPr>
            <w:hyperlink w:anchor="page131">
              <w:r>
                <w:rPr>
                  <w:rFonts w:ascii="Arial" w:cs="Arial" w:eastAsia="Arial" w:hAnsi="Arial"/>
                  <w:sz w:val="13"/>
                  <w:szCs w:val="13"/>
                  <w:color w:val="0000FF"/>
                </w:rPr>
                <w:t>Security Ownership of Certain Beneficial Owners and Management and Related Stockholder Matters</w:t>
              </w:r>
            </w:hyperlink>
          </w:p>
        </w:tc>
        <w:tc>
          <w:tcPr>
            <w:tcW w:w="880" w:type="dxa"/>
            <w:vAlign w:val="bottom"/>
          </w:tcPr>
          <w:p>
            <w:pPr>
              <w:jc w:val="center"/>
              <w:spacing w:after="0"/>
              <w:rPr>
                <w:rFonts w:ascii="Arial" w:cs="Arial" w:eastAsia="Arial" w:hAnsi="Arial"/>
                <w:sz w:val="13"/>
                <w:szCs w:val="13"/>
                <w:color w:val="0000FF"/>
                <w:w w:val="91"/>
              </w:rPr>
            </w:pPr>
            <w:hyperlink w:anchor="page131">
              <w:r>
                <w:rPr>
                  <w:rFonts w:ascii="Arial" w:cs="Arial" w:eastAsia="Arial" w:hAnsi="Arial"/>
                  <w:sz w:val="13"/>
                  <w:szCs w:val="13"/>
                  <w:color w:val="0000FF"/>
                  <w:w w:val="91"/>
                </w:rPr>
                <w:t>131</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1">
              <w:r>
                <w:rPr>
                  <w:rFonts w:ascii="Arial" w:cs="Arial" w:eastAsia="Arial" w:hAnsi="Arial"/>
                  <w:sz w:val="13"/>
                  <w:szCs w:val="13"/>
                  <w:color w:val="0000FF"/>
                </w:rPr>
                <w:t>Item 13.</w:t>
              </w:r>
            </w:hyperlink>
          </w:p>
        </w:tc>
        <w:tc>
          <w:tcPr>
            <w:tcW w:w="9620" w:type="dxa"/>
            <w:vAlign w:val="bottom"/>
          </w:tcPr>
          <w:p>
            <w:pPr>
              <w:ind w:left="280"/>
              <w:spacing w:after="0"/>
              <w:rPr>
                <w:rFonts w:ascii="Arial" w:cs="Arial" w:eastAsia="Arial" w:hAnsi="Arial"/>
                <w:sz w:val="13"/>
                <w:szCs w:val="13"/>
                <w:color w:val="0000FF"/>
              </w:rPr>
            </w:pPr>
            <w:hyperlink w:anchor="page131">
              <w:r>
                <w:rPr>
                  <w:rFonts w:ascii="Arial" w:cs="Arial" w:eastAsia="Arial" w:hAnsi="Arial"/>
                  <w:sz w:val="13"/>
                  <w:szCs w:val="13"/>
                  <w:color w:val="0000FF"/>
                </w:rPr>
                <w:t>Certain Relationships and Related Transactions, and Director Independence</w:t>
              </w:r>
            </w:hyperlink>
          </w:p>
        </w:tc>
        <w:tc>
          <w:tcPr>
            <w:tcW w:w="880" w:type="dxa"/>
            <w:vAlign w:val="bottom"/>
          </w:tcPr>
          <w:p>
            <w:pPr>
              <w:jc w:val="center"/>
              <w:spacing w:after="0"/>
              <w:rPr>
                <w:rFonts w:ascii="Arial" w:cs="Arial" w:eastAsia="Arial" w:hAnsi="Arial"/>
                <w:sz w:val="13"/>
                <w:szCs w:val="13"/>
                <w:color w:val="0000FF"/>
                <w:w w:val="91"/>
              </w:rPr>
            </w:pPr>
            <w:hyperlink w:anchor="page131">
              <w:r>
                <w:rPr>
                  <w:rFonts w:ascii="Arial" w:cs="Arial" w:eastAsia="Arial" w:hAnsi="Arial"/>
                  <w:sz w:val="13"/>
                  <w:szCs w:val="13"/>
                  <w:color w:val="0000FF"/>
                  <w:w w:val="91"/>
                </w:rPr>
                <w:t>131</w:t>
              </w:r>
            </w:hyperlink>
          </w:p>
        </w:tc>
        <w:tc>
          <w:tcPr>
            <w:tcW w:w="0" w:type="dxa"/>
            <w:vAlign w:val="bottom"/>
          </w:tcPr>
          <w:p>
            <w:pPr>
              <w:spacing w:after="0"/>
              <w:rPr>
                <w:sz w:val="1"/>
                <w:szCs w:val="1"/>
                <w:color w:val="auto"/>
              </w:rPr>
            </w:pPr>
          </w:p>
        </w:tc>
      </w:tr>
      <w:tr>
        <w:trPr>
          <w:trHeight w:val="168"/>
        </w:trPr>
        <w:tc>
          <w:tcPr>
            <w:tcW w:w="780" w:type="dxa"/>
            <w:vAlign w:val="bottom"/>
          </w:tcPr>
          <w:p>
            <w:pPr>
              <w:ind w:left="20"/>
              <w:spacing w:after="0"/>
              <w:rPr>
                <w:rFonts w:ascii="Arial" w:cs="Arial" w:eastAsia="Arial" w:hAnsi="Arial"/>
                <w:sz w:val="13"/>
                <w:szCs w:val="13"/>
                <w:color w:val="0000FF"/>
              </w:rPr>
            </w:pPr>
            <w:hyperlink w:anchor="page131">
              <w:r>
                <w:rPr>
                  <w:rFonts w:ascii="Arial" w:cs="Arial" w:eastAsia="Arial" w:hAnsi="Arial"/>
                  <w:sz w:val="13"/>
                  <w:szCs w:val="13"/>
                  <w:color w:val="0000FF"/>
                </w:rPr>
                <w:t>Item 14.</w:t>
              </w:r>
            </w:hyperlink>
          </w:p>
        </w:tc>
        <w:tc>
          <w:tcPr>
            <w:tcW w:w="9620" w:type="dxa"/>
            <w:vAlign w:val="bottom"/>
          </w:tcPr>
          <w:p>
            <w:pPr>
              <w:ind w:left="280"/>
              <w:spacing w:after="0"/>
              <w:rPr>
                <w:rFonts w:ascii="Arial" w:cs="Arial" w:eastAsia="Arial" w:hAnsi="Arial"/>
                <w:sz w:val="13"/>
                <w:szCs w:val="13"/>
                <w:color w:val="0000FF"/>
              </w:rPr>
            </w:pPr>
            <w:hyperlink w:anchor="page131">
              <w:r>
                <w:rPr>
                  <w:rFonts w:ascii="Arial" w:cs="Arial" w:eastAsia="Arial" w:hAnsi="Arial"/>
                  <w:sz w:val="13"/>
                  <w:szCs w:val="13"/>
                  <w:color w:val="0000FF"/>
                </w:rPr>
                <w:t>Principal Accounting Fees and Services</w:t>
              </w:r>
            </w:hyperlink>
          </w:p>
        </w:tc>
        <w:tc>
          <w:tcPr>
            <w:tcW w:w="880" w:type="dxa"/>
            <w:vAlign w:val="bottom"/>
          </w:tcPr>
          <w:p>
            <w:pPr>
              <w:jc w:val="center"/>
              <w:spacing w:after="0"/>
              <w:rPr>
                <w:rFonts w:ascii="Arial" w:cs="Arial" w:eastAsia="Arial" w:hAnsi="Arial"/>
                <w:sz w:val="13"/>
                <w:szCs w:val="13"/>
                <w:color w:val="0000FF"/>
                <w:w w:val="91"/>
              </w:rPr>
            </w:pPr>
            <w:hyperlink w:anchor="page131">
              <w:r>
                <w:rPr>
                  <w:rFonts w:ascii="Arial" w:cs="Arial" w:eastAsia="Arial" w:hAnsi="Arial"/>
                  <w:sz w:val="13"/>
                  <w:szCs w:val="13"/>
                  <w:color w:val="0000FF"/>
                  <w:w w:val="91"/>
                </w:rPr>
                <w:t>131</w:t>
              </w:r>
            </w:hyperlink>
          </w:p>
        </w:tc>
        <w:tc>
          <w:tcPr>
            <w:tcW w:w="0" w:type="dxa"/>
            <w:vAlign w:val="bottom"/>
          </w:tcPr>
          <w:p>
            <w:pPr>
              <w:spacing w:after="0"/>
              <w:rPr>
                <w:sz w:val="1"/>
                <w:szCs w:val="1"/>
                <w:color w:val="auto"/>
              </w:rPr>
            </w:pPr>
          </w:p>
        </w:tc>
      </w:tr>
      <w:tr>
        <w:trPr>
          <w:trHeight w:val="172"/>
        </w:trPr>
        <w:tc>
          <w:tcPr>
            <w:tcW w:w="780" w:type="dxa"/>
            <w:vAlign w:val="bottom"/>
          </w:tcPr>
          <w:p>
            <w:pPr>
              <w:spacing w:after="0"/>
              <w:rPr>
                <w:sz w:val="14"/>
                <w:szCs w:val="14"/>
                <w:color w:val="auto"/>
              </w:rPr>
            </w:pPr>
          </w:p>
        </w:tc>
        <w:tc>
          <w:tcPr>
            <w:tcW w:w="9620" w:type="dxa"/>
            <w:vAlign w:val="bottom"/>
          </w:tcPr>
          <w:p>
            <w:pPr>
              <w:jc w:val="center"/>
              <w:ind w:left="216"/>
              <w:spacing w:after="0"/>
              <w:rPr>
                <w:rFonts w:ascii="Arial" w:cs="Arial" w:eastAsia="Arial" w:hAnsi="Arial"/>
                <w:sz w:val="13"/>
                <w:szCs w:val="13"/>
                <w:b w:val="1"/>
                <w:bCs w:val="1"/>
                <w:color w:val="0000FF"/>
                <w:w w:val="97"/>
              </w:rPr>
            </w:pPr>
            <w:hyperlink w:anchor="page131">
              <w:r>
                <w:rPr>
                  <w:rFonts w:ascii="Arial" w:cs="Arial" w:eastAsia="Arial" w:hAnsi="Arial"/>
                  <w:sz w:val="13"/>
                  <w:szCs w:val="13"/>
                  <w:b w:val="1"/>
                  <w:bCs w:val="1"/>
                  <w:color w:val="0000FF"/>
                  <w:w w:val="97"/>
                </w:rPr>
                <w:t>PART IV</w:t>
              </w:r>
            </w:hyperlink>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2">
              <w:r>
                <w:rPr>
                  <w:rFonts w:ascii="Arial" w:cs="Arial" w:eastAsia="Arial" w:hAnsi="Arial"/>
                  <w:sz w:val="13"/>
                  <w:szCs w:val="13"/>
                  <w:color w:val="0000FF"/>
                </w:rPr>
                <w:t>Item 15.</w:t>
              </w:r>
            </w:hyperlink>
          </w:p>
        </w:tc>
        <w:tc>
          <w:tcPr>
            <w:tcW w:w="9620" w:type="dxa"/>
            <w:vAlign w:val="bottom"/>
          </w:tcPr>
          <w:p>
            <w:pPr>
              <w:ind w:left="280"/>
              <w:spacing w:after="0"/>
              <w:rPr>
                <w:rFonts w:ascii="Arial" w:cs="Arial" w:eastAsia="Arial" w:hAnsi="Arial"/>
                <w:sz w:val="13"/>
                <w:szCs w:val="13"/>
                <w:color w:val="0000FF"/>
              </w:rPr>
            </w:pPr>
            <w:hyperlink w:anchor="page132">
              <w:r>
                <w:rPr>
                  <w:rFonts w:ascii="Arial" w:cs="Arial" w:eastAsia="Arial" w:hAnsi="Arial"/>
                  <w:sz w:val="13"/>
                  <w:szCs w:val="13"/>
                  <w:color w:val="0000FF"/>
                </w:rPr>
                <w:t>Exhibits, Financial Statement Schedules</w:t>
              </w:r>
            </w:hyperlink>
          </w:p>
        </w:tc>
        <w:tc>
          <w:tcPr>
            <w:tcW w:w="880" w:type="dxa"/>
            <w:vAlign w:val="bottom"/>
          </w:tcPr>
          <w:p>
            <w:pPr>
              <w:jc w:val="center"/>
              <w:spacing w:after="0"/>
              <w:rPr>
                <w:rFonts w:ascii="Arial" w:cs="Arial" w:eastAsia="Arial" w:hAnsi="Arial"/>
                <w:sz w:val="13"/>
                <w:szCs w:val="13"/>
                <w:color w:val="0000FF"/>
                <w:w w:val="91"/>
              </w:rPr>
            </w:pPr>
            <w:hyperlink w:anchor="page132">
              <w:r>
                <w:rPr>
                  <w:rFonts w:ascii="Arial" w:cs="Arial" w:eastAsia="Arial" w:hAnsi="Arial"/>
                  <w:sz w:val="13"/>
                  <w:szCs w:val="13"/>
                  <w:color w:val="0000FF"/>
                  <w:w w:val="91"/>
                </w:rPr>
                <w:t>132</w:t>
              </w:r>
            </w:hyperlink>
          </w:p>
        </w:tc>
        <w:tc>
          <w:tcPr>
            <w:tcW w:w="0" w:type="dxa"/>
            <w:vAlign w:val="bottom"/>
          </w:tcPr>
          <w:p>
            <w:pPr>
              <w:spacing w:after="0"/>
              <w:rPr>
                <w:sz w:val="1"/>
                <w:szCs w:val="1"/>
                <w:color w:val="auto"/>
              </w:rPr>
            </w:pPr>
          </w:p>
        </w:tc>
      </w:tr>
      <w:tr>
        <w:trPr>
          <w:trHeight w:val="170"/>
        </w:trPr>
        <w:tc>
          <w:tcPr>
            <w:tcW w:w="780" w:type="dxa"/>
            <w:vAlign w:val="bottom"/>
          </w:tcPr>
          <w:p>
            <w:pPr>
              <w:ind w:left="20"/>
              <w:spacing w:after="0"/>
              <w:rPr>
                <w:rFonts w:ascii="Arial" w:cs="Arial" w:eastAsia="Arial" w:hAnsi="Arial"/>
                <w:sz w:val="13"/>
                <w:szCs w:val="13"/>
                <w:color w:val="0000FF"/>
              </w:rPr>
            </w:pPr>
            <w:hyperlink w:anchor="page135">
              <w:r>
                <w:rPr>
                  <w:rFonts w:ascii="Arial" w:cs="Arial" w:eastAsia="Arial" w:hAnsi="Arial"/>
                  <w:sz w:val="13"/>
                  <w:szCs w:val="13"/>
                  <w:color w:val="0000FF"/>
                </w:rPr>
                <w:t>Item 16.</w:t>
              </w:r>
            </w:hyperlink>
          </w:p>
        </w:tc>
        <w:tc>
          <w:tcPr>
            <w:tcW w:w="9620" w:type="dxa"/>
            <w:vAlign w:val="bottom"/>
          </w:tcPr>
          <w:p>
            <w:pPr>
              <w:ind w:left="280"/>
              <w:spacing w:after="0"/>
              <w:rPr>
                <w:rFonts w:ascii="Arial" w:cs="Arial" w:eastAsia="Arial" w:hAnsi="Arial"/>
                <w:sz w:val="13"/>
                <w:szCs w:val="13"/>
                <w:color w:val="0000FF"/>
              </w:rPr>
            </w:pPr>
            <w:hyperlink w:anchor="page135">
              <w:r>
                <w:rPr>
                  <w:rFonts w:ascii="Arial" w:cs="Arial" w:eastAsia="Arial" w:hAnsi="Arial"/>
                  <w:sz w:val="13"/>
                  <w:szCs w:val="13"/>
                  <w:color w:val="0000FF"/>
                </w:rPr>
                <w:t>Form 10-K Summary</w:t>
              </w:r>
            </w:hyperlink>
          </w:p>
        </w:tc>
        <w:tc>
          <w:tcPr>
            <w:tcW w:w="880" w:type="dxa"/>
            <w:vAlign w:val="bottom"/>
          </w:tcPr>
          <w:p>
            <w:pPr>
              <w:jc w:val="center"/>
              <w:spacing w:after="0"/>
              <w:rPr>
                <w:rFonts w:ascii="Arial" w:cs="Arial" w:eastAsia="Arial" w:hAnsi="Arial"/>
                <w:sz w:val="13"/>
                <w:szCs w:val="13"/>
                <w:color w:val="0000FF"/>
                <w:w w:val="91"/>
              </w:rPr>
            </w:pPr>
            <w:hyperlink w:anchor="page135">
              <w:r>
                <w:rPr>
                  <w:rFonts w:ascii="Arial" w:cs="Arial" w:eastAsia="Arial" w:hAnsi="Arial"/>
                  <w:sz w:val="13"/>
                  <w:szCs w:val="13"/>
                  <w:color w:val="0000FF"/>
                  <w:w w:val="91"/>
                </w:rPr>
                <w:t>136</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9620" w:type="dxa"/>
            <w:vAlign w:val="bottom"/>
          </w:tcPr>
          <w:p>
            <w:pPr>
              <w:ind w:left="280"/>
              <w:spacing w:after="0"/>
              <w:rPr>
                <w:rFonts w:ascii="Arial" w:cs="Arial" w:eastAsia="Arial" w:hAnsi="Arial"/>
                <w:sz w:val="13"/>
                <w:szCs w:val="13"/>
                <w:color w:val="0000FF"/>
              </w:rPr>
            </w:pPr>
            <w:hyperlink w:anchor="page136">
              <w:r>
                <w:rPr>
                  <w:rFonts w:ascii="Arial" w:cs="Arial" w:eastAsia="Arial" w:hAnsi="Arial"/>
                  <w:sz w:val="13"/>
                  <w:szCs w:val="13"/>
                  <w:color w:val="0000FF"/>
                </w:rPr>
                <w:t>Signatures</w:t>
              </w:r>
            </w:hyperlink>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2"/>
        </w:trPr>
        <w:tc>
          <w:tcPr>
            <w:tcW w:w="78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 w:name="page4"/>
    <w:bookmarkEnd w:id="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94"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53" w:lineRule="exact"/>
        <w:rPr>
          <w:sz w:val="20"/>
          <w:szCs w:val="20"/>
          <w:color w:val="auto"/>
        </w:rPr>
      </w:pPr>
    </w:p>
    <w:p>
      <w:pPr>
        <w:jc w:val="both"/>
        <w:ind w:firstLine="382"/>
        <w:spacing w:after="0" w:line="266" w:lineRule="auto"/>
        <w:rPr>
          <w:sz w:val="20"/>
          <w:szCs w:val="20"/>
          <w:color w:val="auto"/>
        </w:rPr>
      </w:pPr>
      <w:r>
        <w:rPr>
          <w:rFonts w:ascii="Arial" w:cs="Arial" w:eastAsia="Arial" w:hAnsi="Arial"/>
          <w:sz w:val="14"/>
          <w:szCs w:val="14"/>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48" w:lineRule="exact"/>
        <w:rPr>
          <w:sz w:val="20"/>
          <w:szCs w:val="20"/>
          <w:color w:val="auto"/>
        </w:rPr>
      </w:pPr>
    </w:p>
    <w:p>
      <w:pPr>
        <w:ind w:right="260" w:firstLine="382"/>
        <w:spacing w:after="0" w:line="296" w:lineRule="auto"/>
        <w:rPr>
          <w:sz w:val="20"/>
          <w:szCs w:val="20"/>
          <w:color w:val="auto"/>
        </w:rPr>
      </w:pPr>
      <w:r>
        <w:rPr>
          <w:rFonts w:ascii="Arial" w:cs="Arial" w:eastAsia="Arial" w:hAnsi="Arial"/>
          <w:sz w:val="14"/>
          <w:szCs w:val="14"/>
          <w:color w:val="auto"/>
        </w:rPr>
        <w:t>In this report, unless otherwise indicated or the context otherwise requires, “Enphase Energy,” “Enphase,” “the Company,” “we,” “us,” and “our” refer to Enphase Energy, Inc., a Delaware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379730</wp:posOffset>
            </wp:positionV>
            <wp:extent cx="69596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 w:name="page5"/>
    <w:bookmarkEnd w:id="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 Factors Summary</w:t>
      </w:r>
    </w:p>
    <w:p>
      <w:pPr>
        <w:spacing w:after="0" w:line="92" w:lineRule="exact"/>
        <w:rPr>
          <w:sz w:val="20"/>
          <w:szCs w:val="20"/>
          <w:color w:val="auto"/>
        </w:rPr>
      </w:pPr>
    </w:p>
    <w:p>
      <w:pPr>
        <w:jc w:val="both"/>
        <w:spacing w:after="0" w:line="174" w:lineRule="exact"/>
        <w:rPr>
          <w:sz w:val="20"/>
          <w:szCs w:val="20"/>
          <w:color w:val="auto"/>
        </w:rPr>
      </w:pPr>
      <w:r>
        <w:rPr>
          <w:rFonts w:ascii="Arial" w:cs="Arial" w:eastAsia="Arial" w:hAnsi="Arial"/>
          <w:sz w:val="14"/>
          <w:szCs w:val="14"/>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The below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as part of your evaluation of an investment in our securities:</w:t>
      </w:r>
    </w:p>
    <w:p>
      <w:pPr>
        <w:spacing w:after="0" w:line="65" w:lineRule="exact"/>
        <w:rPr>
          <w:sz w:val="20"/>
          <w:szCs w:val="20"/>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demand for solar energy solutions does not grow or grows at a slower rate than we anticipate, including as a result of the ongoing COVID-19 pandemic, our business will suffer.</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rapidly changing solar industry makes it difficult to evaluate our current business and future prospects.</w:t>
      </w:r>
    </w:p>
    <w:p>
      <w:pPr>
        <w:spacing w:after="0" w:line="93" w:lineRule="exact"/>
        <w:rPr>
          <w:rFonts w:ascii="Arial" w:cs="Arial" w:eastAsia="Arial" w:hAnsi="Arial"/>
          <w:sz w:val="14"/>
          <w:szCs w:val="14"/>
          <w:color w:val="auto"/>
        </w:rPr>
      </w:pPr>
    </w:p>
    <w:p>
      <w:pPr>
        <w:jc w:val="both"/>
        <w:ind w:left="520" w:hanging="260"/>
        <w:spacing w:after="0" w:line="274"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currently being adversely affected and could be materially and adversely affected in the future by the evolving effects of the ongoing COVID-19 pandemic. The COVID-19 pandemic may continue to, and other actual or threatened epidemics, pandemics, outbreaks, or public health crises may in the future adversely affect our customers’ financial condition and our business.</w:t>
      </w:r>
    </w:p>
    <w:p>
      <w:pPr>
        <w:spacing w:after="0" w:line="42"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depend upon a small number of outside contract manufacturers, and our business and operations could be disrupted if we encounter manufacturing problems with these contract manufacturers.</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depend on sole-source and limited source suppliers for key components and products. If we are unable to source these components on a timely basis, we will not be able to deliver our products to our customers.</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or our contract manufacturers are unable to obtain raw materials in a timely manner or if the price of raw materials increases significantly, production time and product costs could increase, which may adversely affect our gross margin and our business.</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Manufacturing problems could result in delays in product shipments to customers which would adversely affect our revenue competitive position and reputation.</w:t>
      </w:r>
    </w:p>
    <w:p>
      <w:pPr>
        <w:spacing w:after="0" w:line="93"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primarily on distributors, installers, and providers of solar financing to assist in selling our products to consumers, and the failure of these resellers to perform at the expected level, or at all, would have an adverse effect on our business, financial condition and results of operations.</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or events affecting, one of our major customers could reduce our sales and have a material adverse effect on our business, financial condition and results of operations.</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 government actions with regard to the solar energy sector or international trade could materially harm our business, financial condition and results of operations.</w:t>
      </w:r>
    </w:p>
    <w:p>
      <w:pPr>
        <w:spacing w:after="0" w:line="93"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solar industry is highly competitive, and we expect to face increased competition as new and existing competitors introduce products, which could negatively impact our business, financial condition and result of operations.</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recent and planned expansion into existing and new markets could subject us to additional business, financial and competitive risks.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significant international operations subject us to additional risks that could adversely affect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fail to capture customers in the new product and geographic markets that we are pursuing, which would prevent us from increasing our revenue and market share.</w:t>
      </w:r>
    </w:p>
    <w:p>
      <w:pPr>
        <w:spacing w:after="0" w:line="93"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microinverter systems, including our storage solution, integrated AC Module, eighth-generation IQ microinverters and Ensemble technology, may not achieve broader market acceptance, which would prevent us from increasing our revenue and market share.</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reduction, elimination or expiration of government subsidies and economic incentives for on-grid solar electricity applications could reduce demand for solar PV systems and harm our business.</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gross profit may fluctuate over time, which could impair our ability to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 w:name="page6"/>
    <w:bookmarkEnd w:id="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under continuous pressure to reduce the prices of our products, which has adversely affected, and may continue to adversely affect, our gross margins.</w:t>
      </w:r>
    </w:p>
    <w:p>
      <w:pPr>
        <w:spacing w:after="0" w:line="93"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Defects and poor performance in our products could result in loss of customers, decreased revenue and unexpected expenses, and increases in warranty, indemnity and product liability claims arising from defective products.</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part of growing our business, we have made and expect to continue to make acquisitions. If we fail to successfully select, execute or integrate our acquisitions, then our business and operating results could be harmed and our stock price could decline.</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invest in companies for both strategic and financial reasons but may not realize a return on our investments.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has been and could continue to be affected by seasonal trends and construction cycles.</w:t>
      </w:r>
    </w:p>
    <w:p>
      <w:pPr>
        <w:spacing w:after="0" w:line="93"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If we fail to retain our key personnel or if we fail to attract additional qualified personnel, we may not be able to achieve our anticipated level of growth and our business could suffer.</w:t>
      </w:r>
    </w:p>
    <w:p>
      <w:pPr>
        <w:spacing w:after="0" w:line="27" w:lineRule="exact"/>
        <w:rPr>
          <w:rFonts w:ascii="Arial" w:cs="Arial" w:eastAsia="Arial" w:hAnsi="Arial"/>
          <w:sz w:val="14"/>
          <w:szCs w:val="14"/>
          <w:b w:val="1"/>
          <w:bCs w:val="1"/>
          <w:color w:val="auto"/>
        </w:rPr>
      </w:pPr>
    </w:p>
    <w:p>
      <w:pPr>
        <w:ind w:left="520" w:hanging="260"/>
        <w:spacing w:after="0" w:line="29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could be subject to breaches of our information technology systems, which could cause significant reputational, legal and financial damages. Any unauthorized access to, or disclosure or theft of personal information we gather, store or use could harm our reputation and subject us to claims or litigation.</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protect, or incur significant costs in defending, our intellectual property and other proprietary rights, our business and results of operations could be materially harmed.</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From time to time we are involved in a number of legal proceedings and, while we cannot predict the outcomes of such proceedings and other contingencies with certainty, some of these outcomes could adversely affect our business and financial condition.</w:t>
      </w:r>
    </w:p>
    <w:p>
      <w:pPr>
        <w:spacing w:after="0" w:line="27"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Conversion of our Convertible Notes may dilute the ownership interest of existing stockholders or may otherwise depress the price of our common stock. The convertible note hedge and warrant transactions and/or their early termination may affect the value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379730</wp:posOffset>
            </wp:positionV>
            <wp:extent cx="69596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 w:name="page7"/>
    <w:bookmarkEnd w:id="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are a global energy technology company. We deliver smart, easy-to-use solutions that manage solar generation, storage and communication on one single platform. We revolutionized the solar industry with our microinverter technology and we produce a fully integrated solar-plus-storage solution. To date, we have shipped more than 32 million microinverters, and approximately 1.4 million Enphase residential and commercial systems have been deployed in more than 130 countries.</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COVID-19 update</w:t>
      </w:r>
    </w:p>
    <w:p>
      <w:pPr>
        <w:spacing w:after="0" w:line="9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ongoing COVID-19 pandemic (“COVID-19”) continues to cause disruptions and uncertainties, including in the core markets in which we operate. The COVID-19 pandemic has significantly curtailed the movement of people, goods and services and had a notable impact on general economic conditions including but not limited to the temporary closures of many businesses, “shelter in place” orders and other governmental regulations, and reduced consumer spending. The most significant near-term impacts of COVID-19 on our financial performance are a decline in sales orders as future residential and commercial system owners are canceling sales meetings with system installation professionals or postponing system installations. As the purchase of new solar energy management solutions declines as part of the impact of COVID-19 on consumer spending, many businesses through which we distribute our products are working at limited operational capacity. The extent of the impact of COVID-19 on our future operational and financial performance will depend on various future developments, including the duration and spread of the outbreak, duration of employees working remotely, impact on our customers, effect on our sales cycles or costs, and effect on our supply chain and vendors, all of which are uncertain and cannot be predicted, but which could have a material adverse effect on our business, results of operations or financial condition. Further information relating to the risks and uncertainties related to the ongoing COVID-19 pandemic may be found in Part I, Item 1A “Risk Factors” of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Background</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Historically, traditional central inverters were the only inverter technology used for solar photovoltaic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We believe that traditional central inverters have a number of design and performance challenges limiting innovation and their ability to reduce the cost of solar power systems, including the following:</w:t>
      </w:r>
    </w:p>
    <w:p>
      <w:pPr>
        <w:spacing w:after="0" w:line="47" w:lineRule="exact"/>
        <w:rPr>
          <w:sz w:val="20"/>
          <w:szCs w:val="20"/>
          <w:color w:val="auto"/>
        </w:rPr>
      </w:pPr>
    </w:p>
    <w:p>
      <w:pPr>
        <w:ind w:left="640" w:hanging="253"/>
        <w:spacing w:after="0" w:line="296" w:lineRule="auto"/>
        <w:tabs>
          <w:tab w:leader="none" w:pos="63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Productivity limits</w:t>
      </w:r>
      <w:r>
        <w:rPr>
          <w:rFonts w:ascii="Arial" w:cs="Arial" w:eastAsia="Arial" w:hAnsi="Arial"/>
          <w:sz w:val="14"/>
          <w:szCs w:val="14"/>
          <w:color w:val="auto"/>
        </w:rPr>
        <w:t>. If solar modules are wired using a traditional central inverter—group or “string” of modules are wired in series, and an entire string’s output is limited by</w:t>
      </w:r>
      <w:r>
        <w:rPr>
          <w:rFonts w:ascii="Arial" w:cs="Arial" w:eastAsia="Arial" w:hAnsi="Arial"/>
          <w:sz w:val="14"/>
          <w:szCs w:val="14"/>
          <w:i w:val="1"/>
          <w:iCs w:val="1"/>
          <w:color w:val="auto"/>
        </w:rPr>
        <w:t xml:space="preserve"> </w:t>
      </w:r>
      <w:r>
        <w:rPr>
          <w:rFonts w:ascii="Arial" w:cs="Arial" w:eastAsia="Arial" w:hAnsi="Arial"/>
          <w:sz w:val="14"/>
          <w:szCs w:val="14"/>
          <w:color w:val="auto"/>
        </w:rPr>
        <w:t>the output of the lowest-performing module. Because of its string design, there is a single point of failure risk with the traditional central inverter approach.</w:t>
      </w:r>
    </w:p>
    <w:p>
      <w:pPr>
        <w:spacing w:after="0" w:line="27"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Reli</w:t>
      </w:r>
      <w:r>
        <w:rPr>
          <w:rFonts w:ascii="Arial" w:cs="Arial" w:eastAsia="Arial" w:hAnsi="Arial"/>
          <w:sz w:val="14"/>
          <w:szCs w:val="14"/>
          <w:color w:val="auto"/>
        </w:rPr>
        <w:t>a</w:t>
      </w:r>
      <w:r>
        <w:rPr>
          <w:rFonts w:ascii="Arial" w:cs="Arial" w:eastAsia="Arial" w:hAnsi="Arial"/>
          <w:sz w:val="14"/>
          <w:szCs w:val="14"/>
          <w:i w:val="1"/>
          <w:iCs w:val="1"/>
          <w:color w:val="auto"/>
        </w:rPr>
        <w:t>bility issues</w:t>
      </w:r>
      <w:r>
        <w:rPr>
          <w:rFonts w:ascii="Arial" w:cs="Arial" w:eastAsia="Arial" w:hAnsi="Arial"/>
          <w:sz w:val="14"/>
          <w:szCs w:val="14"/>
          <w:color w:val="auto"/>
        </w:rPr>
        <w:t>. Traditional central inverters are the single most common component of solar installations to fail, resulting in system downtime and adversely impacting</w:t>
      </w:r>
      <w:r>
        <w:rPr>
          <w:rFonts w:ascii="Arial" w:cs="Arial" w:eastAsia="Arial" w:hAnsi="Arial"/>
          <w:sz w:val="14"/>
          <w:szCs w:val="14"/>
          <w:i w:val="1"/>
          <w:iCs w:val="1"/>
          <w:color w:val="auto"/>
        </w:rPr>
        <w:t xml:space="preserve"> </w:t>
      </w:r>
      <w:r>
        <w:rPr>
          <w:rFonts w:ascii="Arial" w:cs="Arial" w:eastAsia="Arial" w:hAnsi="Arial"/>
          <w:sz w:val="14"/>
          <w:szCs w:val="14"/>
          <w:color w:val="auto"/>
        </w:rPr>
        <w:t>total energy output. As a result, central inverters typically carry warranties of only 5 to 10 years.</w:t>
      </w:r>
    </w:p>
    <w:p>
      <w:pPr>
        <w:spacing w:after="0" w:line="27" w:lineRule="exact"/>
        <w:rPr>
          <w:rFonts w:ascii="Arial" w:cs="Arial" w:eastAsia="Arial" w:hAnsi="Arial"/>
          <w:sz w:val="14"/>
          <w:szCs w:val="14"/>
          <w:color w:val="auto"/>
        </w:rPr>
      </w:pPr>
    </w:p>
    <w:p>
      <w:pPr>
        <w:jc w:val="both"/>
        <w:ind w:left="640" w:hanging="253"/>
        <w:spacing w:after="0" w:line="267" w:lineRule="auto"/>
        <w:tabs>
          <w:tab w:leader="none" w:pos="63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Complex design and installation requirements</w:t>
      </w:r>
      <w:r>
        <w:rPr>
          <w:rFonts w:ascii="Arial" w:cs="Arial" w:eastAsia="Arial" w:hAnsi="Arial"/>
          <w:sz w:val="14"/>
          <w:szCs w:val="14"/>
          <w:color w:val="auto"/>
        </w:rPr>
        <w:t>. The central inverter-based solar PV installation requires greater effort on the part of the installer, both in terms of design</w:t>
      </w:r>
      <w:r>
        <w:rPr>
          <w:rFonts w:ascii="Arial" w:cs="Arial" w:eastAsia="Arial" w:hAnsi="Arial"/>
          <w:sz w:val="14"/>
          <w:szCs w:val="14"/>
          <w:i w:val="1"/>
          <w:iCs w:val="1"/>
          <w:color w:val="auto"/>
        </w:rPr>
        <w:t xml:space="preserve"> </w:t>
      </w:r>
      <w:r>
        <w:rPr>
          <w:rFonts w:ascii="Arial" w:cs="Arial" w:eastAsia="Arial" w:hAnsi="Arial"/>
          <w:sz w:val="14"/>
          <w:szCs w:val="14"/>
          <w:color w:val="auto"/>
        </w:rPr>
        <w:t>and on-site labor. Central inverter installations require string design and calculations for safe and reliable operation, as well as specialized equipment such as DC combiners, conduits and disconnects. In addition, the use of high-voltage direct current (“DC”) requires specialized knowledge and training and safety precautions to install central inverter technology.</w:t>
      </w:r>
    </w:p>
    <w:p>
      <w:pPr>
        <w:spacing w:after="0" w:line="47"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Lack of monitoring</w:t>
      </w:r>
      <w:r>
        <w:rPr>
          <w:rFonts w:ascii="Arial" w:cs="Arial" w:eastAsia="Arial" w:hAnsi="Arial"/>
          <w:sz w:val="14"/>
          <w:szCs w:val="14"/>
          <w:color w:val="auto"/>
        </w:rPr>
        <w:t>. The majority of solar installations with central inverter technology offer limited monitoring capabilities. If a module in a central inverter system fails or is</w:t>
      </w:r>
      <w:r>
        <w:rPr>
          <w:rFonts w:ascii="Arial" w:cs="Arial" w:eastAsia="Arial" w:hAnsi="Arial"/>
          <w:sz w:val="14"/>
          <w:szCs w:val="14"/>
          <w:i w:val="1"/>
          <w:iCs w:val="1"/>
          <w:color w:val="auto"/>
        </w:rPr>
        <w:t xml:space="preserve"> </w:t>
      </w:r>
      <w:r>
        <w:rPr>
          <w:rFonts w:ascii="Arial" w:cs="Arial" w:eastAsia="Arial" w:hAnsi="Arial"/>
          <w:sz w:val="14"/>
          <w:szCs w:val="14"/>
          <w:color w:val="auto"/>
        </w:rPr>
        <w:t>not performing to specification, the resulting loss of energy can go unnoticed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379730</wp:posOffset>
            </wp:positionV>
            <wp:extent cx="69596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 w:name="page8"/>
    <w:bookmarkEnd w:id="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40" w:hanging="253"/>
        <w:spacing w:after="0" w:line="274" w:lineRule="auto"/>
        <w:tabs>
          <w:tab w:leader="none" w:pos="6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Safety issues</w:t>
      </w:r>
      <w:r>
        <w:rPr>
          <w:rFonts w:ascii="Arial" w:cs="Arial" w:eastAsia="Arial" w:hAnsi="Arial"/>
          <w:sz w:val="14"/>
          <w:szCs w:val="14"/>
          <w:color w:val="auto"/>
        </w:rPr>
        <w:t>. Central inverter solar PV installations have a wide distribution of high-voltage (600 volts to 1,000 volts) DC wiring. If damaged, DC wires can generate</w:t>
      </w:r>
      <w:r>
        <w:rPr>
          <w:rFonts w:ascii="Arial" w:cs="Arial" w:eastAsia="Arial" w:hAnsi="Arial"/>
          <w:sz w:val="14"/>
          <w:szCs w:val="14"/>
          <w:i w:val="1"/>
          <w:iCs w:val="1"/>
          <w:color w:val="auto"/>
        </w:rPr>
        <w:t xml:space="preserve"> </w:t>
      </w:r>
      <w:r>
        <w:rPr>
          <w:rFonts w:ascii="Arial" w:cs="Arial" w:eastAsia="Arial" w:hAnsi="Arial"/>
          <w:sz w:val="14"/>
          <w:szCs w:val="14"/>
          <w:color w:val="auto"/>
        </w:rPr>
        <w:t>sustained electrical arcs, reaching temperatures of more than 5,000 °F. This creates the risk of fire for solar PV installation owners and injury for installers and maintenance personnel.</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These challenges of traditional central inverters have a direct impact on the cost and expected return on investment of solar installations to both installers and system owners:</w:t>
      </w:r>
    </w:p>
    <w:p>
      <w:pPr>
        <w:spacing w:after="0" w:line="94" w:lineRule="exact"/>
        <w:rPr>
          <w:sz w:val="20"/>
          <w:szCs w:val="20"/>
          <w:color w:val="auto"/>
        </w:rPr>
      </w:pPr>
    </w:p>
    <w:p>
      <w:pPr>
        <w:jc w:val="both"/>
        <w:ind w:left="640" w:hanging="253"/>
        <w:spacing w:after="0" w:line="267"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Installer</w:t>
      </w:r>
      <w:r>
        <w:rPr>
          <w:rFonts w:ascii="Arial" w:cs="Arial" w:eastAsia="Arial" w:hAnsi="Arial"/>
          <w:sz w:val="14"/>
          <w:szCs w:val="14"/>
          <w:color w:val="auto"/>
        </w:rPr>
        <w:t>. Solar PV installers aim for simple installation design, fast installation times and maximum system performance and predictability. The installation of high-voltage</w:t>
      </w:r>
      <w:r>
        <w:rPr>
          <w:rFonts w:ascii="Arial" w:cs="Arial" w:eastAsia="Arial" w:hAnsi="Arial"/>
          <w:sz w:val="14"/>
          <w:szCs w:val="14"/>
          <w:i w:val="1"/>
          <w:iCs w:val="1"/>
          <w:color w:val="auto"/>
        </w:rPr>
        <w:t xml:space="preserve"> </w:t>
      </w:r>
      <w:r>
        <w:rPr>
          <w:rFonts w:ascii="Arial" w:cs="Arial" w:eastAsia="Arial" w:hAnsi="Arial"/>
          <w:sz w:val="14"/>
          <w:szCs w:val="14"/>
          <w:color w:val="auto"/>
        </w:rPr>
        <w:t>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47" w:lineRule="exact"/>
        <w:rPr>
          <w:rFonts w:ascii="Arial" w:cs="Arial" w:eastAsia="Arial" w:hAnsi="Arial"/>
          <w:sz w:val="14"/>
          <w:szCs w:val="14"/>
          <w:color w:val="auto"/>
        </w:rPr>
      </w:pPr>
    </w:p>
    <w:p>
      <w:pPr>
        <w:jc w:val="both"/>
        <w:ind w:left="640" w:hanging="253"/>
        <w:spacing w:after="0" w:line="263"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System owner</w:t>
      </w:r>
      <w:r>
        <w:rPr>
          <w:rFonts w:ascii="Arial" w:cs="Arial" w:eastAsia="Arial" w:hAnsi="Arial"/>
          <w:sz w:val="14"/>
          <w:szCs w:val="14"/>
          <w:color w:val="auto"/>
        </w:rPr>
        <w:t>. Solar power system owners aim for high energy production, low cost, high reliability, and low maintenance requirements, as well as reduced fire risks. With</w:t>
      </w:r>
      <w:r>
        <w:rPr>
          <w:rFonts w:ascii="Arial" w:cs="Arial" w:eastAsia="Arial" w:hAnsi="Arial"/>
          <w:sz w:val="14"/>
          <w:szCs w:val="14"/>
          <w:i w:val="1"/>
          <w:iCs w:val="1"/>
          <w:color w:val="auto"/>
        </w:rPr>
        <w:t xml:space="preserve"> </w:t>
      </w:r>
      <w:r>
        <w:rPr>
          <w:rFonts w:ascii="Arial" w:cs="Arial" w:eastAsia="Arial" w:hAnsi="Arial"/>
          <w:sz w:val="14"/>
          <w:szCs w:val="14"/>
          <w:color w:val="auto"/>
        </w:rPr>
        <w:t>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52" w:lineRule="exact"/>
        <w:rPr>
          <w:sz w:val="20"/>
          <w:szCs w:val="20"/>
          <w:color w:val="auto"/>
        </w:rPr>
      </w:pPr>
    </w:p>
    <w:p>
      <w:pPr>
        <w:ind w:right="1280" w:firstLine="382"/>
        <w:spacing w:after="0" w:line="411" w:lineRule="auto"/>
        <w:rPr>
          <w:sz w:val="20"/>
          <w:szCs w:val="20"/>
          <w:color w:val="auto"/>
        </w:rPr>
      </w:pPr>
      <w:r>
        <w:rPr>
          <w:rFonts w:ascii="Arial" w:cs="Arial" w:eastAsia="Arial" w:hAnsi="Arial"/>
          <w:sz w:val="14"/>
          <w:szCs w:val="14"/>
          <w:color w:val="auto"/>
        </w:rPr>
        <w:t xml:space="preserve">The solar industry is transitioning from solar only systems to complete energy management solutions, which consist of solar-plus storage and load control. </w:t>
      </w:r>
      <w:r>
        <w:rPr>
          <w:rFonts w:ascii="Arial" w:cs="Arial" w:eastAsia="Arial" w:hAnsi="Arial"/>
          <w:sz w:val="14"/>
          <w:szCs w:val="14"/>
          <w:b w:val="1"/>
          <w:bCs w:val="1"/>
          <w:color w:val="auto"/>
        </w:rPr>
        <w:t>Our Products</w:t>
      </w:r>
    </w:p>
    <w:p>
      <w:pPr>
        <w:jc w:val="both"/>
        <w:ind w:firstLine="382"/>
        <w:spacing w:after="0" w:line="259" w:lineRule="auto"/>
        <w:rPr>
          <w:sz w:val="20"/>
          <w:szCs w:val="20"/>
          <w:color w:val="auto"/>
        </w:rPr>
      </w:pPr>
      <w:r>
        <w:rPr>
          <w:rFonts w:ascii="Arial" w:cs="Arial" w:eastAsia="Arial" w:hAnsi="Arial"/>
          <w:sz w:val="14"/>
          <w:szCs w:val="14"/>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central inverter system using string modules, with or without an optimizer, approach that only converts energy of the entire array of solar modules from a single high voltage electrical unit and lacks intelligence about the energy producing capacity of the solar array. The Enphase Home Energy Solution with IQ™ platform, which is our current generation integrated solar, storage and energy management offering,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5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The Enphase Home Energy Solution with IQ™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Home Energy Solution with IQ uses a single technology platform for seamless management of the whole solution, enabling rapid commissioning with the Installer Toolkit™; consumption monitoring with our Envoy™ Communications Gateway with IQ Combiner+, Enphase Enlighten, a cloud-based energy management platform, and our Enphase AC Battery™. System owners can use Enphase Enlighten to monitor their home’s solar generation, energy storage and consumption from any web-enabled device. Unlike some of our competitors, who utilize a traditional inverter, or offer separate components of solutions, we have built-in system redundancy in both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Enphase IQ 7™ microinverter and Enphase IQ 7+™ microinverter, part of our seventh-generation IQ product family, support high-powered 60-cell and 72-cell solar modules and integrate with alternating current (“AC”) modules. Our IQ 7X™ microinverter addresses 96-cell photovoltaic (“PV”) modules up to 400W direct DC and with its 97.5% California Energy Commission (“CEC”) efficiency rating, is ideal for integration into high power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 w:name="page9"/>
    <w:bookmarkEnd w:id="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During 2020, we started shipping our IQ 7A™ for high-power monofacial and bifacial solar modules to customers in Australia and Europe. Our IQ 7A microinverters, which began shipping to customers in North America in November 2019, support up to 450W high-power modules, targeting high-power residential and commercial applications. Our customers will be able to pair the IQ 7A microinverter with monofacial or bifacial solar modules, up to 450 W, from solar module manufacturers who are expected to introduce high-power variants of their products in the next three years.</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AC Module (“ACM”) products are integrated systems which allow installers to be more competitive through improved logistics, reduced installation times, faster inspection and training. We continued to make steady progress during the fourth quarter of 2020 with our ACM partners, including SunPower Corporation, Panasonic Corporation of North America, LONGi Solar, Solaria Corporation, Hanwha Q CELLS, and Maxeon Solar Technologies, Sonnenstromfabrik (CS Wismar GmBH), and DMEGC Solar.</w:t>
      </w:r>
    </w:p>
    <w:p>
      <w:pPr>
        <w:spacing w:after="0" w:line="4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During 2020, we introduced to customers in North America our Enphase storage system, featuring our Ensemble™ management technology, which powers the world’s first grid-independent microinverter-based storage system. Our next-generation battery in North America is Enphase Encharge 10™ or Encharge 3™ storage systems, with usable and scalable capacity of 10.1 kWh and 3.4 kWh, respectively. Enphase Encharge™ storage systems feature Enphase embedded grid-forming microinverters that enable the Always-On capability that keeps homes powered when the grid goes down, and the ability to save money when the grid is up. These systems are compatible with both new and existing Enphase IQ solar systems with IQ 6™, IQ 7™, M215 and M250 microinverters and provide a simple upgrade path for our existing solar customers. We started production shipments of Enphase Encharge storage systems to customers in North America during the second quarter of 2020.</w:t>
      </w:r>
    </w:p>
    <w:p>
      <w:pPr>
        <w:spacing w:after="0" w:line="5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expect further revisions of our storage products with Ensemble technology to be released in 2021, with a focus on the grid-agnostic IQ 8 PV microinverter for residential installations. Our next-generation IQ 8™ system is based upon our Always On Enphase Ensemble™ energy management technology. This system has five components: 1) energy generation, which is accomplished with the grid-agnostic microinverter IQ 8; 2) energy storage, which is achieved by the Encharge™ battery with capacities of 10.1 kWh and 3.4 kWh; 3) Enpower™ smart switch, which includes a microgrid interconnect device (“MID”); 4) communication and control via the combiner box with the Envoy gateway; and 5) Enlighten, which is the internet of things (“IoT”), cloud software.</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advantage of IQ 8s on the roof will be that these grid-forming microinverters produce power from panels even during blackouts, as long as the sun is still shining. It addresses a major drawback of traditional solar installations without the need for storage and is differentiated in that respect.</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expect to introduce both Enphase IQ 8D™ for commercial solar purposes and Ensemble-in-a Box, an off-grid solar and storage system.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objective is to be the leading provider of energy management solutions worldwide. Key elements of our strategy include:</w:t>
      </w:r>
    </w:p>
    <w:p>
      <w:pPr>
        <w:spacing w:after="0" w:line="94" w:lineRule="exact"/>
        <w:rPr>
          <w:sz w:val="20"/>
          <w:szCs w:val="20"/>
          <w:color w:val="auto"/>
        </w:rPr>
      </w:pPr>
    </w:p>
    <w:p>
      <w:pPr>
        <w:jc w:val="both"/>
        <w:ind w:left="640" w:hanging="253"/>
        <w:spacing w:after="0" w:line="267" w:lineRule="auto"/>
        <w:tabs>
          <w:tab w:leader="none" w:pos="63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Best-in-class customer experience. </w:t>
      </w:r>
      <w:r>
        <w:rPr>
          <w:rFonts w:ascii="Arial" w:cs="Arial" w:eastAsia="Arial" w:hAnsi="Arial"/>
          <w:sz w:val="14"/>
          <w:szCs w:val="14"/>
          <w:color w:val="auto"/>
        </w:rPr>
        <w:t>Our value proposition is to deliver products that are productive, reliable, smart, simple and safe, and superior customer service, to</w:t>
      </w:r>
      <w:r>
        <w:rPr>
          <w:rFonts w:ascii="Arial" w:cs="Arial" w:eastAsia="Arial" w:hAnsi="Arial"/>
          <w:sz w:val="14"/>
          <w:szCs w:val="14"/>
          <w:i w:val="1"/>
          <w:iCs w:val="1"/>
          <w:color w:val="auto"/>
        </w:rPr>
        <w:t xml:space="preserve"> </w:t>
      </w:r>
      <w:r>
        <w:rPr>
          <w:rFonts w:ascii="Arial" w:cs="Arial" w:eastAsia="Arial" w:hAnsi="Arial"/>
          <w:sz w:val="14"/>
          <w:szCs w:val="14"/>
          <w:color w:val="auto"/>
        </w:rPr>
        <w:t>enable homeowners’ storage and energy independence. On the service front, our installer, distributor and module partners are our first line of association with our ultimate customer, the homeowner and business user. Our goals are to partner better with these service providers so that we can provide exceptional high quality service to our homeowner. We are convinced that continued reinforcement of customer experience improvements can be a competitive advantage for us.</w:t>
      </w:r>
    </w:p>
    <w:p>
      <w:pPr>
        <w:spacing w:after="0" w:line="47" w:lineRule="exact"/>
        <w:rPr>
          <w:rFonts w:ascii="Arial" w:cs="Arial" w:eastAsia="Arial" w:hAnsi="Arial"/>
          <w:sz w:val="14"/>
          <w:szCs w:val="14"/>
          <w:color w:val="auto"/>
        </w:rPr>
      </w:pPr>
    </w:p>
    <w:p>
      <w:pPr>
        <w:jc w:val="both"/>
        <w:ind w:left="640" w:hanging="253"/>
        <w:spacing w:after="0" w:line="274" w:lineRule="auto"/>
        <w:tabs>
          <w:tab w:leader="none" w:pos="63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Grow market share worldwide. </w:t>
      </w:r>
      <w:r>
        <w:rPr>
          <w:rFonts w:ascii="Arial" w:cs="Arial" w:eastAsia="Arial" w:hAnsi="Arial"/>
          <w:sz w:val="14"/>
          <w:szCs w:val="14"/>
          <w:color w:val="auto"/>
        </w:rPr>
        <w:t>We intend to capitalize on our market leadership in the microinverter category and our momentum with installers and owners to expand our</w:t>
      </w:r>
      <w:r>
        <w:rPr>
          <w:rFonts w:ascii="Arial" w:cs="Arial" w:eastAsia="Arial" w:hAnsi="Arial"/>
          <w:sz w:val="14"/>
          <w:szCs w:val="14"/>
          <w:i w:val="1"/>
          <w:iCs w:val="1"/>
          <w:color w:val="auto"/>
        </w:rPr>
        <w:t xml:space="preserve"> </w:t>
      </w:r>
      <w:r>
        <w:rPr>
          <w:rFonts w:ascii="Arial" w:cs="Arial" w:eastAsia="Arial" w:hAnsi="Arial"/>
          <w:sz w:val="14"/>
          <w:szCs w:val="14"/>
          <w:color w:val="auto"/>
        </w:rPr>
        <w:t>market share position in our core markets. In addition, we intend to further increase our market share in Europe, Asia Pacific and Latin America regions. Further, we intend to expand into new markets, including emerging markets, with new and existing products and local go-to-market capabilities.</w:t>
      </w:r>
    </w:p>
    <w:p>
      <w:pPr>
        <w:spacing w:after="0" w:line="42" w:lineRule="exact"/>
        <w:rPr>
          <w:rFonts w:ascii="Arial" w:cs="Arial" w:eastAsia="Arial" w:hAnsi="Arial"/>
          <w:sz w:val="14"/>
          <w:szCs w:val="14"/>
          <w:color w:val="auto"/>
        </w:rPr>
      </w:pPr>
    </w:p>
    <w:p>
      <w:pPr>
        <w:jc w:val="both"/>
        <w:ind w:left="640" w:hanging="253"/>
        <w:spacing w:after="0" w:line="274" w:lineRule="auto"/>
        <w:tabs>
          <w:tab w:leader="none" w:pos="63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Expand our product offerings. </w:t>
      </w:r>
      <w:r>
        <w:rPr>
          <w:rFonts w:ascii="Arial" w:cs="Arial" w:eastAsia="Arial" w:hAnsi="Arial"/>
          <w:sz w:val="14"/>
          <w:szCs w:val="14"/>
          <w:color w:val="auto"/>
        </w:rPr>
        <w:t>We continue to invest in research and development to develop all components of our energy management solution and remain committed</w:t>
      </w:r>
      <w:r>
        <w:rPr>
          <w:rFonts w:ascii="Arial" w:cs="Arial" w:eastAsia="Arial" w:hAnsi="Arial"/>
          <w:sz w:val="14"/>
          <w:szCs w:val="14"/>
          <w:i w:val="1"/>
          <w:iCs w:val="1"/>
          <w:color w:val="auto"/>
        </w:rPr>
        <w:t xml:space="preserve"> </w:t>
      </w:r>
      <w:r>
        <w:rPr>
          <w:rFonts w:ascii="Arial" w:cs="Arial" w:eastAsia="Arial" w:hAnsi="Arial"/>
          <w:sz w:val="14"/>
          <w:szCs w:val="14"/>
          <w:color w:val="auto"/>
        </w:rPr>
        <w:t>to providing our customers and partners with best-in-class power electronics, storage solutions, communications, and load control all managed by a cloud-based energy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 w:name="page10"/>
    <w:bookmarkEnd w:id="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40" w:hanging="253"/>
        <w:spacing w:after="0" w:line="274" w:lineRule="auto"/>
        <w:tabs>
          <w:tab w:leader="none" w:pos="63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Increase power and efficiency and reduce cost per watt. </w:t>
      </w:r>
      <w:r>
        <w:rPr>
          <w:rFonts w:ascii="Arial" w:cs="Arial" w:eastAsia="Arial" w:hAnsi="Arial"/>
          <w:sz w:val="14"/>
          <w:szCs w:val="14"/>
          <w:color w:val="auto"/>
        </w:rPr>
        <w:t>Our engineering team is focused on continuing to increase average power conversion efficiency above 97% and</w:t>
      </w:r>
      <w:r>
        <w:rPr>
          <w:rFonts w:ascii="Arial" w:cs="Arial" w:eastAsia="Arial" w:hAnsi="Arial"/>
          <w:sz w:val="14"/>
          <w:szCs w:val="14"/>
          <w:i w:val="1"/>
          <w:iCs w:val="1"/>
          <w:color w:val="auto"/>
        </w:rPr>
        <w:t xml:space="preserve"> </w:t>
      </w:r>
      <w:r>
        <w:rPr>
          <w:rFonts w:ascii="Arial" w:cs="Arial" w:eastAsia="Arial" w:hAnsi="Arial"/>
          <w:sz w:val="14"/>
          <w:szCs w:val="14"/>
          <w:color w:val="auto"/>
        </w:rPr>
        <w:t>AC output power beyond 350 watts in order to pair with DC modules rated over 400 watts. We intend to continue to leverage our semiconductor integration, power electronics expertise and manufacturing economies of scale to further reduce cost per watt.</w:t>
      </w:r>
    </w:p>
    <w:p>
      <w:pPr>
        <w:spacing w:after="0" w:line="42"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Extend our technological innovation. </w:t>
      </w:r>
      <w:r>
        <w:rPr>
          <w:rFonts w:ascii="Arial" w:cs="Arial" w:eastAsia="Arial" w:hAnsi="Arial"/>
          <w:sz w:val="14"/>
          <w:szCs w:val="14"/>
          <w:color w:val="auto"/>
        </w:rPr>
        <w:t>We distinguish ourselves from other inverter companies with our systems-based and high technology approach, and the ability to</w:t>
      </w:r>
      <w:r>
        <w:rPr>
          <w:rFonts w:ascii="Arial" w:cs="Arial" w:eastAsia="Arial" w:hAnsi="Arial"/>
          <w:sz w:val="14"/>
          <w:szCs w:val="14"/>
          <w:i w:val="1"/>
          <w:iCs w:val="1"/>
          <w:color w:val="auto"/>
        </w:rPr>
        <w:t xml:space="preserve"> </w:t>
      </w:r>
      <w:r>
        <w:rPr>
          <w:rFonts w:ascii="Arial" w:cs="Arial" w:eastAsia="Arial" w:hAnsi="Arial"/>
          <w:sz w:val="14"/>
          <w:szCs w:val="14"/>
          <w:color w:val="auto"/>
        </w:rPr>
        <w:t>leverage strong research and development capabilities.</w:t>
      </w:r>
    </w:p>
    <w:p>
      <w:pPr>
        <w:spacing w:after="0" w:line="27" w:lineRule="exact"/>
        <w:rPr>
          <w:rFonts w:ascii="Arial" w:cs="Arial" w:eastAsia="Arial" w:hAnsi="Arial"/>
          <w:sz w:val="14"/>
          <w:szCs w:val="14"/>
          <w:color w:val="auto"/>
        </w:rPr>
      </w:pPr>
    </w:p>
    <w:p>
      <w:pPr>
        <w:jc w:val="both"/>
        <w:ind w:left="640" w:hanging="253"/>
        <w:spacing w:after="0" w:line="274" w:lineRule="auto"/>
        <w:tabs>
          <w:tab w:leader="none" w:pos="63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Focus on the homeowner and installer partners. </w:t>
      </w:r>
      <w:r>
        <w:rPr>
          <w:rFonts w:ascii="Arial" w:cs="Arial" w:eastAsia="Arial" w:hAnsi="Arial"/>
          <w:sz w:val="14"/>
          <w:szCs w:val="14"/>
          <w:color w:val="auto"/>
        </w:rPr>
        <w:t>We are focused on generating revenue through digitalization of the business-to-business and business-to-customer</w:t>
      </w:r>
      <w:r>
        <w:rPr>
          <w:rFonts w:ascii="Arial" w:cs="Arial" w:eastAsia="Arial" w:hAnsi="Arial"/>
          <w:sz w:val="14"/>
          <w:szCs w:val="14"/>
          <w:i w:val="1"/>
          <w:iCs w:val="1"/>
          <w:color w:val="auto"/>
        </w:rPr>
        <w:t xml:space="preserve"> </w:t>
      </w:r>
      <w:r>
        <w:rPr>
          <w:rFonts w:ascii="Arial" w:cs="Arial" w:eastAsia="Arial" w:hAnsi="Arial"/>
          <w:sz w:val="14"/>
          <w:szCs w:val="14"/>
          <w:color w:val="auto"/>
        </w:rPr>
        <w:t>process of the partner and customer journey. Future key focus is to expand our digital presence through enhancing our array of tools on our digital platforms to keep us continually connected with our installers and homeowners, as well as increasing the use of the online store significantly.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 and Sales</w:t>
      </w:r>
    </w:p>
    <w:p>
      <w:pPr>
        <w:spacing w:after="0" w:line="96"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We currently offer solutions targeting the residential and commercial markets in the U.S., Canada, Mexico, Central American markets, Europe, Australia, New Zealand, India and certain other Asian markets. We sell our solutions primarily to solar distributors who resell to installers and integrators, who in turn integrate our products into complete solar PV installations for residential and commercial system owners. We work with many of the leading solar and electrical distributors. In addition to our distributors, we sell directly to large installers, original equipment manufacturers (“OEM”), strategic partners and homeowners. Our OEM customers include solar module manufacturers who bundle our products and solutions with their solar module products and resell to both distributors and installers. We also sell certain products and services directly to the homeowners and the do-it-yourself market through our legacy product upgrade program or our online store. Strategic partners include a variety of companies including industrial equipment suppliers and providers of solar financing solutions. In 2020, one customer accounted for approximately 29% of total net revenues. The revenues generated from the U.S. market have represented 82%, 84% and 69% of our total revenue for annual period ending on December 31, 2020, 2019 and 2018,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Quality Control and Key Suppliers</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outsource the manufacturing of our products to manufacturing partners. Flex Ltd. and affiliates (“Flex”) and Salcomp Manufacturing India Pvt. Ltd. (“Salcomp”) assemble and test our microinverter, AC Battery storage systems and Envoy products. Prices for such services are agreed to by the parties on a quarterly basis, and we are obligated to purchase manufactured products and raw materials that cannot be resold upon the termination of the agreement. Flex also provides receiving, kitting, storage, transportation, inventory visibility and other value-added logistics services at locations managed by Flex. Hong Kong Sinbon Industrial Limited manufactures our custom AC cables. During the fourth quarter of 2020, we qualified Amperex Technology Limited (“ATL”) in addition to A123 Systems LLC (“A123”) as our lithium-ion batteries suppliers to help increase our available capacity. In addition, we rely on several unaffiliated companies to supply certain components used in the fabrication of our products.</w:t>
      </w:r>
    </w:p>
    <w:p>
      <w:pPr>
        <w:spacing w:after="0" w:line="53" w:lineRule="exact"/>
        <w:rPr>
          <w:sz w:val="20"/>
          <w:szCs w:val="20"/>
          <w:color w:val="auto"/>
        </w:rPr>
      </w:pPr>
    </w:p>
    <w:p>
      <w:pPr>
        <w:jc w:val="both"/>
        <w:ind w:firstLine="382"/>
        <w:spacing w:after="0" w:line="244" w:lineRule="auto"/>
        <w:rPr>
          <w:sz w:val="20"/>
          <w:szCs w:val="20"/>
          <w:color w:val="auto"/>
        </w:rPr>
      </w:pPr>
      <w:r>
        <w:rPr>
          <w:rFonts w:ascii="Arial" w:cs="Arial" w:eastAsia="Arial" w:hAnsi="Arial"/>
          <w:sz w:val="14"/>
          <w:szCs w:val="14"/>
          <w:color w:val="auto"/>
        </w:rPr>
        <w:t>Our partnership with Flex and Salcomp provides us with strategic manufacturing capabilities and flexibility. In the beginning of the second quarter of 2019, we announced the first shipment of seventh-generation Enphase IQ</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microinverters produced in Mexico as part of our expanded manufacturing agreement with Flex. In addition, we began microinverter production at Salcomp in India and started shipping to customers in the fourth quarter of 2020. We anticipate that this additional manufacturing capacity in Mexico and India could help us to not only mitigate tariffs, but also better serve our customers by cutting down delivery times and diversifying our supply chain.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 Service</w:t>
      </w:r>
    </w:p>
    <w:p>
      <w:pPr>
        <w:spacing w:after="0" w:line="9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continue to cultivate an organizational focus on customer satisfaction and are committed to providing a best-in-class customer experience. We maintain high levels of customer engagement through our customer support group and the Enlighten cloud-based software portal. During 2020, we introduced the Enphase Community to help installers and homeowners solve their problems quickly. We launched Service-on-the-Go™ in Australia, which installers can use from their mobile devices to get service instantly. Our Net Promoter Score (commonly referred to as “NPS”) improved from 52% in 2019 to 65% in 2020 through multiple customer service initiatives. In 2020, the service organization achieved average wait time of under 3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 w:name="page11"/>
    <w:bookmarkEnd w:id="1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devote substantial resources to research and development with the objective of developing new products and systems, adding new features to existing products and systems and reducing unit costs. Our research and development roadmap identifies new system-level features and defines improvement targets for product cost and performance to support our growth and to optimize the effectiveness of our energy management solutions for our customers. We measure the effectiveness of our research and development against metrics that include product cost, efficiency, reliability and power output, as well as feature content and ease-of-use.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operate in an industry in which innovation, investment in new ideas and protection of our intellectual property (“IP”), rights are critical for success. We protect our technology through a variety of means, including through patent, trademark, copyright and trade secrets laws in the U.S. and similar laws in other countries, confidentiality agreements and other contractual arrangements. As of December 31, 2020, we had 234 issued U.S. patents, 80 issued foreign patents, 60 pending U.S. patent applications and 33 pending foreign counterpart patent applications. Our issued patents are scheduled to expire between years 2021 and 2040.</w:t>
      </w:r>
    </w:p>
    <w:p>
      <w:pPr>
        <w:spacing w:after="0" w:line="4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license certain power line communications technology and software for integration into our custom application specific integrated circuits (“ASIC”s), under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third-party manufacturer of electronic components or systems for use in the solar energy market. The license carries a 75-year term, subject to earlier termination upon agreement of the parties, or by us in connection with the insolvency of the licensor.</w:t>
      </w:r>
    </w:p>
    <w:p>
      <w:pPr>
        <w:spacing w:after="0" w:line="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also license digital intellectual property cores, or IP blocks, for integration into and distribution with certain electronic components built into our products, including our ASICs, complex programmable logic devices (“CPLDs”), and field-programmable gate arrays or FPGAs. This is a fully-paid, non-exclusive, non-transferable,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continually assess the need for patent protection for those aspects of our technology, designs and methodologies and processes that we believe provide significant competitive advantages. A majority of our patents relate to DC to AC power conversion and energy storage for alternative energy power systems, as well as power system monitoring, control and management systems.</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With respect to proprietary know-how that is not patentable and processes for which patents are difficult to enforce, we rely on trade secret protection and confidentiality agreements to safeguard our interests. We believe that many elements of our microinverter and storage manufacturing processes involve proprietary know-how, technology or data that are not covered by patents or patent applications, including technical processes, test equipment designs, algorithms and procedures.</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own or have rights to various registered trademarks and service marks in the U.S. and in other countries, including Enphase, Ensemble, Encharge Envoy, Enpower and Enlighten, and rely on both registration of our marks as well as common law protection where available.</w:t>
      </w:r>
    </w:p>
    <w:p>
      <w:pPr>
        <w:spacing w:after="0" w:line="2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require our customers and business partners to enter into confidentiality agreements before we disclose any sensitive aspects of our technology or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 w:name="page12"/>
    <w:bookmarkEnd w:id="1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As part of our overall strategy to protect our intellectual property, we may take legal actions to prevent third parties from infringing upon or misappropriating our intellectual property or from otherwise gaining access to our technology.</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Historically, the majority of our revenues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Although these seasonal factors are common in the solar sector, historical patterns should not be considered a reliable indicator of our future sales activity or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Regulations</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Our business activities are global and are subject to various federal, state, local, and foreign laws, rules and regulations. For example, substantially all of our import operations are subject to complex trade and customs laws, regulations and tax requirements such as sanctions orders or tariffs set by governments through mutual agreements or unilateral actions. In addition, the countries in which our products are manufactured or imported may from time to time impose additional duties, tariffs or other restrictions on our imports or adversely modify existing restrictions. Changes in tax policy or trade regulations, the disallowance of tax deductions on imported merchandise, or the imposition of new tariffs on imported products, could have an adverse effect on our business and results of operations. Compliance with these laws, rules and regulations has not had, and is not expected to have, a material effect on our capital expenditures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and Security Laws</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There are also data privacy and security laws to which we are currently, and/or may in the future, be subject. The U.S., federal government, individual U.S. states, EU member countries and other jurisdictions, including Switzerland, have adopted data protection laws and regulations which impose significant compliance obligations. Moreover, the collection and use of personal health data in the EU is governed by the provisions of the EU General Data Protection Regulation (“GDPR”).</w:t>
      </w:r>
    </w:p>
    <w:p>
      <w:pPr>
        <w:spacing w:after="0" w:line="4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GDPR, which is wide-ranging in scope, imposes several requirements relating to the control over personal data by individuals to whom the personal data relates, the information provided to the individuals, the documentation we must maintain, the security and confidentiality of the personal data, data breach notification and the use of third-party processors in connection with the processing of personal data. The GDPR also imposes strict rules on the transfer of personal data out of the EU, provides an enforcement authority and authorizes the imposition of large penalties for noncompliance, including the potential for significant fines. The GDPR requirements apply not only to third-party transactions, but also to transfers of information between us and our subsidiaries, including employee information. The GDPR has increased our responsibility and potential liability in relation to all types of personal data that we process, including in clinical trials, and we may be required to put in place additional mechanisms to ensure compliance with the GDPR, which could divert management’s attention and increase our cost of doing business. However, despite our ongoing efforts to bring our practices into compliance with the GDPR, we may not be successful either due to various factors within our control or other factors outside our control. It is also possible that local data protection authorities may have different interpretations of the GDPR, leading to potential inconsistencies amongst various EU member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396875</wp:posOffset>
            </wp:positionV>
            <wp:extent cx="69596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 w:name="page13"/>
    <w:bookmarkEnd w:id="1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Additionally, in June 2018, the state of California enacted the California Consumer Privacy Act of 2018 (“CCPA”), which contains requirements similar to GDPR for the handling of personal information of California residents,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companies to provide new disclosures to California consumers (as that word is broadly defined in the CCPA), provide such consumers new ways to opt-out of certain sales of personal information, and allow for a new cause of action for data breaches. It remains unclear how the CCPA will be interpreted, but as currently written, it will likely impact our business activities and exemplifies the vulnerability of our business to not only cyber threats but also the evolving regulatory environment related to personal data. As we expand our operations, the CCPA may increase our compliance costs and potential liability. Some observers have noted that the CCPA could mark the beginning of a trend toward more stringent privacy legislation in the United States. Additionally, other states are beginning to pass similar laws.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Incentives</w:t>
      </w:r>
    </w:p>
    <w:p>
      <w:pPr>
        <w:spacing w:after="0" w:line="96" w:lineRule="exact"/>
        <w:rPr>
          <w:sz w:val="20"/>
          <w:szCs w:val="20"/>
          <w:color w:val="auto"/>
        </w:rPr>
      </w:pPr>
    </w:p>
    <w:p>
      <w:pPr>
        <w:jc w:val="both"/>
        <w:ind w:firstLine="382"/>
        <w:spacing w:after="0" w:line="174" w:lineRule="exact"/>
        <w:rPr>
          <w:sz w:val="20"/>
          <w:szCs w:val="20"/>
          <w:color w:val="auto"/>
        </w:rPr>
      </w:pPr>
      <w:r>
        <w:rPr>
          <w:rFonts w:ascii="Arial" w:cs="Arial" w:eastAsia="Arial" w:hAnsi="Arial"/>
          <w:sz w:val="14"/>
          <w:szCs w:val="14"/>
          <w:color w:val="auto"/>
        </w:rPr>
        <w:t>U.S. federal, state, and local government bodies, as well as non-U.S. government bodies provide incentives to owners, distributors, system integrators and manufacturers of solar energy systems to promote solar energy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on</w:t>
      </w:r>
      <w:r>
        <w:rPr>
          <w:rFonts w:ascii="MS PGothic" w:cs="MS PGothic" w:eastAsia="MS PGothic" w:hAnsi="MS PGothic"/>
          <w:sz w:val="14"/>
          <w:szCs w:val="14"/>
          <w:color w:val="auto"/>
        </w:rPr>
        <w:t>‑</w:t>
      </w:r>
      <w:r>
        <w:rPr>
          <w:rFonts w:ascii="Arial" w:cs="Arial" w:eastAsia="Arial" w:hAnsi="Arial"/>
          <w:sz w:val="14"/>
          <w:szCs w:val="14"/>
          <w:color w:val="auto"/>
        </w:rPr>
        <w:t>grid applications, where solar power is used to supplement a customer’s electricity purchased from the utility network or sold to a utility under tariff, often depends in large part on the availability and size of these government subsidies and economic incentives, which vary by geographic market and from time to time, thus helping to catalyze customer acceptance of solar energy as an alternative to utility-provided power.</w:t>
      </w:r>
    </w:p>
    <w:p>
      <w:pPr>
        <w:spacing w:after="0" w:line="65"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Our revenue in the fourth quarter of 2019 and first quarter of 2020 was positively impacted by the scheduled phase-down of the investment tax credit for solar projects under Section 48(a) (the “ITC”) of the Internal Revenue Code of 1986, as amended (the “Code”). The Renewable Energy and Job Creation Act of 2008 provided a 30% federal tax credit for residential and commercial solar installations through December 31, 2019, which was reduced to a tax credit of 26% for any solar energy system that began construction during 2020 through December 31, 2022, and 22% thereafter to December 31, 2023 before being reduced to 10% for commercial installations and 0% for residential installations beginning on January 1, 2024.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6" w:lineRule="exact"/>
        <w:rPr>
          <w:sz w:val="20"/>
          <w:szCs w:val="20"/>
          <w:color w:val="auto"/>
        </w:rPr>
      </w:pPr>
    </w:p>
    <w:p>
      <w:pPr>
        <w:ind w:right="20" w:firstLine="382"/>
        <w:spacing w:after="0" w:line="296" w:lineRule="auto"/>
        <w:rPr>
          <w:sz w:val="20"/>
          <w:szCs w:val="20"/>
          <w:color w:val="auto"/>
        </w:rPr>
      </w:pPr>
      <w:r>
        <w:rPr>
          <w:rFonts w:ascii="Arial" w:cs="Arial" w:eastAsia="Arial" w:hAnsi="Arial"/>
          <w:sz w:val="14"/>
          <w:szCs w:val="14"/>
          <w:color w:val="auto"/>
        </w:rPr>
        <w:t>The markets for our products are highly competitive, and we compete with central and string inverter manufacturers, storage system manufacturers and new technologies that compete with our business. The principal areas in which we compete with other companies include:</w:t>
      </w:r>
    </w:p>
    <w:p>
      <w:pPr>
        <w:spacing w:after="0" w:line="27" w:lineRule="exact"/>
        <w:rPr>
          <w:sz w:val="20"/>
          <w:szCs w:val="20"/>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 performance and features;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cost of ownership;</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breadth of product line;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local sales and distribution capabilities;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module compatibility and interoperability;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reliability and duration of product warranty;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technological expertise;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brand recognition;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customer service and support;</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industry standards and certifications;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current and planned local electrical codes;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 w:name="page14"/>
    <w:bookmarkEnd w:id="1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integration with storage offerings;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size and financial stability of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size of installed base;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local manufacturing and product content.</w:t>
      </w:r>
    </w:p>
    <w:p>
      <w:pPr>
        <w:spacing w:after="0" w:line="94"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w:t>
      </w:r>
    </w:p>
    <w:p>
      <w:pPr>
        <w:spacing w:after="0" w:line="4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Competitors in the inverter market include, among others, SolarEdge Technologies, Inc., Fronius International GmbH, SMA Solar Technology AG, AP Systems, Generac, Tesla, Inc., Huawei Technologies Co. Ltd., Delta, Ginglong, Sungrow, Solax and other companies offering string inverters with and without solar optimizers. We believe that our microinverter solutions offer significant advantages and competitive differentiation relative to traditional central or string inverter technology, even when supplemented by DC-to-DC optimizers on the roof. Competitors in the storage market include Tesla, LG Chem, Sonnen, Generac, Panasonic, BYD, E3/DC, Senec, Schneider, Goal Zero, Simpliphi and other producers of battery cells and integrated storage systems.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As of December 31, 2020, we had 850 full-time employees. Of the full-time employees, 369 were engaged in research and development, 302 in sales and marketing, 96 in general and administration and 83 in manufacturing and operations. Of these employees, 321 were in the United States, 352 in India, 82 in New Zealand, 44 in Europe, 16 in Australia, 18 in China,16 in Mexico and 1 in Canada.</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None of our employees are represented by a labor union; however, our employees in France are represented by a collective bargaining agreement. We have not experienced any employment-related work stoppages, and we consider our relations with our employees to be good.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Culture</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Supporting our purpose to “Advance a sustainable future for all,” all employees are expected to uphold the following core values that drive our culture:</w:t>
      </w:r>
    </w:p>
    <w:p>
      <w:pPr>
        <w:spacing w:after="0" w:line="94"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Customer First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Integrity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Innovation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Teamwork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Quality</w:t>
      </w:r>
    </w:p>
    <w:p>
      <w:pPr>
        <w:spacing w:after="0" w:line="94" w:lineRule="exact"/>
        <w:rPr>
          <w:sz w:val="20"/>
          <w:szCs w:val="20"/>
          <w:color w:val="auto"/>
        </w:rPr>
      </w:pPr>
    </w:p>
    <w:p>
      <w:pPr>
        <w:ind w:right="200" w:firstLine="382"/>
        <w:spacing w:after="0" w:line="379" w:lineRule="auto"/>
        <w:rPr>
          <w:sz w:val="20"/>
          <w:szCs w:val="20"/>
          <w:color w:val="auto"/>
        </w:rPr>
      </w:pPr>
      <w:r>
        <w:rPr>
          <w:rFonts w:ascii="Arial" w:cs="Arial" w:eastAsia="Arial" w:hAnsi="Arial"/>
          <w:sz w:val="14"/>
          <w:szCs w:val="14"/>
          <w:color w:val="auto"/>
        </w:rPr>
        <w:t xml:space="preserve">These core values are represented by teamwork, performance and reward system. Values are reinforced in new hire training, culture workshops and everyday interactions. </w:t>
      </w:r>
      <w:r>
        <w:rPr>
          <w:rFonts w:ascii="Arial" w:cs="Arial" w:eastAsia="Arial" w:hAnsi="Arial"/>
          <w:sz w:val="14"/>
          <w:szCs w:val="14"/>
          <w:b w:val="1"/>
          <w:bCs w:val="1"/>
          <w:i w:val="1"/>
          <w:iCs w:val="1"/>
          <w:color w:val="auto"/>
        </w:rPr>
        <w:t>Talent</w:t>
      </w:r>
    </w:p>
    <w:p>
      <w:pPr>
        <w:spacing w:after="0" w:line="1"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Successful execution of our strategy is dependent on attracting, continuous career development and retention of key employees and members of our management team. The skills, experience and industry knowledge of our employees significantly benefit our operations and financial performance. We continuously evaluate, modify, and enhance our internal processes and technologies to increase employee engagement, productivity, and efficiency.</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are committed to promoting and cultivating an inclusive and diverse culture that welcomes and celebrates everyone without bias. In addition, we look to actively engage within our communities to foster and attain social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554990</wp:posOffset>
            </wp:positionV>
            <wp:extent cx="69596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4" w:name="page15"/>
    <w:bookmarkEnd w:id="1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Philosophy</w:t>
      </w:r>
    </w:p>
    <w:p>
      <w:pPr>
        <w:spacing w:after="0" w:line="92"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Our compensation philosophy creates the framework for our rewards strategy. We have a pay-for-performance culture that ties compensation to the performance of the individual and the company. We provide competitive compensation programs that focus on the following five key elements:</w:t>
      </w:r>
    </w:p>
    <w:p>
      <w:pPr>
        <w:spacing w:after="0" w:line="25" w:lineRule="exact"/>
        <w:rPr>
          <w:sz w:val="20"/>
          <w:szCs w:val="20"/>
          <w:color w:val="auto"/>
        </w:rPr>
      </w:pPr>
    </w:p>
    <w:p>
      <w:pPr>
        <w:ind w:left="520" w:hanging="260"/>
        <w:spacing w:after="0" w:line="23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Pay-for-performance: Reward and recognize leading contributors and high potential employees by targeting the 65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market for total direct compensation, which includes base salary, quarterly bonus, and stock-based compensation;</w:t>
      </w:r>
    </w:p>
    <w:p>
      <w:pPr>
        <w:spacing w:after="0" w:line="6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External market-based research: Pay levels that are competitive with respect to the labor markets in which we compete for talent;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Internal equity: Providing for fair pay relationships within our organization;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Fiscal responsibility: Providing affordable programs that are compliant with the local laws;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Legal compliance: Ensure the organization is legally compliant in all states and countries in which we operate.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and Wellness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are committed to providing our employees with competitive and comprehensive benefits packages. Our benefits packages provide a balance of protection along with the flexibility to meet the individual health and wellness needs of our employees.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file electronically with the U.S. Securities and Exchange Commission (“SEC”), our Annual Reports on Form 10-K, Quarterly Reports on Form 10-Q, Current Reports on Form 8-K, and amendments to those reports filed pursuant to Section 13(a) or 15(d) of the Securities Exchange Act of 1934, as amended (“Exchange Act”) can be accessed on our Investor Relations website at www.investor.enphase.com. Alternatively, you may access these reports at the SEC’s website at www.sec.gov. We make available, free of charge, copies of these reports as soon as reasonably practicable after filing these reports with the SEC or otherwise furnishing it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9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 See also “Forward-Looking Statements” in the forepart of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Operations and Our Industry</w:t>
      </w:r>
    </w:p>
    <w:p>
      <w:pPr>
        <w:spacing w:after="0" w:line="14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demand for solar energy solutions does not grow or grows at a slower rate than we anticipate, including as a result of the ongoing COVID-19 pandemic, our business will suffer.</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Our microinverter and AC Battery storage systems are utilized in solar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PV systems as an alternative energy source at levels sufficient to continue to grow our business. Traditional electricity distribution is based on the regulated industry model under which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341630</wp:posOffset>
            </wp:positionV>
            <wp:extent cx="69596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5" w:name="page16"/>
    <w:bookmarkEnd w:id="1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market acceptance of solar PV systems based on our product platform;</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 competitiveness, reliability and performance of solar PV systems compared to conventional and non-solar renewable energy sources and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availability and amount of government subsidies and incentives to support the development and deployment of solar energy solutions;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extent to which the electric power industry and broader energy industries are deregulated to permit broader adoption of solar electricity generation;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and availability of key raw materials and components used in the production of solar PV systems;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prices of traditional utility-provided energy sources;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levels of investment by end-users of solar energy products, which tend to decrease when economic growth slows;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emergence, continuance or success of, or increased government support for, other alternative energy generation technologies and products.</w:t>
      </w:r>
    </w:p>
    <w:p>
      <w:pPr>
        <w:spacing w:after="0" w:line="94"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4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Further, our success depends on continued demand for solar energy solutions and the ability of solar equipment vendors to meet this demand. As a result of the ongoing COVID-19 pandemic, the demand for solar energy solutions decreased in the second and third quarters of 2020 compared to the same quarters of the prior year. The demand for solar energy solutions may continue to decrease, or at least not continue its growth relative to pre-pandemic periods and recent years, as a result of government orders associated with the COVID-19 pandemic, due to adverse worldwide economic and market conditions, or other factors. If demand for solar energy solutions decreases or does not grow, demand for our customers’ products as well as demand for our products will decrease, which would have an adverse impact on our ability to increase our revenue and grow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rapidly changing solar industry makes it difficult to evaluate our current business and future prospects.</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solar energy industry is one of the fastest growing forms of renewable energy and is undergoing and subject to rapid change. The solar energy industry will take several more years to develop and further mature, which makes it difficult to evaluate our current business, and we cannot be certain that the market will grow to the size or at the rate we expect.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6" w:name="page17"/>
    <w:bookmarkEnd w:id="1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depend on sole-source and limited-source suppliers for key components and products. If we are unable to source these components and products on a timely basis, we will not be able to deliver our products to our customers.</w:t>
      </w:r>
    </w:p>
    <w:p>
      <w:pPr>
        <w:spacing w:after="0" w:line="1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We depend on sole-source and limited-source suppliers for key components of our products, such as our ASICs and lithium-ion batteries. Any of the sole -source and limited-source suppliers upon whom we rely could experience quality and reliability issues,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Our business has been affected by, is currently being adversely affected and could be materially and adversely affected in the future by the current impacts and evolving effects of the ongoing COVID-19 pandemic. The COVID-19 pandemic may continue to, and other actual or threatened epidemics, pandemics, outbreaks, or public health crises may in the future, adversely affect our and our customers’ results of operations and financial condition, our supply chain and our business.</w:t>
      </w:r>
    </w:p>
    <w:p>
      <w:pPr>
        <w:spacing w:after="0" w:line="31"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business has been affected by, is currently being adversely affected and could be materially and adversely affected in the future by the evolving effects of the ongoing COVID-19 pandemic. The ongoing COVID-19 pandemic also continues to have worldwide impact resulting in a global slowdown of economic activity which has decreased demand for a broad variety of goods and services, including from our customers, while also disrupting sales channels and marketing activities. As a result, the ongoing COVID-19 pandemic has had a negative impact on our sales and our results of operations. We are closely evaluating the impacts of the evolving effects of the COVID-19 pandemic on our ability, and the ability of our third-party partners to effectively market, maintain supply, sell and distribute our products. Further, even though vaccine programs have recently been initiated, there is no current indication whether these vaccine programs will be effective. We are currently unable to predict how long the COVID-19 pandemic will continue, whether vaccinations or other actions will contain the pandemic, and the extent and duration of the pandemic’s continued impact on our current or future performance.</w:t>
      </w:r>
    </w:p>
    <w:p>
      <w:pPr>
        <w:spacing w:after="0" w:line="5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Among other impacts, the COVID-19 pandemic and associated governmental orders, including the various “shelter-in-place” orders, slowed the demand for our products, and we expect the pandemic will continue to reduce demand for our products and impede or cause temporary and long-term disruptions in solar installations, our supply chains and/or delays in the delivery of our products. The most significant near-term impacts of COVID-19 on our financial performance have been a decline in sales orders as future residential and commercial system owners are canceling sales meetings with system installation professionals or postponing system installations. As the purchase of new solar energy management solutions declines as part of the impact of the COVID-19 pandemic on consumer spending, many businesses through which we distribute our products are working at limited operational capacity.</w:t>
      </w:r>
    </w:p>
    <w:p>
      <w:pPr>
        <w:spacing w:after="0" w:line="5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Moreover, the COVID-19 pandemic and associated governmental orders could require or cause employees to continue to “shelter-in-place” for longer periods of time, which could adversely affect our ability to adequately staff and manage our businesses. While our field-based personnel are engaging in limited in-person interactions, they are primarily using electronic communication, such as emails, phone calls and video conferences. We expect the different quality of electronic interactions as compared with in-person interactions, as well as the reduced quantity of interactions during the COVID-19 pandemic, to reduce the effectiveness of our sales personnel, as well as those of our partners, which have and could negatively affect our sales and future revenue. Further, such risks could also adversely affect our customers' financial condition, resulting in reduced spending for our solar products.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global spread of COVID-19 and the efforts to control it have adversely affected, and could continue to adversely affect, global supply chains. Any disruptions to our suppliers and manufacturers by, for example, worker absenteeism, quarantines, office and factory closures, disruptions to ports and other shipping infrastructure, or other travel or health-related restrictions have adversely affected and could continue to have an adverse impact on our business and operations. For example, the general market for the semiconductors has been disrupted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7" w:name="page18"/>
    <w:bookmarkEnd w:id="1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COVID-19 pandemic, and that disruption has impacted and may in future further impact the component supply for our IQ7 and IQ8 products. As a result of these supply chain disruptions, we are working to expand our supplier base, but there can be no assurance that these efforts will be successful or that supply chain disruptions will not continue, or worsen. Limits on manufacturing availability or capacity, or delays in production or delivery of components, due to COVID-19-related restrictions could delay or inhibit our ability to obtain supply of components and produce finished products and offerings, which could adversely affect our business, operations and customer relationships.</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Our liquidity also may be negatively impacted if sales decline significantly for an extended period due to the impact of the ongoing COVID-19 pandemic. Further, the extent to which the ongoing COVID-19 pandemic and our precautionary measures in response thereto impact our business and liquidity will depend on future developments, which are uncertain and cannot be precisely predicted at this time.</w:t>
      </w:r>
    </w:p>
    <w:p>
      <w:pPr>
        <w:spacing w:after="0" w:line="4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ultimate extent of the impact of the COVID-19 pandemic on our business, financial condition and results of operations will depend on future developments, including those that are highly uncertain and cannot be predicted with confidence at this time, including the ultimate duration of the pandemic, travel restrictions, quarantines, social distancing and business closure requirements in the U.S. and other countries, and the effectiveness of actions taken globally to contain and treat the disease. It is possible that additional legislation or governmental action will be taken in response to the evolving effects of the COVID-19 pandemic. We cannot assure you as to the ultimate content, timing, or effect of changes, nor is it possible at this time to estimate the impact of any such potential legislation or governmental action; however, such changes or the ultimate impact of changes could negatively affect our revenue or sales of our current and or potential future products. Moreover, the long-term effects of the COVID-19 pandemic remain unknown, and it is possible that following the pandemic in-person interactions will remain limited, which would negatively impact our sales team and our future revenues. These and other potential impacts of the COVID-19 pandemic discussed elsewhere in this “Risk Factors” section, as well as any future and unforeseen risks related to the pandemic not yet contemplated, could materially and adversely affect our business, financial condition and results of operations. To the extent the evolving effects of the COVID-19 pandemic adversely affect our business, financial condition and results of operations, they may also have the effect of heightening many of the other risks and uncertainties described elsewhere in this “Risk Factors” section.</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It is also possible that future global pandemics could also occur and also materially and adversely affect our business, financial condition and results of operations.</w:t>
      </w:r>
    </w:p>
    <w:p>
      <w:pPr>
        <w:spacing w:after="0" w:line="13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depend upon a sole-source and small number of outside contract manufacturers, and our business and operations could be disrupted if we encounter problems with these contract manufacturers.</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do not have internal manufacturing capabilities and rely upon a small number of contract manufacturers to build our products. In particular, we outsource the manufacturing of our products to manufacturing partners. Flex Ltd. and affiliates (“Flex”), and Salcomp Manufacturing India Pvt. Ltd. (“Salcomp”) assemble and test our microinverter, AC Battery storage systems and Envoy products. Prices for such services are agreed to by the parties on a quarterly basis, and we are obligated to purchase manufactured products and raw materials that cannot be resold upon the termination of the related agreements. As of December 31, 2020 our related purchase obligations (including amounts related to component inventory procured by our primary contract manufacturers on our behalf) were approximately $162.2 million. The timing of purchases in future periods could differ materially from our estimates due to fluctuations in demand requirements related to varying sales levels as well as changes in economic conditions.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Flex also provides receiving, kitting, storage, transportation, inventory visibility and other value-added logistics services at locations managed by Flex. Hong Kong Sinbon Industrial Limited manufactures our custom AC cables. During the fourth quarter of 2020, we qualified Amperex Technology Limited in addition to A123 Systems LLC as our lithium-ion batteries suppliers to help increase our available capacity. In addition, we rely on several unaffiliated companies to supply certain components used in the fabrication of our products.</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reliance on a small number of contract manufacturers makes us vulnerable to possible capacity constraints and reduced control over component availability, delivery schedules, manufacturing yields and costs. We do not have long-term supply contracts with our contract manufacturing partners. Consequently, these manufacturers are not obligated to supply products to us for any period, in any specified quantity or at any certain price. If any of these suppliers reduce or eliminate the supply of the components to us in the future, our revenues, business, financial condition and results of operations would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8" w:name="page19"/>
    <w:bookmarkEnd w:id="1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Further, 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products are manufactured are located outside of the U.S. We believe that the location of these facilities outside of the U.S. increases supply risk, including the risk of supply interruptions or reductions in manufacturing quality or controls.</w:t>
      </w:r>
    </w:p>
    <w:p>
      <w:pPr>
        <w:spacing w:after="0" w:line="4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on favorable terms, if at all. For example, we have experienced a volume shortage of components and may experience in future as well. An alternative contract manufacturer may not be available to us when needed or may not be in a position to satisfy our quality or production requirements on commercially reasonable terms. Any significant interruption in manufacturing would require us to reduce our supply of products to our customers, which in turn would reduce our revenues, harm our relationships with our customers and cause us to forgo potential revenue opportunities.</w:t>
      </w:r>
    </w:p>
    <w:p>
      <w:pPr>
        <w:spacing w:after="0" w:line="9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product warranty claims. Errors or defects may arise from raw materials supplied by third parties that are beyond our detection or control, which could lead to additional product warranty claims that may adversely affect our business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Manufacturing problems could result in delays in product shipments, which would adversely affect our revenue, competitive position and reputation.</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have in the past and may in the future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disruption could also occur in one of our contract manufacturers’ facilities due to any number of reasons, such as equipment failure, contaminated materials, COVID-19 pandemic impacts or process deviations, which could adversely impact manufacturing yields or delay product shipments. As a result, we could incur additional costs that would adversely affect our gross profit, and product shipments to our customers could be delayed beyond the schedules requested, which would negatively affect our revenue, competitive position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9" w:name="page20"/>
    <w:bookmarkEnd w:id="1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Component shortages have required us and may continue to require us to incur expedited shipping costs to meet delivery schedules, which impacts our revenue and gross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profit.</w:t>
      </w:r>
    </w:p>
    <w:p>
      <w:pPr>
        <w:spacing w:after="0" w:line="7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risks of these types of manufacturing problems are further increased during the introduction of new product lines, which has from time to time caused, and may in the future cause, temporary suspension of product lines while problems are addressed or corrected. Since our business is substantially dependent on a limited number of product lines, any prolonged or substantial suspension of an individual product line could result in a material adverse effect on our revenue, gross profit, competitive position, and distributor and customer relationships.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rely primarily on distributors, installers and providers of solar financing to assist in selling our products to customers, and the failure of these customers to perform at the expected level, or at all, would have an adverse effect on our business, financial condition and results of our operations.</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sell our solutions primarily through distributors, as well as through direct sales to solar equipment installers and developers of third-party solar finance offerings. We do not have exclusive arrangements with these third parties.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addition, while we provide our distributors and installers with training and other programs, including accreditations and certifications, these programs may not be effective or utilized consistently. In addition, new partners may require extensive training and may take significant time and resources to achieve productivity. Our partners may subject us to lawsuits, potential liability, and reputational harm if, for example, any of our partners misrepresent the functionality of our platform or products to customers, fail to perform services to our customers’ expectations, or violate laws or our policies. In addition, our partners may utilize our platform to develop products and services that could potentially compete with products and services that we offer currently or in the future. Concerns over competitive matters or intellectual property ownership could constrain the growth and development of these partnerships or result in the termination of one or more partnerships. If we fail to effectively manage and grow our network of partners, or properly monitor the quality and efficacy of their service delivery, our ability to sell our products and efficiently provide our services may be impacted, and our operating results may be harmed.</w:t>
      </w:r>
    </w:p>
    <w:p>
      <w:pPr>
        <w:spacing w:after="0" w:line="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customers to perform as expected, or failure by us to cultivate new customer relationships, could hinder our ability to expand our operations and harm our revenue and operating results.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The solar industry is highly competitive, and we expect to face increased competition as new and existing competitors introduce products or develop alternative technologies, which could negatively impact our business, financial condition and results of operations.</w:t>
      </w:r>
    </w:p>
    <w:p>
      <w:pPr>
        <w:spacing w:after="0" w:line="13"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4"/>
          <w:szCs w:val="14"/>
          <w:color w:val="auto"/>
        </w:rPr>
        <w:t>We compete primarily against central and string inverter manufacturers, as well as against new solutions and emerging technologies that directly compete with our business. A number of companies have developed or are developing microinverters and other products that will compete directly with our solutions in the module-level power electronics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495935</wp:posOffset>
            </wp:positionV>
            <wp:extent cx="69596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0" w:name="page21"/>
    <w:bookmarkEnd w:id="2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Competitors in the inverter market include, among others, SolarEdge Technologies, Inc., Fronius International GmbH, SMA Solar Technology AG, AP Systems, Generac, Tesla, Inc., Huawei Technologies Co. Ltd., Delta, Ginglong, Sungrow, Solax and other companies offering string inverters. Other existing or emerging companies may also begin offering alternative microinverter, DC-to-DC optimizer, energy storage, monitoring and other solutions that compete with our products. Competitors in the storage market include Tesla, LG Chem, Sonnen, Generac, Panasonic, BYD, E3/DC, Senec, Schneider, Goal Zero, Simpliphi and other producers of battery cells and integrated storage systems.</w:t>
      </w:r>
    </w:p>
    <w:p>
      <w:pPr>
        <w:spacing w:after="0" w:line="4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or if we are unable to offset any future reductions in our average selling prices by increasing our sales volume, reducing our costs and expenses or introducing new products, our revenues and gross profit would suffer.</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4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DC-to-AC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systems or sell products that compete with our systems, which would negatively impact our revenue and gross profit.</w:t>
      </w:r>
    </w:p>
    <w:p>
      <w:pPr>
        <w:spacing w:after="0" w:line="9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The loss of, or events affecting, one of our major customers could reduce our sales and have an adverse effect on our business, financial condition and results of operations.</w:t>
      </w:r>
    </w:p>
    <w:p>
      <w:pPr>
        <w:spacing w:after="0" w:line="1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For the fiscal year ended December 31, 2020, one customer accounted for approximately 29% of total net revenues. Further, as of December 31, 2020, amounts due from one customer represented approximately 36% of the total accounts receivable balance, and amounts due from three customers represented 34%, 14% and 11% of the total accounts receivable balance as of December 31, 2019.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their decreasing their orders with us or impairing their ability to pay for our products. The loss of, or events affecting, one or more of our large customers have had from time to time, and could in the future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1" w:name="page22"/>
    <w:bookmarkEnd w:id="2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Our microinverter systems, including our storage solution, integrated AC Module, eighth-generation IQ microinverters and Ensemble technology, may not achieve broader market acceptance, which would prevent us from increasing our revenue and market share.</w:t>
      </w:r>
    </w:p>
    <w:p>
      <w:pPr>
        <w:spacing w:after="0" w:line="1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If we fail to achieve broader market acceptance of our products, including international acceptance of our eighth-generation IQ microinverters and Ensemble technology announced in the fourth quarter of 2019 and for which product shipments commenced during the second quarter of 2020,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7" w:lineRule="exact"/>
        <w:rPr>
          <w:sz w:val="20"/>
          <w:szCs w:val="20"/>
          <w:color w:val="auto"/>
        </w:rPr>
      </w:pPr>
    </w:p>
    <w:p>
      <w:pPr>
        <w:ind w:left="640" w:hanging="253"/>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produce PV systems that compete favorably against other solutions on the basis of price, quality, reliability and performance;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timely introduce and complete new designs and timely qualify and certify our products;</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whether installers, system owners and solar financing providers will continue to adopt our systems, which have a relatively limited history with respect to reliability and performance;</w:t>
      </w:r>
    </w:p>
    <w:p>
      <w:pPr>
        <w:spacing w:after="0" w:line="27"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whether installers, system owners and solar financing providers will adopt our storage solution, which is a relatively new technology with a limited history with respect to reliability and performance;</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ability of prospective system owners to obtain long-term financing for solar PV installations based on our product platform on acceptable terms or at all;</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develop products that comply with local standards and regulatory requirements, as well as potential in-country manufacturing requirements;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develop and maintain successful relationships with our customers and suppliers.</w:t>
      </w:r>
    </w:p>
    <w:p>
      <w:pPr>
        <w:spacing w:after="0" w:line="94"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solutions.</w:t>
      </w:r>
    </w:p>
    <w:p>
      <w:pPr>
        <w:spacing w:after="0" w:line="8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Our success in marketing and selling “AC module” versions of our microinverter system depends in part upon our ability to continue to work closely with leading solar module manufacturers.</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continue to work on variants of our microinverter systems that enable direct attachment of a microinverter to solar modules. The market success of such “AC Module” solutions will depend in part on our ability to continue to work closely with SunPower and other solar module manufacturers to design microinverters that are compatible with and can be attached directly to solar modules. We may not be able to encourage solar module manufacturers to work with us on the development of such compatible solutions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recent and planned expansion into existing and new markets could subject us to additional business, financial and competitive risks.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currently offer solar microinverter systems targeting the residential and commercial markets throughout the world, and we intend to expand into other international markets. Our success in new geographic and product markets will depend on a number of factors, such as:</w:t>
      </w:r>
    </w:p>
    <w:p>
      <w:pPr>
        <w:spacing w:after="0" w:line="27" w:lineRule="exact"/>
        <w:rPr>
          <w:sz w:val="20"/>
          <w:szCs w:val="20"/>
          <w:color w:val="auto"/>
        </w:rPr>
      </w:pPr>
    </w:p>
    <w:p>
      <w:pPr>
        <w:ind w:left="640" w:hanging="253"/>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acceptance of microinverters in markets in which they have not traditionally been used;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compete in new product markets to which we are not accustomed;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manage manufacturing capacity and production;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willingness of our potential customers to incur a higher upfront capital investment than may be required for competing solutions;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timely qualification and certification of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2" w:name="page23"/>
    <w:bookmarkEnd w:id="2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reduce production costs in order to price our products competitively;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availability of government subsidies and economic incentives for solar energy solutions;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accurate forecasting and effective management of inventory levels in line with anticipated product demand;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customer service capabilities and responsiveness;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timely hiring of the skilled employees and efficient execution of our project plan.</w:t>
      </w:r>
    </w:p>
    <w:p>
      <w:pPr>
        <w:spacing w:after="0" w:line="94"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Further, new geographic markets and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27" w:lineRule="exact"/>
        <w:rPr>
          <w:sz w:val="20"/>
          <w:szCs w:val="20"/>
          <w:color w:val="auto"/>
        </w:rPr>
      </w:pPr>
    </w:p>
    <w:p>
      <w:pPr>
        <w:ind w:left="640" w:hanging="253"/>
        <w:spacing w:after="0" w:line="296" w:lineRule="auto"/>
        <w:tabs>
          <w:tab w:leader="none" w:pos="6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differing regulatory requirements, including tax laws, trade laws, labor, safety, local content, recycling and consumer protection regulations, tariffs, export quotas, customs duties or other trade restrictions;</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limited or unfavorable intellectual property protection;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 of change in international political or economic conditions;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restrictions on the repatriation of earnings;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fluctuations in the value of foreign currencies and interest rates;</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difficulties and increased expenses in complying with a variety of U.S. and foreign laws, regulations and trade standards, including the Foreign Corrupt Practices Act and UK Bribery Act;</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potentially longer sales cycles;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generally longer payment cycles and greater difficulty in collecting accounts receivable;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higher volume requirements;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customer concentrations;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warranty expectations and product return policies;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 performance and compatibility requirements.</w:t>
      </w:r>
    </w:p>
    <w:p>
      <w:pPr>
        <w:spacing w:after="0" w:line="94"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Failure to address these new markets successfully, to generate sufficient revenue from these markets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capture customers in the new product and geographic markets that we are pursuing.</w:t>
      </w:r>
    </w:p>
    <w:p>
      <w:pPr>
        <w:spacing w:after="0" w:line="9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spacing w:after="0" w:line="22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 the fourth quarter of 2019, we announced our eight-generation IQ microinverters and Ensemble technology. We started production shipments of Ensemble technology to customers in North America during the second quarter of 2020. Our new products are complex and require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3" w:name="page24"/>
    <w:bookmarkEnd w:id="2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Our future success and ability to implement our business strategy depends, in part, on our ability to attract and retain key personnel, and on the continued contributions of members of our senior management team and key personnel in areas such as engineering, marketing, and sales, any of whom would be difficult to replace. For example, we are highly dependent on our president and chief executive officer, Badrinarayanan Kothandaraman. Mr. Kothandaraman possesses technical knowledge of our business, operations and strategy, and he has substantial experience and contacts that help us implement our goals, strategy and plan. If we lose his services or if he decides to join a competitor or otherwise compete directly or indirectly with us, our business, operating results and financial condition could be materially harmed.</w:t>
      </w:r>
    </w:p>
    <w:p>
      <w:pPr>
        <w:spacing w:after="0" w:line="5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Also, if the value of our stock awards increases substantially, this could potentially create substantial personal wealth for our executives and employees and affect our ability to retain our personnel. In addition, any future restructuring plans may adversely impact our ability to attract and retain key employees.</w:t>
      </w:r>
    </w:p>
    <w:p>
      <w:pPr>
        <w:spacing w:after="0" w:line="5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and we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4" w:name="page25"/>
    <w:bookmarkEnd w:id="2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by management to properly manage growth could have a material adverse effect on our business, operating results, and financial condition.</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Our business has grown rapidly, and if our business develops as currently expected, we anticipate that we will continue to grow rapidly in the near future. Our expected rapid growth could place significant demands on our management, operations, systems, accounting, internal controls and financial resources, and it may also negatively impact our ability to retain key personnel. If we experience difficulties in any of these or other areas, we may not be able to expand our business successfully or effectively manage our growth. Any failure by management to manage our growth and to respond to changes in our business could have a material adverse effect on our business, financial condition and results of operations.</w:t>
      </w:r>
    </w:p>
    <w:p>
      <w:pPr>
        <w:spacing w:after="0" w:line="9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we are unsuccessful in continuing to expand our direct-to-consumer sales channel by driving purchases through our website, our business and results of operation could be harmed.</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are subject to general business regulations and laws, as well as federal, state, foreign and provincial regulations and laws specifically governing the internet and e-commerce. Existing and future laws and regulations may impede the growth of the use of the internet, availability of economic broadband access, or other online services, and increase the cost of providing our digital delivery of content and services. These regulations and laws may cover taxation, tariffs, user privacy, data protection, pricing, content, copyrights, distribution, electronic contracts and other communications, consumer protection, broadband internet access and the characteristics and quality of services. It is not clear how existing laws governing issues such as property ownership, sales, use and other taxes, libel and personal privacy apply to the internet and e-commerce. Unfavorable resolution of these issues may harm our business and results of operations.</w:t>
      </w:r>
    </w:p>
    <w:p>
      <w:pPr>
        <w:spacing w:after="0" w:line="5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Although we primarily sell our solutions and products directly to solar distributors, who resell to installers and integrators, who then in turn integrate our products into complete solar PV installations for residential and commercial system owners, we have recently invested significant resources in our direct-to-consumer sales channel through our website, and our future growth relies, in part, on our ability to attract consumers through this channel. Expanding our direct-to-consumer sales model will require significant expenditures in marketing, software development and infrastructure. Further, the success of direct-to-consumer sales through our website is also subject to general business regulations and laws, as well as federal, state, foreign and provincial regulations and laws specifically governing the internet and e-commerce. These regulations and laws may cover taxation, tariffs, privacy, data protection, pricing, distribution, electronic contracts and other communications, consumer protection and intellectual property. These laws and regulations can be complex, difficult to interpret and may change over time. Continued regulatory limitations and other obstacles interfering with our ability to sell our products directly to consumers could have a negative and material impact our business, prospects, financial condition and results of operations.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Further, the expansion of our direct-to-consumer channel could alienate some of our existing partners and cause a reduction in sales from these partners. Our existing partners may perceive themselves to be at a disadvantage based on the direct-to-consumer sales offered through our website. Due to these and other factors, conflicts in our sales channels could arise and cause our existing partners to divert resources away from the promotion and sale of our products. If we are unable to successfully continue to drive traffic to, and increase sales through, our website, our business and results of operations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5" w:name="page26"/>
    <w:bookmarkEnd w:id="2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and Technology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breaches of our information technology systems, which could cause significant reputational, legal and financial damages.</w:t>
      </w:r>
    </w:p>
    <w:p>
      <w:pPr>
        <w:spacing w:after="0" w:line="9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Like many companies, we use and store a wide variety of confidential and proprietary information relating to our business. The secure maintenance of this information is critical to our business and reputation. Despite our implementation of security measures, our systems are vulnerable to damages from computer viruses, computer denial-of-service attacks, worms, and other malicious software programs or other attacks, covert introduction of malware to computers and networks, unauthorized access, including impersonation of unauthorized users, efforts to discover and exploit any security vulnerabilities or securities weaknesses, and other similar disruptions. These types of attacks have increased, in general, as more businesses implement remote working environments. Although we make significant efforts to maintain the security and integrity of our information technology and related systems, and have implemented measures to manage the risk of a security breach or disruption, there can be no assurance that our security efforts and measures will be effective, or that attempted security breaches or disruptions would not be successful or damaging.</w:t>
      </w:r>
    </w:p>
    <w:p>
      <w:pPr>
        <w:spacing w:after="0" w:line="5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The techniques used in attempted cyber-attacks and intrusions are sophisticated and constantly evolving, and may be difficult to detect for long periods of time. We may be unable to anticipate these techniques or implement adequate preventative measures. Although to date we have not experienced any material breaches of our systems that could have material adverse effect on our business, attacks and intrusions on our systems will continue and we may experience a breach of our systems that compromises sensitive company information or customer data. In addition, hardware, software, or applications we develop or procure from third parties may contain defects in design or manufacture or other problems that could unexpectedly compromise information security. If we experience a significant data security breach, we could be exposed to reputational damage and significant costs, including to rebuild our systems, modify our products and services, defend litigation, respond to government enforcement actions, pay damages or take other remedial steps, any of which could adversely affect our business, results of operations, and financial condition. In addition, we may be required to incur significant costs to protect against damage caused by these disruptions or security breaches in the future.</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may also share information with contractors and third-party providers to conduct our business. Although such contractors and third-party providers typically implement encryption and authentication technologies to secure the transmission and storage of data, those third-party providers may experience a significant data security breach, which may also detrimentally affect our business, results of operations, and financial condition.</w:t>
      </w:r>
    </w:p>
    <w:p>
      <w:pPr>
        <w:spacing w:after="0" w:line="87"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The software we use in providing system configuration recommendations or potential energy savings estimates to customers relies in part on third party information that may not be accurate or up-to-date; this may therefore generate inaccurate recommendations or estimates, resulting in a loss of reputation and customer confidence.</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provide our customers online tools to help them determine proper system sizing and configurations, estimates of bill savings, and potential revenues resulting from executing a specific curtailment strategy. These estimates are in turn based on a number of factors such as customer tariff structures, estimated wholesale electricity prices and estimates of the reduction in electricity usage as a result of a curtailment activity. If the estimates we provide prove to be significantly different from actual payments or savings received by our customers, it may result in the loss of reputation and/or customer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6" w:name="page27"/>
    <w:bookmarkEnd w:id="2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are subject to stringent privacy laws, information security policies and contractual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5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are subject to a variety of local, state, national and international laws, directives and regulations that apply to the collection, use, retention, protection, disclosure, transfer and other processing of personal data in the different jurisdictions in which we operate, including comprehensive regulatory systems in the U.S. and Europe. California enacted the California Consumer Privacy Act (“CCPA), which creates individual privacy rights for California consumers and increases the privacy and security obligations of entities handling certain personal data. The CCPA went into effect on January 1, 2020, and became enforceable by the California Attorney General on July 1, 2020. The CCPA has been amended from time to time, and, further a new privacy law, the California Privacy Rights Act, or CPRA, was approved by California voters in the November 3, 2020 election. Effective starting January 1, 2023, the CPRA will significantly modify the CCPA, including by expanding consumers’ rights with respect to certain sensitive personal information. The CPRA also creates a new state agency that will be vested with authority to implement and enforce the CCPA and the CPRA. It remains unclear what, if any, further modifications will be made to the CCPA or CPRA, or how such legislation will be interpreted. Certain other state laws impose similar privacy obligations and all 50 states have laws including obligations to provide notification of security breaches of computer databases that contain personal information to affected individuals, state officers and others.</w:t>
      </w:r>
    </w:p>
    <w:p>
      <w:pPr>
        <w:spacing w:after="0" w:line="55"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In May 25, 2018, the European Union (“EU”), implemented the General Data Protection Regulation (“GDPR”), a broad data protection framework that expands the scope of current EU data protection law to non-European Union entities that process, or control the processing of, the personal information of EU subjects.</w:t>
      </w:r>
    </w:p>
    <w:p>
      <w:pPr>
        <w:spacing w:after="0" w:line="27"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The GDPR imposes stringent requirements for controllers and processors of personal data,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 and the EEA to the United States and other third countries. In July 2020, the Court of Justice of the European Union issued a decision that struck down the EU-U.S. Privacy Shield framework, which provided companies with a mechanism to comply with data protection requirements when transferring personal data from the EU to the United States and additionally called into question the validity of the European Commission’s Standard Contractual Clauses, on which U.S. companies rely to transfer personal data from Europe to the United States and elsewhere. If we or our vendors fail to comply with the GDPR and the applicable national data protection laws of the EU or EEA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Further, following the United Kingdom’s withdrawal from the EU and the EEA, and the expiry of the transition period, companies have to comply with both the GDPR and the GDPR as incorporated into the United Kingdom national law, the Data Protection Act of 2018, the latter regime having the ability to separately fine up to the greater of £17.5 million or 4% of global turnover. The relationship between the United Kingdom and the EU in relation to certain aspects of data protection law remains unclear, for example around how data can lawfully be transferred between each jurisdiction, which exposes us to further compliance risk.</w:t>
      </w:r>
    </w:p>
    <w:p>
      <w:pPr>
        <w:spacing w:after="0" w:line="59"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Compliance with U.S. and international data protection laws and regulations could cause us to incur substantial costs or require us to change our business practices and compliance procedures in a manner adverse to our business. Our and our collaborators’ and contractors’ failure to fully comply with GDPR, the California Consumer Privacy Act of 2018 and other laws could lead to significant fines and require onerous corrective action.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7" w:name="page28"/>
    <w:bookmarkEnd w:id="2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data security breaches experienced by us, our collaborators or contractors could result in the loss of trade secrets or other intellectual property, public disclosure of sensitive commercial data, and the exposure of personally identifiable information (including sensitive personal information) of our employees, customers, collaborators and others. Compliance with these and any other applicable privacy and data security laws and regulations is a rigorous and time-intensive process, and we may be required to put in place additional mechanisms ensuring compliance with the new data protection rules. Furthermore, the laws are not consistent, and compliance with various different requirements may be costly. If we fail to comply with any such laws or regulations, we may face significant fines and penalties that could adversely affect our business, financial condition and results of operations.</w:t>
      </w:r>
    </w:p>
    <w:p>
      <w:pPr>
        <w:spacing w:after="0" w:line="225"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9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U.S. and 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8" w:name="page29"/>
    <w:bookmarkEnd w:id="2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We rely on the efficient and uninterrupted operation of complex information technology systems and network infrastructures to operate our business. In addition, our Enlighten web-based monitoring service, which our installers and end-user customers use to track and monitor the performance of their solar PV systems, is dependent on cloud-based hosting services, along with the availability of WiFi or mobile data services at end-user premises. Despite testing by us, real or perceived errors, failures or bugs in our customer solutions, software or technology or the technology or software we license from third parties, including open source software, may not be found until our customers use our products. Real or perceived errors, failures or bugs in our products could result in negative publicity, loss of or delay in market acceptance of our products, harm to our brand, weakening of our competitive position or claims by customers for losses sustained by them. A disruption, infiltration or failure of our information technology systems, third-party cloud hosting platforms or end-user data services as a result of software or hardware malfunctions, system implementations or upgrades, computer viruses, cyber-attacks, third-party security breaches, employee/human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such future events could further harm our competitive position, result in a loss of customer confidence, cause us to incur significant costs to remedy any damages and ultimately materially adversely affect our business and financial condition.</w:t>
      </w:r>
    </w:p>
    <w:p>
      <w:pPr>
        <w:spacing w:after="0" w:line="104"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competitors and other third parties hold numerous patents related to technology used in our industry, and claims of patent or other intellectual property right infringement or violation have been litigated against our competitors.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upon any intellectual property rights of third parties, we cannot be certain that we would be successful in defending against any such claims. Furthermore, patent applications in the U.S.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52" w:lineRule="exact"/>
        <w:rPr>
          <w:sz w:val="20"/>
          <w:szCs w:val="20"/>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obtain from a third-party claiming infringement a license to sell or use the relevant technology, which may not be available on reasonable terms, or at all;</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stop manufacturing, selling, incorporating or using products that embody the asserted intellectual property;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pay substantial monetary damages;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indemnify our customers under some of our customer contracts; or</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expend significant resources to redesign the products that use the infringing technology, or to develop or acquire non-infringing technology.</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Any of these actions could result in a substantial reduction in our revenue and could result in losses over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29" w:name="page30"/>
    <w:bookmarkEnd w:id="2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w:t>
      </w:r>
    </w:p>
    <w:p>
      <w:pPr>
        <w:spacing w:after="0" w:line="4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Further, such licenses may be non-exclusive, which could result in our competitors gaining access to the same intellectual property. The licensing or acquisition of third party intellectual property rights is a competitive area, and other established companies may pursue strategies to license or acquire third 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 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spacing w:after="0" w:line="52"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Further,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 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spacing w:after="0" w:line="10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may not be able to protect and enforce our trademarks and trade names, or build name recognition in our markets of interest thereby harming our competitive position.</w:t>
      </w:r>
    </w:p>
    <w:p>
      <w:pPr>
        <w:spacing w:after="0" w:line="1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If third parties succeed they succeed in registering such trademarks in the U.S. or other countries, and if we are not successful in challenging such third party rights, we may not be able to use these trademarks to market our products and technologies such countries. If we do not secure registrations for our trademarks, we may encounter more difficulty in enforcing them against third parties than we otherwise would. If we are unable to establish name recognition based on our trademarks and trade names, we may not be 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396875</wp:posOffset>
            </wp:positionV>
            <wp:extent cx="69596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0" w:name="page31"/>
    <w:bookmarkEnd w:id="3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compete effectively, which could harm our business, financial condition, results of operations and prospects. And, over the long-term, if we are unable to establish name recognition based on our trademarks, then our marketing abilities may be materially adversely impacted.</w:t>
      </w:r>
    </w:p>
    <w:p>
      <w:pPr>
        <w:spacing w:after="0" w:line="29" w:lineRule="exact"/>
        <w:rPr>
          <w:sz w:val="20"/>
          <w:szCs w:val="20"/>
          <w:color w:val="auto"/>
        </w:rPr>
      </w:pPr>
    </w:p>
    <w:p>
      <w:pPr>
        <w:spacing w:after="0" w:line="305"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 w:lineRule="exact"/>
        <w:rPr>
          <w:sz w:val="20"/>
          <w:szCs w:val="20"/>
          <w:color w:val="auto"/>
        </w:rPr>
      </w:pPr>
    </w:p>
    <w:p>
      <w:pPr>
        <w:ind w:right="40" w:firstLine="382"/>
        <w:spacing w:after="0" w:line="259"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engage an outside service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our products for an adequate amount of time.</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Proceedings and Regulations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Changes in current laws or regulations or the imposition of new laws or regulations, or new interpretations thereof, in the solar energy sector or international trade, by federal or state agencies in the United States or foreign jurisdictions could impair our ability to compete, and could materially harm our business, financial condition and results of operations.</w:t>
      </w:r>
    </w:p>
    <w:p>
      <w:pPr>
        <w:spacing w:after="0" w:line="31"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4"/>
          <w:szCs w:val="14"/>
          <w:color w:val="auto"/>
        </w:rPr>
        <w:t>There has been and will continue to be regulatory uncertainty in the clean energy sector generally and the solar energy sector in particular. Changes in current laws or regulations, or the imposition of new laws and regulations around the world, could materially and adversely affect our business, financial condition and results of operations. In addition, changes in our products or further changes in tariffs,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26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For example, several states or territories, including California, Hawaii and Queensland, Australia, have either implemented or are considering implementing new restrictions on incentives or rules regulating the installation of solar power systems with which we may not be able to comply.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9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419100</wp:posOffset>
            </wp:positionV>
            <wp:extent cx="69596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1" w:name="page32"/>
    <w:bookmarkEnd w:id="3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Additionally, if the U.S. takes action to eliminate or reduce laws, regulations and incentives supporting solar energy, such actions may result in a decrease in demand for solar energy in the U.S. and other geographical markets, it would harm our business, financial condition and results of operations.</w:t>
      </w:r>
    </w:p>
    <w:p>
      <w:pPr>
        <w:spacing w:after="0" w:line="7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Changes in the U.S. trade environment, including the recent imposition of import tariffs, could adversely affect the amount or timing of our revenues, results of operations or cash flows.</w:t>
      </w:r>
    </w:p>
    <w:p>
      <w:pPr>
        <w:spacing w:after="0" w:line="1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Escalating trade tensions between the U.S. and China have led to increased tariffs and trade restrictions, including tariffs applicable to certain of our products. For example, on September 24, 2018, the U.S. began assessing 10% tariffs on certain solar products manufactured in China including our microinverter products and related accessories which are manufactured in China. These tariffs increased to 25% in May 2019, and on January 15, 2020, the United States and China entered into an initial trade deal which preserves the bulk of the tariffs imposed in 2018 and maintains a threat of additional sanctions should China breach the terms of the deal.</w:t>
      </w:r>
    </w:p>
    <w:p>
      <w:pPr>
        <w:spacing w:after="0" w:line="47"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However, on March 26, 2020, the Office of the U.S. Trade Representative announced certain exclusion requests related to tariffs on Chinese imported microinverter products that fit the dimensions and weight limits within a Section 301 Tariff exclusion (the “Tariff Exclusion”). The Tariff Exclusion applied to covered products exported from China to the United States from September 24, 2018 until August 7, 2020. Accordingly, we sought refunds totaling approximately $ 38.9 million plus approximately $0.6 million accrued interest on tariffs previously paid from September 24, 2018 to March 31, 2020 for certain microinverters that qualify for the Tariff Exclusion. As of December 31, 2020, we have received $24.8 million of tariff refunds and accrued for the remaining $ 14.7 million tariff refunds that were approved, however, not yet received on or before December 31, 2020. For the year ended December 31, 2020, we recorded $38.9 million as a reduction to cost of revenues in our consolidated statements of operations as the approved refunds relate to paid tariffs previously recorded to cost of revenues. Therefore, we recorded the corresponding approved tariff refunds as credits to cost of revenues in the current period. For the year ended December 31, 2020, we recorded the $0.6 million accrued interest as interest income in our consolidated statement of operations. The tariff refund receivable of $14.7 million is recorded as a reduction of accounts payable to Flex Ltd. and affiliates, our manufacturing partner and the importer of record who will first receive the tariff refunds, on the consolidated balance sheet as of December 31, 2020. This exemption has expired in August 2020, and our request to extend it has been denied. Unless U.S. policy changes, or we are eligible for other exemptions or take other actions to avoid them, such tariffs will continue to apply to our microinverters and other products. Such tariffs could hurt the demand for these products and materially harm our business, financial condition and results of operations. There is no guarantee that we will be successful in obtaining exemptions or that any actions that we may pursue with respect to the organization and operation of our business will effectively mitigate the effects of any tariffs that apply to our business. If we are not able to avoid or mitigate the effects of such tariffs, the tariffs (or mitigating actions we might take) could result in material additional costs to us and our suppliers, and our results of operations could be negatively impacted as a result.</w:t>
      </w:r>
    </w:p>
    <w:p>
      <w:pPr>
        <w:spacing w:after="0" w:line="5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It is unknown whether and to what extent additional new tariffs or other new laws or regulations will be adopted that increase the cost of manufacturing in China and/or importing components from China to the United States. Further, it is unknown what effect that any such new tariffs or retaliatory actions would have on us or our industry and customers. Our LFP lithium-ion phosphate battery cells for our storage products are supplied solely via our two suppliers in China. Although we are in the process of searching for other suppliers outside of China for future supplies, the expertise and industry for the LFP lithium-ion phosphate battery cell is primarily in China and we cannot be certain that we will locate additional qualified suppliers with the right expertise to develop our battery cells outside of China, if at all.</w:t>
      </w:r>
    </w:p>
    <w:p>
      <w:pPr>
        <w:spacing w:after="0" w:line="5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In response to the tensions in US-China trade relations and increased tariffs, we focused efforts and resources on attaining manufacturers outside of China, primarily in Mexico and India. The tariffs and the possibility of additional tariffs in the future have created uncertainty in the industry. If the price of solar power systems in the United States increases, the use of solar power systems could become less economically feasible and could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China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2" w:name="page33"/>
    <w:bookmarkEnd w:id="3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affected countries take retaliatory trade actions, such changes could have a material adverse effect on our business, financial condition,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significant international operations subject us to additional risks that could adversely affect our business, results of operations and financial condition.</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have significant international operations, including in emerging markets such as India, and we are continuing to expand our international operations as part of our growth strategy. As of December 31, 2020, approximately 41% of our total employees were located in India, where we primarily conduct our research and development activities, procurement, customer support services, and other general and administrative support functions. Our current international operations and our plans to expand our international operations have placed, and will continue to place, a strain on our employees, management systems and other resources.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international operations may fail to succeed due to risks inherent in operating businesses internationally, such as:</w:t>
      </w:r>
    </w:p>
    <w:p>
      <w:pPr>
        <w:spacing w:after="0" w:line="94" w:lineRule="exact"/>
        <w:rPr>
          <w:sz w:val="20"/>
          <w:szCs w:val="20"/>
          <w:color w:val="auto"/>
        </w:rPr>
      </w:pPr>
    </w:p>
    <w:p>
      <w:pPr>
        <w:ind w:left="640" w:hanging="253"/>
        <w:spacing w:after="0" w:line="296" w:lineRule="auto"/>
        <w:tabs>
          <w:tab w:leader="none" w:pos="6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lack of familiarity with commercial and social norms and customs in countries which may adversely affect our ability to recruit, retain and manage employees in these countries;</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difficulties and costs associated with staffing and managing foreign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potential diversion of management’s attention to oversee and direct operations that are geographically distant from our U.S. headquarters;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compliance with multiple, conflicting and changing governmental laws and regulations, including employment, tax, privacy and data protection laws and regulations;</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legal systems in which our ability to enforce and protect our rights may be different or less effective than in the United States and in which the ultimate result of dispute resolution is more difficult to predict;</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higher employee costs and difficulty in terminating non-performing employees;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differences in workplace cultures;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unexpected changes in regulatory requirements;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tariffs, export controls and other non-tariff barriers such as quotas and local content rules;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more limited protection for intellectual property rights in some countries;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adverse tax consequences, including as a result of transfer pricing adjustments involving our foreign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fluctuations in currency exchange rates;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anti-bribery compliance by us or our partners;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restrictions on the transfer of funds;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global epidemics, pandemics, or contagious diseases;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new and different sources of competition.</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failure to manage any of these risks successfully could harm our existing and future international operations and seriously impair our overall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3" w:name="page34"/>
    <w:bookmarkEnd w:id="3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adversely affected by any violations of the FCPA, the U.K. Bribery Act, and other foreign anti-bribery laws.</w:t>
      </w:r>
    </w:p>
    <w:p>
      <w:pPr>
        <w:spacing w:after="0" w:line="9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U.S. Foreign Corrupt Practices Act (“FCPA”) generally prohibits companies and their intermediaries from making improper payments to non-U.S. government officials for the purpose of obtaining or retaining business. Other countries in which we operate also have anti-bribery laws, some of which prohibit improper payments to government and non-government persons and entities, and others (e.g., the FCPA and the U.K. Bribery Act) extend their application to activities outside of their country of origin. Our policies mandate compliance with all applicable anti-bribery laws. We currently operate in, and may further expand into, key parts of the world that have experienced governmental corruption to some degree and, in certain circumstances, strict compliance with anti-bribery laws may conflict with local customs and practices. In addition, due to the level of regulation in our industry, our entry into new jurisdictions through internal growth or acquisitions requires substantial government contact where norms can differ from U.S. standards. Although, we implement policies and procedures and conduct training designed to facilitate compliance with these anti-bribery laws, thereby mitigating the risk of violations of such laws,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10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From time to time we are involved in a number of legal proceedings and, while we cannot predict the outcomes of such proceedings and other contingencies with certainty, some of these outcomes could adversely affect our business and financial condition.</w:t>
      </w:r>
    </w:p>
    <w:p>
      <w:pPr>
        <w:spacing w:after="0" w:line="1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are, or may become, involved in legal proceedings, government and agency investigations, and consumer, employment, tort and other litigation. We cannot predict with certainty the outcomes of these legal proceedings (see discussion of “Legal Proceedings” in Item 3 Part I of this Annual Report on Form 10-K). The outcome of some of these legal proceeding could require us to take, or refrain from taking, actions which could negatively affect our operations or could require us to pay substantial amounts of money adversely affecting our financial condition and results of operations. There can also be no assurance that we are adequately insured to protect against all claims and potential liabilities. Additionally, defending against lawsuits and legal proceedings may involve significant expense and could divert the attention of our key personnel.</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Condition and Liquidity</w:t>
      </w:r>
    </w:p>
    <w:p>
      <w:pPr>
        <w:spacing w:after="0" w:line="9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4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 general, the cost of solar power currently exceeds retail electricity rates, and we believe this tendency will continue in the near term. As a result, national, state and local government bodies in many countries, including the U.S., have provided incentives in the form of feed-in tariffs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4" w:name="page35"/>
    <w:bookmarkEnd w:id="3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gross profit may fluctuate over time, which could impair our ability to achieve or maintain profitability.</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27" w:lineRule="exact"/>
        <w:rPr>
          <w:sz w:val="20"/>
          <w:szCs w:val="20"/>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customer, geographic or product mix;</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increased price competition, including the impact of customer and competitor discounts and rebates;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reduce and control product costs, including our ability to make product cost reductions in a timely manner to offset declines in our product prices;</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warranty costs and reserves, including changes resulting from changes in estimates related to the long-term performance of our products, product replacement costs and warranty claim rates, as well as changes in the discount rates;</w:t>
      </w:r>
    </w:p>
    <w:p>
      <w:pPr>
        <w:spacing w:after="0" w:line="27" w:lineRule="exact"/>
        <w:rPr>
          <w:rFonts w:ascii="Arial" w:cs="Arial" w:eastAsia="Arial" w:hAnsi="Arial"/>
          <w:sz w:val="14"/>
          <w:szCs w:val="14"/>
          <w:color w:val="auto"/>
        </w:rPr>
      </w:pPr>
    </w:p>
    <w:p>
      <w:pPr>
        <w:ind w:left="640" w:hanging="253"/>
        <w:spacing w:after="0" w:line="268" w:lineRule="auto"/>
        <w:tabs>
          <w:tab w:leader="none" w:pos="636"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loss of cost savings due to changes in component or raw material pricing or charges incurred due to inventory holding periods if product demand is not correctly anticipated;</w:t>
      </w:r>
    </w:p>
    <w:p>
      <w:pPr>
        <w:spacing w:after="0" w:line="244"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introduction of new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ordering patterns from our distributors;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reductions on older products to sell remaining inventory;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component shortages and related expedited shipping costs;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reduce production costs, such as through technology innovations, in order to offset price declines in our products over time;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shipment volume;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distribution channels;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excess and obsolete inventory and inventory holding charges;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expediting costs incurred to meet customer delivery requirements;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tariffs assessed on our products imported to the U.S. and elsewhere;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Fluctuations in gross profit may adversely affect our ability to manage our business or achieve or maintain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under continuous pressure to reduce the prices of our products, which has adversely affected, and may continue to adversely affect, our gross margins.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5" w:name="page36"/>
    <w:bookmarkEnd w:id="3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9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depressing sales of our products. In addition, energy conservation technologies and public initiatives to reduce demand for electricity also could cause a fall in the retail price of electricity from the utility grid. Moreover, technological developments by our competitors in the solar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increase the cost of installation or operation of solar distributed generation. Such measures can include grid access fees, costly or lengthy interconnection studies, limitations on distributed generation penetration levels, or other measures. If the cost of electricity generated by solar PV installations incorporating our solutions is high relative to the cost of electricity from other sources, our business, financial condition and results of operations may be harmed.</w:t>
      </w:r>
    </w:p>
    <w:p>
      <w:pPr>
        <w:spacing w:after="0" w:line="104"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6" w:name="page37"/>
    <w:bookmarkEnd w:id="3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due to the COVID-19 pandemic and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55"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8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To date, we have generated the majority of our revenues from North America, and a substantial majority of our revenues come from the U.S., and revenues generated from the U.S. market have represented 82%, 84% and 69% of our total revenue for annual period ending on December 31, 2020, 2019 and 2018, respectively. We also expect to continue to generate a substantial amount of our revenues from North America in the future.</w:t>
      </w:r>
    </w:p>
    <w:p>
      <w:pPr>
        <w:spacing w:after="0" w:line="4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There are a number of important incentives (including U.S. federal and state tax incentives) that are expected to phase-out or terminate in the future, which could adversely affect sales of our products in North America and other markets. For instance, the Renewable Energy and Job Creation Act of 2008 provided a 30% federal tax credit for residential and commercial solar installations through December 31, 2019, which was reduced to a tax credit of 26% for any solar energy system that began construction during 2020 through December 31, 2022, and 22% thereafter to December 31, 2023 before being reduced to 10% for commercial installations and 0% for residential installations beginning on January 1, 2024.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 These tax credits could be reduced or eliminated as part of the U.S. Internal Revenue Code of 1986, as amended (the “Code”), changes or regulatory reform initiatives by the current Congress or the new presidential administration.</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power systems. Future legislative or regulatory changes in California may discourage further growth in the residential solar market.</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 number of European countries, including Germany, Belgium, Italy and the United Kingdom have adopted reductions in or concluded their net energy metering or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7" w:name="page38"/>
    <w:bookmarkEnd w:id="3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also sell our products in Australia. In 2012 Australia enacted a Renewable Energy Target that is intended to ensure that 33,000 Gigawatt-hours of Australia’s electricity comes from renewable sources by 2020. This policy supports both the installation of large-scale centralized renewable generation projects, along with small-scale systems of under 100kW each for residential and small business customers. This target was met in 2019; however, the scheme continues to require high-energy users to meet their obligations under the policy until 2030. During 2018, the states of Victoria and South Australia introduced state-based incentive schemes, aimed at solar customers in the state of Victoria and battery storage in the state of South Australia. Other Australian states and territories introduced similar programs in 2019. Any change in, or failure to implement, these programs may adversely affect the demand for solar energy solutions in Australia.</w:t>
      </w:r>
    </w:p>
    <w:p>
      <w:pPr>
        <w:spacing w:after="0" w:line="53"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U.S. federal and state tax credits, grants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Although we had net income in the past two years, we cannot be certain that we will sustain profitability.</w:t>
      </w:r>
    </w:p>
    <w:p>
      <w:pPr>
        <w:spacing w:after="0" w:line="81"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had net income of $134.0 million and $161.1 million in the years ended December 31, 2020 and 2019, respectively, compared to the year ended December 31, 2018 where we incurred a net loss of $11.6 million. We incurred substantial net losses from our inception through the year ended December 31, 2018, and we may not be able to sustain profitability and may incur additional losses in the future. At December 31, 2020, we had an accumulated deficit of $51.2 million. Our revenue growth may slow or revenue may decline for a number of reasons, many of which are outside our control, including a decline in demand for our offerings, increased competition, a decrease in the growth of the solar industry or our market share, future declines in average selling prices of our products, the impact of U.S. trade tariffs, the imposition of additional tariffs applicable to our industry or our products, or our failure to capitalize on growth opportunities. If we fail to generate sufficient revenue to support our operations, we may not be able to sustain profitability.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Acquisition Activity</w:t>
      </w:r>
    </w:p>
    <w:p>
      <w:pPr>
        <w:spacing w:after="0" w:line="14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The failure to successfully develop new generation products that are compatible with those of SunPower could have a material adverse effect on our business, financial condition and results of operations.</w:t>
      </w:r>
    </w:p>
    <w:p>
      <w:pPr>
        <w:spacing w:after="0" w:line="1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Our failure to continue to successfully integrate our microinverter products and software with SunPower’s solar modules could negatively impact our revenue projections, impair goodwill, intangible assets recognized, and otherwise have a material adverse effect on our business, financial condition and results of operations.</w:t>
      </w:r>
    </w:p>
    <w:p>
      <w:pPr>
        <w:spacing w:after="0" w:line="2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As of December 31, 2020, we have $28.5 million of finite-lived intangible assets, net for developed technology and customer relationship and $21.1 million of goodwill acquired from SunPower pursuant to the Asset Purchase Agreement transaction with SunPower in August 2018 (the “SunPower APA”). We make assumptions and estimates in this assessment which are complex and often subjective. Our judgement and estimates can be affected by a variety of factors, including external factors such as industry and economic trends, and internal factors such as changes in our business strategy or our internal forecasts. To the extent that the factors described above change, we could be required to record additional non-cash impairment charges in the future, which could negatively affect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realize some or all of the anticipated benefits of the SunPower transaction which may result in conflicts between us and SunPower.</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Our ability to realize the anticipated benefits of the SunPower transaction will depend, to a large extent, on our ability to successfully execute the terms of the SunPower Master Supply Agreement (“MSA”), which is a complex and time-consuming process. Any delay, failure or breach of obligations under the MSA could adversely impact the expected benefits of the transaction and could otherwise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8" w:name="page39"/>
    <w:bookmarkEnd w:id="3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Additionally, in connection with the SunPower APA transaction, SunPower acquired 7.5 million shares of our common stock and has the right to designate one member of our board of directors. Through its share ownership and board seat, SunPower may have the ability to directly or indirectly influence our business, and conflicts may arise between us and SunPower regarding corporate priorities and strategic objectives. As of December 31, 2020, SunPower held 3.5 million shares of our common stock.</w:t>
      </w:r>
    </w:p>
    <w:p>
      <w:pPr>
        <w:spacing w:after="0" w:line="8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As part of growing our business, we have made and expect to continue to make acquisitions. If we fail to successfully select, execute or integrate our acquisitions, then our business and operating results could be harmed and our stock price could decline.</w:t>
      </w:r>
    </w:p>
    <w:p>
      <w:pPr>
        <w:spacing w:after="0" w:line="1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From time to time, we will undertake acquisitions to add new product lines and technologies, gain new sales channels or enter into new sales territories. For example, in January 2021, we acquired Sofdesk Inc., a cloud-based solar energy software company, to extend our solar offering through digital transformation, and on February 8, 2021 we announced our pending acquisition of the solar design services business of DIN Engineering Services LLP. Acquisitions involve numerous risks and challenges, including but not limited to the following:</w:t>
      </w:r>
    </w:p>
    <w:p>
      <w:pPr>
        <w:spacing w:after="0" w:line="47"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integrating the companies, assets, systems, products, sales channels and personnel that we acquire;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higher than anticipated acquisition and integration costs and expenses;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reliance on third parties to provide transition services for a period of time after closing to ensure an orderly transition of the business;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growing or maintaining revenues to justify the purchase price and the increased expenses associated with acquisitions;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entering into territories or markets with which we have limited or no prior experience;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establishing or maintaining business relationships with customers, vendors and suppliers who may be new to us;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overcoming the employee, customer, vendor and supplier turnover that may occur as a result of the acquisition;</w:t>
      </w:r>
    </w:p>
    <w:p>
      <w:pPr>
        <w:spacing w:after="0" w:line="51" w:lineRule="exact"/>
        <w:rPr>
          <w:rFonts w:ascii="Arial" w:cs="Arial" w:eastAsia="Arial" w:hAnsi="Arial"/>
          <w:sz w:val="14"/>
          <w:szCs w:val="14"/>
          <w:color w:val="auto"/>
        </w:rPr>
      </w:pPr>
    </w:p>
    <w:p>
      <w:pPr>
        <w:ind w:left="520" w:right="60" w:hanging="260"/>
        <w:spacing w:after="0" w:line="284"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disruption of, and demands on, our ongoing business as a result of integration activities including diversion of management's time and attention from running the day to day operations of our business;</w:t>
      </w: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inability to implement uniform standards, disclosure controls and procedures, internal controls over financial reporting and other procedures and policies in a timely manner;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inability to realize the anticipated benefits of or successfully integrate with our existing business the businesses, products, technologies or personnel that we acquire;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potential post-closing disputes.</w:t>
      </w:r>
    </w:p>
    <w:p>
      <w:pPr>
        <w:spacing w:after="0" w:line="94"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5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As part of the terms of an acquisition, we may commit to pay additional contingent consideration if certain revenue or other performance milestones are met. We are required to evaluate the fair value of such commitments at each reporting date and adjust the amount recorded if there are changes to the fair value.</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cannot ensure that we will be successful in selecting, executing and integrating acquisitions. Failure to manage and successfully integrate acquisitions could materially harm our business and operating results. In addition, if stock market analysts or our stockholders do not support or believe in the value of the acquisitions that we choose to undertake, our stock price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39" w:name="page40"/>
    <w:bookmarkEnd w:id="3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invest in companies for both strategic and financial reasons but may not realize a return on our investments</w:t>
      </w:r>
    </w:p>
    <w:p>
      <w:pPr>
        <w:spacing w:after="0" w:line="96"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We have made, and continue to seek to make, investments in companies around the world to further our strategic objectives and support our key business initiatives. These investments may include equity or debt instruments of public or private companies and may be non-marketable at the time of our initial investment. We do not restrict the types of companies in which we seek to invest. These companies may range from early-stage companies that are often still defining their strategic direction to more mature companies with established revenue streams and business models. If any company in which we invest fails, we could lose all or part of our investment in that company. If we determine that an other-than-temporary decline in the fair value exists for an equity or debt investment in a public or private company in which we have invested, we will have to write down the investment to its fair value and recognize the related write-down as an investment loss. The performance of any of these investments could result in significant impairment charges and gains (losses) on other equity investments. We must also analyze accounting and legal issues when making these investments. If we do not structure these investments properly, we may be subject to certain unfavorable accounting impact, such as potential consolidation of financial results.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Furthermore, if the strategic objectives of an investment have been achieved, or if the investment or business diverges from our strategic objectives, we may seek to dispose of the investment. Our non-marketable equity investments in private companies are not liquid, and we may not be able to dispose of these investments on favorable terms or at all. The occurrence of any of these events could harm our results. Gains or losses from equity securities could vary from expectations depending on gains or losses realized on the sale or exchange of securities and impairment charges related to debt instruments as well as equity and other investments.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Debt and Equity Securities</w:t>
      </w:r>
    </w:p>
    <w:p>
      <w:pPr>
        <w:spacing w:after="0" w:line="14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Conversion of our Convertible Notes may dilute the ownership interest of existing stockholders or may otherwise depress the price of our common stock, adversely affect our financial condition and operating results.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March 2020, we issued and sold a total of $320.0 million aggregate principal amount of our Notes due 2025 (the “Notes due 2025”).</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June 2019, we issued and sold a total of $132.0 million aggregate principal amount of our convertible senior notes due 2024 (the “Notes due 2024”).</w:t>
      </w:r>
    </w:p>
    <w:p>
      <w:pPr>
        <w:spacing w:after="0" w:line="94"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4"/>
          <w:szCs w:val="14"/>
          <w:color w:val="auto"/>
        </w:rPr>
        <w:t>In August 2018, we issued and sold a total of $65.0 million aggregate principal amount of our convertible senior notes due 2023 (the “Notes due 2023”) in a private placement to qualified institutional buyers and an affiliate of ours. In May 2019, we entered into separately and privately negotiated transactions with certain holders of the Notes due 2023 resulting in the repurchase and exchange of $60.0 million aggregate principal amount of the notes in consideration for the issuance of shares of common stock and separate cash payments.</w:t>
      </w:r>
    </w:p>
    <w:p>
      <w:pPr>
        <w:spacing w:after="0" w:line="221"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Conversion Condition for the Notes due 2024 was met for all quarters ended March 31, 2020 through December 31, 2020. Therefore, our Notes due 2024 became convertible at the holders’ option beginning on April 1, 2020 and continue to be convertible through March 31, 2021. Accordingly, we classified the net carrying amount of the Notes due 2024 of $69.0 million as debt, current on the consolidated balance sheet as of December 31, 2020. From January 1, 2021 through February 12, 2021, we have received the request for conversion of approximately $61.5 million in principal amount of our Notes due 2024, of which we have elected to settle the aggregate principal amount of the Notes due 2024 in a combination of cash and any excess in shares of our common stock in accordance with the applicable indenture. Such conversion will be settled in March 2021. We may purchase shares under the convertible note hedge to the extent shares of our common stock are issued for the additional conversion amount due over the principal amount. From January 1, 2021 through February 12, 2021, we had not purchased any shares under the convertible note hedge and the warrants had not been exercised and remain outstanding. If we receive additional requests for conversion from the holders of the Notes due 2024 to exercise their right to convert the debt to equity, we have asserted our intent and ability to settle the remaining $26.6 million aggregate principal amount of the Notes due 2024 in cash.</w:t>
      </w:r>
    </w:p>
    <w:p>
      <w:pPr>
        <w:spacing w:after="0" w:line="55"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Conversion Condition for the Notes due 2025 was met during the quarter ended December 31, 2020. Therefore, our Notes due 2025 became convertible at the holders’ option beginning on January 1, 2021 and continue to be convertible through March 31, 2021. Accordingly, we have classified the net carrying amount of the Notes due 2025 of $255.0 million as debt, current on the consolidated balance sheet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0" w:name="page41"/>
    <w:bookmarkEnd w:id="4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During the fourth quarter of 2020, holders converted $43.9 million in aggregate principal amount of the Notes due 2024, the principal amount of which was repaid in cash. Of the $43.9 million in aggregate principal amount, $38.5 million in aggregate principal amount was settled pursuant to an exchange agreement entered into in December 2020 with certain holders of Notes due 2024. In connection with the exchange agreement, we entered into partial unwind agreements to unwind a number of warrants exercisable under the hedging arrangements previously entered into in connection with the issuances of the Notes due 2024, and we issued approximately 2.1 million warrants on a net basis, resulting in a net issuance of approximately 1.9 million shares of our common stock to the holders with an aggregate fair value of $301.0 million, representing the conversion value in excess of the principal amount of the Notes due 2024, which were fully offset by shares received from our exercise of the associated note hedging arrangements discussed below. As of December 31, 2020, warrants exercisable to purchase a total of approximately 4.3 million shares remain outstanding. The total amount of $43.9 million paid to partially settle the Notes due 2024 was allocated between the liability and equity components of the amount extinguished by determining the fair value of the liability component immediately prior to the notes settlement and allocating that portion of the conversion price to the liability component in the amount of $37.2 million. The residual of the conversion price of $6.7 million was allocated to the equity component of the Notes due 2024 as a reduction of additional paid-in capital. The fair value of the notes settlement was calculated using a discount rate of 5.75%, representing an estimate of our borrowing rate at the date of repurchase with a remaining expected life of approximately 3.6 years. As part of the settlement, we wrote-off the $8.9 million unamortized debt discount and $0.8 million debt issuance cost apportioned to the principal amount of Notes due 2024 settled. We also recorded a loss on partial settlement of the Notes due 2024 of $3.0 million in other expense, net, representing the difference between the consideration attributed to the liability component and the sum of the net carrying amount of the liability component and unamortized debt issuance costs. As of December 31, 2020, $88.1 million aggregate principal amount of the Notes due 2024 remains outstanding.</w:t>
      </w:r>
    </w:p>
    <w:p>
      <w:pPr>
        <w:spacing w:after="0" w:line="5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may receive additional conversion requests that require settlement in the first quarter of 2021. If more holders elect to convert their Notes due 2024 and Notes due 2025 in future periods, we intend to settle all or a portion of our conversion obligation related to the aggregate principal amount in cash, which could adversely affect our liquidity and result in a material adverse effect on our financial position, results of operations and cash flows. In addition, to the extent we receive conversion requests, we may also record a loss on early conversions of the Notes due 2025 and Notes due 2025 converted by note holders based on the difference between the fair market value allocated to the liability component on the settlement date and the net carrying amount of the liability component and unamortized debt issuance on the settlement date.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2020,</w:t>
      </w:r>
    </w:p>
    <w:p>
      <w:pPr>
        <w:spacing w:after="0" w:line="94"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i w:val="1"/>
          <w:iCs w:val="1"/>
          <w:color w:val="auto"/>
        </w:rPr>
      </w:pPr>
      <w:r>
        <w:rPr>
          <w:rFonts w:ascii="Arial" w:cs="Arial" w:eastAsia="Arial" w:hAnsi="Arial"/>
          <w:sz w:val="14"/>
          <w:szCs w:val="14"/>
          <w:color w:val="auto"/>
        </w:rPr>
        <w:t>$320.0 million aggregate principal amount of the Notes due 2025 were outstanding; (the foregoing, collectively, the “Convertible Notes”);</w:t>
      </w:r>
    </w:p>
    <w:p>
      <w:pPr>
        <w:spacing w:after="0" w:line="93" w:lineRule="exact"/>
        <w:rPr>
          <w:rFonts w:ascii="Arial" w:cs="Arial" w:eastAsia="Arial" w:hAnsi="Arial"/>
          <w:sz w:val="14"/>
          <w:szCs w:val="14"/>
          <w:i w:val="1"/>
          <w:iCs w:val="1"/>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$88.1 million aggregate principal amount of the Notes due 2024 were outstanding;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$5.0 million aggregate principal amount of the Notes due 2023 were outstanding; (the foregoing, collectively, the “Convertible Notes”).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1" w:name="page42"/>
    <w:bookmarkEnd w:id="4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Servicing our debts requires a significant amount of cash, and we may not have sufficient cash flow from our business to pay our debts.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9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may not have the ability to raise the funds necessary to settle conversions of the Convertible Notes or repurchase the Convertible Note upon a fundamental change, and our future debt may contain limitations on our ability to pay cash upon conversion or repurchase of the Convertible Notes.</w:t>
      </w:r>
    </w:p>
    <w:p>
      <w:pPr>
        <w:spacing w:after="0" w:line="1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Holders of our Convertible Notes will have the right to require us to repurchase their Convertible Notes upon the occurrence of a fundamental change at a fundamental change repurchase price equal to 100% of the principal amount of the Convertible Notes to be repurchased, plus accrued and unpaid interest, if any. Fundamental change is defined in the Convertible Notes Indenture entered into in connection with the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such repurchase of the Convertible Notes. In addition, our ability to repurchase the Convertible Notes or to pay cash upon conversion of the Convertible Notes may be limited by law, by regulatory authority or by agreements governing our future indebtedness. Our failure to repurchase notes at a time when the repurchase is required by the relevant indenture or to pay any cash payable on future conversions of the notes as required by the relevant indenture would constitute a default under the relevant indenture. A default under the indenture or a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Notes or make cash payments upon conversion of the Convertible Notes.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convertible note hedge and warrant transactions and/or their early termination may affect the value of our common stock.</w:t>
      </w:r>
    </w:p>
    <w:p>
      <w:pPr>
        <w:spacing w:after="0" w:line="9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In connection with the offering of the Notes due 2025 and Notes due 2024, we entered into privately negotiated convertible note hedge transactions pursuant to which we have the option to purchase approximately the same number of shares of our common stock initially issuable upon conversion of the Notes due 2025 and Notes due 2024, at a price approximately the same as the initial conversion price of the Notes due 2025 and Notes due 2024. These transactions are expected to reduce the potential dilution with respect to our common stock upon conversion of the Notes due 2025 and Notes due 2024. Separately, we also entered into privately negotiated warrant transactions to acquire the same number of shares of our common stock initially issuable upon conversion of the Notes due 2025 and Notes due 2024 (subject to customary anti-dilution adjustments) at an initial strike price of approximately $81.54 per share and $25.23 per share for Notes due 2025 and Notes due 2024, respectively.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228"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2025 and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2" w:name="page43"/>
    <w:bookmarkEnd w:id="4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Changes in current accounting methods, standards, or regulations applicable to the Convertible Notes due 2025 and Notes due 2024 could have a material impact on our reported financial results, future financial results, future cash flows, and/or our stock price.</w:t>
      </w:r>
    </w:p>
    <w:p>
      <w:pPr>
        <w:spacing w:after="0" w:line="1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Under Accounting Standards Codification (“ASC”) 470-20, “Debt with Conversion and Other Options,” an entity must separately account for the host contract and conversion option associated with convertible debt instruments, such as the Notes due 2025 and Notes due 2024, that may be settled entirely or partially in cash upon conversion, in a manner that reflects the issuer’s economic interest cost. For Notes due 2024, conversion option meets the classification of an equity component, hence we have included the equity component in the additional paid-in capital section of stockholders’ equity on our condensed consolidated balance sheet at the issuance date. For Notes due 2025, conversion option met the classification of an embedded derivative liability, from March 9, 2020 to May 19, 2020, and hence we had included embedded derivative liability in the Debt, non-current on our condensed consolidated balance sheet at the issuance date. Effective upon the filing of an amendment to our certificate of incorporation on May 20, 2020, the conversion option of the Notes due 2025 met the classification of an equity component, hence we reclassified the embedded derivative liability in the Debt, non-current to additional paid-in capital section of stockholders’ equity on our condensed consolidated balance sheet on May 20, 2020. This change in fair value of derivatives has resulted in a charge recognized of $44.3 million for the year ended December 31, 2020. We have treated the value of the equity component and embedded derivative liability as debt discount for the host contract at the issuance date. We are required to amortize the debt discount as non-cash interest expense over the term of the Notes due 2025 and Notes due 2024, which could adversely affect our reported or future financial results or the trading price of our common stock.</w:t>
      </w:r>
    </w:p>
    <w:p>
      <w:pPr>
        <w:spacing w:after="0" w:line="5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addition, we use the treasury stock method for convertible debt instruments (such as the Notes due 2024 since the date of issuance and Notes due 2025 since May 20, 2020) that may be settled entirely or partly in cash, and the effect of which is that any shares issuable upon conversion of the notes are not included in the calculation of diluted earnings per share except to the extent that the conversion value of such notes exceeds their principal amount. In August 2020, the FASB issued Account Standard Update (“ASU”) 2020-06, “Debt - Debt with Conversion and Other Options (subtopic 470-20),” effective January 1, 2022, which requires a convertible debt instrument to be accounted for as a single liability measured at its amortized cost. Interest expense recorded in the consolidated statements of operations will be close to the coupon rate interest expense. Further, for the diluted earnings per share calculation, treasury stock method will no longer be permitted. The if-converted method will be used for the calculation of the diluted earnings per share calculation, when accounting for the shares issuable upon conversion of the Notes due 2024 and Notes due 2025, which will adversely affect our diluted earnings per share.</w:t>
      </w:r>
    </w:p>
    <w:p>
      <w:pPr>
        <w:spacing w:after="0" w:line="5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ASU 2016-15, “Statement of Cash Flows (Topic 230): Classification of Certain Cash Receipts and Cash Payments,” clarifies how certain cash receipts and payments should be classified in the statement of cash flows, including the cash settlement for our Notes due 2024 and Notes due 2025. Upon cash settlement, repayment of the principal amount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the debt discount totaling $36.4 million for Notes due 2024 and $68.7 million for Notes due 2025 of accreted interest as cash used in operating activities in our consolidated statement of cash flows upon cash settlement, if and when such cash settlement occurs prior to the adoption of ASU 2020-06 discussed above, which could adversely affect our future cash flow from operations. In our consolidated statement of cash flows for the year ended December 31, 2020, $3.1 million of the debt discount associated with the conversion of $43.9 million in aggregate principal amount of the Notes due 2024 was classified as cash used in operating activities.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be volatile or may decline regardless of our operating performance.</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market price of our common stock has been and could be subject to wide fluctuations in response to, among other things, the other risk factors described herein, and other factors beyond our control, such as quarterly variations in operating results, announcements of technology innovations or new products by us or our competitors, changes in financial estimates and recommendations by securities analysts, the operating and stock price performance of other companies that investors may deem comparable to us, and new reports relating to trends in our markets or general economic conditions.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regardless of our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341630</wp:posOffset>
            </wp:positionV>
            <wp:extent cx="69596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3" w:name="page44"/>
    <w:bookmarkEnd w:id="4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addition,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results may vary significantly from quarter to quarter due to a number of factors, which may lead to volatility in our stock price.</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Our quarterly revenue and results of operations have varied in the past and may continue to vary significantly from quarter to quarter. As a result, the trading price of our common stock has been, and is likely to continue to be, volatile and could be subject to wide fluctuations in response to various factors, some of which are beyond our control. In addition, the trading prices of the securities of solar companies in general have been highly volatile, and the volatility in market price and trading volume of securities is often unrelated or disproportionate to the financial performance of the companies issuing the securities. Factors affecting the market price of our common stock, some of which are beyond our control, include:</w:t>
      </w:r>
    </w:p>
    <w:p>
      <w:pPr>
        <w:spacing w:after="0" w:line="52" w:lineRule="exact"/>
        <w:rPr>
          <w:sz w:val="20"/>
          <w:szCs w:val="20"/>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seasonal and other fluctuations in demand for our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volume and product mix of sales of our products, which may have different average selling prices or profit margins;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our pricing and sales policies or the pricing and sales policies of our competitors;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impacts and the evolving effects of the ongoing COVID-19 pandemic on our business, sales and results of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design, manufacture and deliver products to our customers in a timely and cost-effective manner and that meet customer requirements;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manage our relationships with our contract manufacturers, customers and suppliers;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quality control or yield problems in our manufacturing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anticipation, announcement or introductions of new or enhanced products by our competitors and ourselves;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reductions in the retail price of electricity;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laws, regulations and policies applicable to our business and products, particularly those relating to government incentives for solar energy applications;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impact of tariffs on the solar industry in general and our products in particular;</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unanticipated increases in costs or expenses;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maintenance and expansion of our business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impact of government-sponsored programs on our customers;</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exposure to the credit risks of our customers, particularly in light of the fact that some of our customers are relatively new entrants to the solar market without long operating or credit histories and impacts of the COVID-19 pandemic they may experience;</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estimate future warranty obligations due to product failure rates, claim rates or replacement costs;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forecast our customer demand and manufacturing requirements, and manage our inventory;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fluctuations in our gross profit;</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predict our revenue and plan our expenses appropriately;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announcement of acquisitions or dispositions of our assets or business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issuances of our common stock or equity-linked securities such as the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4" w:name="page45"/>
    <w:bookmarkEnd w:id="4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our management;</w:t>
      </w:r>
    </w:p>
    <w:p>
      <w:pPr>
        <w:spacing w:after="0" w:line="93" w:lineRule="exact"/>
        <w:rPr>
          <w:rFonts w:ascii="Arial" w:cs="Arial" w:eastAsia="Arial" w:hAnsi="Arial"/>
          <w:sz w:val="14"/>
          <w:szCs w:val="14"/>
          <w:color w:val="auto"/>
        </w:rPr>
      </w:pPr>
    </w:p>
    <w:p>
      <w:pPr>
        <w:jc w:val="both"/>
        <w:ind w:left="640" w:hanging="253"/>
        <w:spacing w:after="0" w:line="267" w:lineRule="auto"/>
        <w:tabs>
          <w:tab w:leader="none" w:pos="63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technical factors in the public trading market for our common stock that may produce price movements that may or may not comport to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or other technical trading factors;</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general economic conditions and changes in such conditions specific to our target markets;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actions by research analysts, such as if they issue unfavorable commentary or downgrade our common stock or cease publishing reports about us or our business.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may not be able to raise additional capital to execute on our current or future business opportunities on favorable terms, if at all, or without dilution to our stockholders.</w:t>
      </w:r>
    </w:p>
    <w:p>
      <w:pPr>
        <w:spacing w:after="0" w:line="13"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27" w:lineRule="exact"/>
        <w:rPr>
          <w:sz w:val="20"/>
          <w:szCs w:val="20"/>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provide additional cash reserves to support our operations;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invest in our research and development efforts;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expand our operations into new product markets and new geographies;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acquire complementary businesses, products, services or technologies; or</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otherwise pursue our strategic plans and respond to competitive pressures, including adjustments to our business to mitigate the effects of any tariffs that might apply to us or our industry.</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Additionally, while we have not repurchased any shares under the plan, our Board of Directors has authorized the repurchase of up to $200.0 million of our common stock through open market purchases or through structured repurchase agreements with third parties. Such purchases are expected to continue through March 2022 unless otherwise extended or shortened by our Board of Directors.</w:t>
      </w:r>
    </w:p>
    <w:p>
      <w:pPr>
        <w:spacing w:after="0" w:line="4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5" w:name="page46"/>
    <w:bookmarkEnd w:id="4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affiliated stockholders, executive officers and directors collectively own, and will continue to own after giving effect to this offering, a significant percentage of our common stock. This significant concentration of share ownership may adversely affect the trading price for our common stock and the notes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in the public market by our existing stockholders could cause our stock price to fall.</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of the outstanding shares of our common stock are eligible for sale in the public market, subject in some cases to agreed limits on sale volumes and the volume limitations and manner of sale requirements of Rule 144 under the Securities Act of 1933, as amended (the “Securities Act”). Sales of stock by our stockholders could have a material adverse effect on the trading price of our common stock.</w:t>
      </w:r>
    </w:p>
    <w:p>
      <w:pPr>
        <w:spacing w:after="0" w:line="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For instance, in December in 2018, we filed a resale registration statement related to the approximately 7.5 million shares of our common stock that were issued to SunPower upon the closing of the APA transaction. Any sales of securities by SunPower or other stockholders with registration rights could have a material adverse effect on the trading price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Manipulative techniques employed by short sellers may drive down the market price of our common stock.</w:t>
      </w:r>
    </w:p>
    <w:p>
      <w:pPr>
        <w:spacing w:after="0" w:line="9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Short selling is the practice of selling securities that the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some short sellers publish, or arrange for the publication of, negative opinions regarding the issuer and its business prospects in order to create negative market momentum and generate profits for themselves after selling a stock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These short attacks have in the past led to stock price declines and significant selling activity in our common stock. Issuers with limited trading volumes or substantial retail shareholder bases can be particularly susceptible to higher volatility levels, and can be particularly vulnerable to such short attacks.</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Short seller publications are not regulated by any governmental, self-regulatory organization or other official authority in the U.S., are not subject to the certification requirements imposed by the SEC in Regulation Analyst Certification and,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have issued such reports on our stock and will likely continue to issue such reports. Such short-seller attacks may cause our stock to suffer a decline in market price.</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370840</wp:posOffset>
            </wp:positionV>
            <wp:extent cx="695960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6" w:name="page47"/>
    <w:bookmarkEnd w:id="4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charter documents and Delaware law could prevent a takeover that stockholders consider favorable and could also reduce the market price of our stock.</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27" w:lineRule="exact"/>
        <w:rPr>
          <w:sz w:val="20"/>
          <w:szCs w:val="20"/>
          <w:color w:val="auto"/>
        </w:rPr>
      </w:pPr>
    </w:p>
    <w:p>
      <w:pPr>
        <w:ind w:left="640" w:hanging="253"/>
        <w:spacing w:after="0" w:line="296" w:lineRule="auto"/>
        <w:tabs>
          <w:tab w:leader="none" w:pos="636"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providing for a classified board of directors with staggered, three-year terms, which could delay the ability of stockholders to change the membership of a majority of our board of directors;</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not providing for cumulative voting in the election of directors, which limits the ability of minority stockholders to elect director candidates;</w:t>
      </w:r>
    </w:p>
    <w:p>
      <w:pPr>
        <w:spacing w:after="0" w:line="93"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authorizing our board of directors to issue, without stockholder approval, preferred stock rights senior to those of common stock, which could be used to significantly dilute the ownership of a hostile acquiror;</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prohibiting stockholder action by written consent, which forces stockholder action to be taken at an annual or special meeting of our stockholders;</w:t>
      </w:r>
    </w:p>
    <w:p>
      <w:pPr>
        <w:spacing w:after="0" w:line="93" w:lineRule="exact"/>
        <w:rPr>
          <w:rFonts w:ascii="Arial" w:cs="Arial" w:eastAsia="Arial" w:hAnsi="Arial"/>
          <w:sz w:val="14"/>
          <w:szCs w:val="14"/>
          <w:color w:val="auto"/>
        </w:rPr>
      </w:pPr>
    </w:p>
    <w:p>
      <w:pPr>
        <w:jc w:val="both"/>
        <w:ind w:left="640" w:hanging="253"/>
        <w:spacing w:after="0" w:line="267" w:lineRule="auto"/>
        <w:tabs>
          <w:tab w:leader="none" w:pos="636"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47"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27"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2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Risks Related to our Business</w:t>
      </w:r>
    </w:p>
    <w:p>
      <w:pPr>
        <w:spacing w:after="0" w:line="140" w:lineRule="exact"/>
        <w:rPr>
          <w:sz w:val="20"/>
          <w:szCs w:val="20"/>
          <w:color w:val="auto"/>
        </w:rPr>
      </w:pPr>
    </w:p>
    <w:p>
      <w:pPr>
        <w:jc w:val="both"/>
        <w:spacing w:after="0" w:line="305" w:lineRule="auto"/>
        <w:rPr>
          <w:sz w:val="20"/>
          <w:szCs w:val="20"/>
          <w:color w:val="auto"/>
        </w:rPr>
      </w:pPr>
      <w:r>
        <w:rPr>
          <w:rFonts w:ascii="Arial" w:cs="Arial" w:eastAsia="Arial" w:hAnsi="Arial"/>
          <w:sz w:val="14"/>
          <w:szCs w:val="14"/>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1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Our worldwide operations could be subject to natural disasters, public health events and other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wildfires. We rely on third-party manufacturing facilities including for all product assembly and final testing of our products, which are performed at third-party manufacturing facilities, in China, Mexico and India. There may be conflict or uncertainty in the countries in which we operate, including public health issues (for example, the ongoing COVID-19 pandemic or an outbreak of other contagious diseases or health epidemics), safety issues, natural disasters, fire, disruptions of service from utilities, nuclear power plant accidents or general economic or political factors. Such risks could result in an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7" w:name="page48"/>
    <w:bookmarkEnd w:id="4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4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Further, any terrorist attacks, material disruption to our information technology systems or any data security breaches, including due to cyber-attacks, especially any aimed at energy or communications infrastructure suppliers or our cloud-based monitoring service, could hinder or delay the development and sale or performance of our products or otherwise adverse affect us. Such significant disruptions of our, our third party vendors’ and/or business partners’ information technology systems or data security breaches, including in our remote work environment as a result of COVID-19,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customers,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5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the event that natural disasters,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threat of global economic, capital markets and credit disruptions, including sovereign debt issues, pose risks to our business.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threat of global economic, capital markets and credit disruptions pose risks to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8" w:name="page49"/>
    <w:bookmarkEnd w:id="4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31"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potential tax liabilities.</w:t>
      </w:r>
    </w:p>
    <w:p>
      <w:pPr>
        <w:spacing w:after="0" w:line="9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We are subject to income tax, indirect tax or other tax claims by tax agencies in jurisdictions in which we conduct business. Significant judgment is required in determining our worldwide provision for income taxes. Tax laws are dynamic and subject to change as new laws are passed and new interpretations of the law are issued or applied. The Tax Cuts and Jobs Act of 2017 (the “Tax Reform Act”) contained many significant changes to the U.S. federal income tax laws, the consequences of which could have a material impact on the value of our deferred tax assets and could increase our future U.S. income tax expense. As additional guidance is issued by the applicable taxing authorities and as new accounting treatment is clarified, we may report additional adjustments in the period if new information becomes available. We have a significant amount of deferred tax assets and a portion of the deferred tax assets related to net operating losses or tax credits could be subject to limitations under the Code Sections 382 or 383, separate return limitation year rules. The limitations could reduce our ability to utilize our net operating losses or tax credits before the expiration of the tax attributes. Tax law changes or the limitations could be material and could materially affect our tax obligations and effective tax rate.</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(loss) in the period or periods for which that determination is made.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has been and could continue to be affected by seasonal trends and construction cycles</w:t>
      </w:r>
      <w:r>
        <w:rPr>
          <w:rFonts w:ascii="Arial" w:cs="Arial" w:eastAsia="Arial" w:hAnsi="Arial"/>
          <w:sz w:val="14"/>
          <w:szCs w:val="14"/>
          <w:color w:val="auto"/>
        </w:rPr>
        <w:t>.</w:t>
      </w:r>
    </w:p>
    <w:p>
      <w:pPr>
        <w:spacing w:after="0" w:line="94"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have been and could continue to be subject to industry-specific seasonal fluctuations. Historically, the majority of our revenues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In the U.S.,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9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1B.</w:t>
        <w:tab/>
        <w:t>Unresolved Staff Comments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49" w:name="page50"/>
    <w:bookmarkEnd w:id="4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details for each of our principal properties: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gridSpan w:val="2"/>
          </w:tcPr>
          <w:p>
            <w:pPr>
              <w:ind w:left="1580"/>
              <w:spacing w:after="0"/>
              <w:rPr>
                <w:sz w:val="20"/>
                <w:szCs w:val="20"/>
                <w:color w:val="auto"/>
              </w:rPr>
            </w:pPr>
            <w:r>
              <w:rPr>
                <w:rFonts w:ascii="Arial" w:cs="Arial" w:eastAsia="Arial" w:hAnsi="Arial"/>
                <w:sz w:val="13"/>
                <w:szCs w:val="13"/>
                <w:b w:val="1"/>
                <w:bCs w:val="1"/>
                <w:color w:val="auto"/>
              </w:rPr>
              <w:t>Facility</w:t>
            </w:r>
          </w:p>
        </w:tc>
        <w:tc>
          <w:tcPr>
            <w:tcW w:w="1920" w:type="dxa"/>
            <w:vAlign w:val="bottom"/>
            <w:gridSpan w:val="2"/>
          </w:tcPr>
          <w:p>
            <w:pPr>
              <w:ind w:left="640"/>
              <w:spacing w:after="0"/>
              <w:rPr>
                <w:sz w:val="20"/>
                <w:szCs w:val="20"/>
                <w:color w:val="auto"/>
              </w:rPr>
            </w:pPr>
            <w:r>
              <w:rPr>
                <w:rFonts w:ascii="Arial" w:cs="Arial" w:eastAsia="Arial" w:hAnsi="Arial"/>
                <w:sz w:val="13"/>
                <w:szCs w:val="13"/>
                <w:b w:val="1"/>
                <w:bCs w:val="1"/>
                <w:color w:val="auto"/>
              </w:rPr>
              <w:t>Location</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Held</w:t>
            </w:r>
          </w:p>
        </w:tc>
        <w:tc>
          <w:tcPr>
            <w:tcW w:w="1920" w:type="dxa"/>
            <w:vAlign w:val="bottom"/>
            <w:gridSpan w:val="2"/>
          </w:tcPr>
          <w:p>
            <w:pPr>
              <w:ind w:left="40"/>
              <w:spacing w:after="0"/>
              <w:rPr>
                <w:sz w:val="20"/>
                <w:szCs w:val="20"/>
                <w:color w:val="auto"/>
              </w:rPr>
            </w:pPr>
            <w:r>
              <w:rPr>
                <w:rFonts w:ascii="Arial" w:cs="Arial" w:eastAsia="Arial" w:hAnsi="Arial"/>
                <w:sz w:val="13"/>
                <w:szCs w:val="13"/>
                <w:b w:val="1"/>
                <w:bCs w:val="1"/>
                <w:color w:val="auto"/>
              </w:rPr>
              <w:t>Approximate Square Footage</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8"/>
              </w:rPr>
              <w:t>Lease end term</w:t>
            </w:r>
          </w:p>
        </w:tc>
      </w:tr>
      <w:tr>
        <w:trPr>
          <w:trHeight w:val="160"/>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Corporate headquarters</w:t>
            </w: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Fremont, U.S.</w:t>
            </w: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Leased</w:t>
            </w: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40,446</w:t>
            </w: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Sep-2025</w:t>
            </w:r>
          </w:p>
        </w:tc>
      </w:tr>
      <w:tr>
        <w:trPr>
          <w:trHeight w:val="170"/>
        </w:trPr>
        <w:tc>
          <w:tcPr>
            <w:tcW w:w="3680" w:type="dxa"/>
            <w:vAlign w:val="bottom"/>
            <w:gridSpan w:val="2"/>
          </w:tcPr>
          <w:p>
            <w:pPr>
              <w:ind w:left="20"/>
              <w:spacing w:after="0"/>
              <w:rPr>
                <w:sz w:val="20"/>
                <w:szCs w:val="20"/>
                <w:color w:val="auto"/>
              </w:rPr>
            </w:pPr>
            <w:r>
              <w:rPr>
                <w:rFonts w:ascii="Arial" w:cs="Arial" w:eastAsia="Arial" w:hAnsi="Arial"/>
                <w:sz w:val="13"/>
                <w:szCs w:val="13"/>
                <w:color w:val="auto"/>
              </w:rPr>
              <w:t>Customer service support</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Boise, U.S.</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tcPr>
          <w:p>
            <w:pPr>
              <w:jc w:val="center"/>
              <w:spacing w:after="0"/>
              <w:rPr>
                <w:sz w:val="20"/>
                <w:szCs w:val="20"/>
                <w:color w:val="auto"/>
              </w:rPr>
            </w:pPr>
            <w:r>
              <w:rPr>
                <w:rFonts w:ascii="Arial" w:cs="Arial" w:eastAsia="Arial" w:hAnsi="Arial"/>
                <w:sz w:val="13"/>
                <w:szCs w:val="13"/>
                <w:color w:val="auto"/>
              </w:rPr>
              <w:t>24,688</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9"/>
              </w:rPr>
              <w:t>Jan-2027</w:t>
            </w:r>
          </w:p>
        </w:tc>
      </w:tr>
      <w:tr>
        <w:trPr>
          <w:trHeight w:val="1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Administrative office and R&amp;D facility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Petaluma, U.S.</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141,231</w:t>
            </w: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Aug-2022</w:t>
            </w:r>
          </w:p>
        </w:tc>
      </w:tr>
      <w:tr>
        <w:trPr>
          <w:trHeight w:val="170"/>
        </w:trPr>
        <w:tc>
          <w:tcPr>
            <w:tcW w:w="3680" w:type="dxa"/>
            <w:vAlign w:val="bottom"/>
            <w:gridSpan w:val="2"/>
          </w:tcPr>
          <w:p>
            <w:pPr>
              <w:ind w:left="20"/>
              <w:spacing w:after="0"/>
              <w:rPr>
                <w:sz w:val="20"/>
                <w:szCs w:val="20"/>
                <w:color w:val="auto"/>
              </w:rPr>
            </w:pPr>
            <w:r>
              <w:rPr>
                <w:rFonts w:ascii="Arial" w:cs="Arial" w:eastAsia="Arial" w:hAnsi="Arial"/>
                <w:sz w:val="13"/>
                <w:szCs w:val="13"/>
                <w:color w:val="auto"/>
              </w:rPr>
              <w:t>R&amp;D facility</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San Jose, U.S</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tcPr>
          <w:p>
            <w:pPr>
              <w:jc w:val="center"/>
              <w:spacing w:after="0"/>
              <w:rPr>
                <w:sz w:val="20"/>
                <w:szCs w:val="20"/>
                <w:color w:val="auto"/>
              </w:rPr>
            </w:pPr>
            <w:r>
              <w:rPr>
                <w:rFonts w:ascii="Arial" w:cs="Arial" w:eastAsia="Arial" w:hAnsi="Arial"/>
                <w:sz w:val="13"/>
                <w:szCs w:val="13"/>
                <w:color w:val="auto"/>
              </w:rPr>
              <w:t>25,720</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6"/>
              </w:rPr>
              <w:t>Mar-2031</w:t>
            </w:r>
          </w:p>
        </w:tc>
      </w:tr>
      <w:tr>
        <w:trPr>
          <w:trHeight w:val="1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Global support office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India</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67,000</w:t>
            </w: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May-2024</w:t>
            </w:r>
          </w:p>
        </w:tc>
      </w:tr>
      <w:tr>
        <w:trPr>
          <w:trHeight w:val="170"/>
        </w:trPr>
        <w:tc>
          <w:tcPr>
            <w:tcW w:w="3680" w:type="dxa"/>
            <w:vAlign w:val="bottom"/>
            <w:gridSpan w:val="2"/>
          </w:tcPr>
          <w:p>
            <w:pPr>
              <w:ind w:left="20"/>
              <w:spacing w:after="0"/>
              <w:rPr>
                <w:sz w:val="20"/>
                <w:szCs w:val="20"/>
                <w:color w:val="auto"/>
              </w:rPr>
            </w:pPr>
            <w:r>
              <w:rPr>
                <w:rFonts w:ascii="Arial" w:cs="Arial" w:eastAsia="Arial" w:hAnsi="Arial"/>
                <w:sz w:val="13"/>
                <w:szCs w:val="13"/>
                <w:color w:val="auto"/>
              </w:rPr>
              <w:t>Marketing and sales support</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France</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tcPr>
          <w:p>
            <w:pPr>
              <w:jc w:val="center"/>
              <w:spacing w:after="0"/>
              <w:rPr>
                <w:sz w:val="20"/>
                <w:szCs w:val="20"/>
                <w:color w:val="auto"/>
              </w:rPr>
            </w:pPr>
            <w:r>
              <w:rPr>
                <w:rFonts w:ascii="Arial" w:cs="Arial" w:eastAsia="Arial" w:hAnsi="Arial"/>
                <w:sz w:val="13"/>
                <w:szCs w:val="13"/>
                <w:color w:val="auto"/>
                <w:w w:val="98"/>
              </w:rPr>
              <w:t>2,820</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9"/>
              </w:rPr>
              <w:t>Nov-2026</w:t>
            </w:r>
          </w:p>
        </w:tc>
      </w:tr>
      <w:tr>
        <w:trPr>
          <w:trHeight w:val="1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R&amp;D facility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Zealand</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23,573</w:t>
            </w: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Oct-2025</w:t>
            </w:r>
          </w:p>
        </w:tc>
      </w:tr>
      <w:tr>
        <w:trPr>
          <w:trHeight w:val="171"/>
        </w:trPr>
        <w:tc>
          <w:tcPr>
            <w:tcW w:w="3680" w:type="dxa"/>
            <w:vAlign w:val="bottom"/>
            <w:gridSpan w:val="2"/>
          </w:tcPr>
          <w:p>
            <w:pPr>
              <w:ind w:left="20"/>
              <w:spacing w:after="0"/>
              <w:rPr>
                <w:sz w:val="20"/>
                <w:szCs w:val="20"/>
                <w:color w:val="auto"/>
              </w:rPr>
            </w:pPr>
            <w:r>
              <w:rPr>
                <w:rFonts w:ascii="Arial" w:cs="Arial" w:eastAsia="Arial" w:hAnsi="Arial"/>
                <w:sz w:val="13"/>
                <w:szCs w:val="13"/>
                <w:color w:val="auto"/>
              </w:rPr>
              <w:t>Marketing and sales support</w:t>
            </w: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Australia</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Leased</w:t>
            </w:r>
          </w:p>
        </w:tc>
        <w:tc>
          <w:tcPr>
            <w:tcW w:w="1840" w:type="dxa"/>
            <w:vAlign w:val="bottom"/>
          </w:tcPr>
          <w:p>
            <w:pPr>
              <w:jc w:val="center"/>
              <w:spacing w:after="0"/>
              <w:rPr>
                <w:sz w:val="20"/>
                <w:szCs w:val="20"/>
                <w:color w:val="auto"/>
              </w:rPr>
            </w:pPr>
            <w:r>
              <w:rPr>
                <w:rFonts w:ascii="Arial" w:cs="Arial" w:eastAsia="Arial" w:hAnsi="Arial"/>
                <w:sz w:val="13"/>
                <w:szCs w:val="13"/>
                <w:color w:val="auto"/>
                <w:w w:val="98"/>
              </w:rPr>
              <w:t>2,931</w:t>
            </w:r>
          </w:p>
        </w:tc>
        <w:tc>
          <w:tcPr>
            <w:tcW w:w="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9"/>
              </w:rPr>
              <w:t>Dec-2022</w:t>
            </w:r>
          </w:p>
        </w:tc>
      </w:tr>
    </w:tbl>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3, we are not currently involved in any material legal proceedings, the ultimate disposition of which could have a material adverse effect on our operations, financial condition, 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 Action Suit</w:t>
      </w:r>
    </w:p>
    <w:p>
      <w:pPr>
        <w:spacing w:after="0" w:line="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or about June 17, 2020, Gregory A. Hurst (“Plaintiff”) filed a securities class action lawsuit against our company, our chief executive officer and our chief financial officer (collectively, the "Defendants") in the United States District Court for the Northern District of California on behalf of a class consisting of those individuals who purchased or otherwise acquired our common stock between February 26, 2019 and June 17, 2020 (the “Hurst Action”). The complaint alleges that the Defendants made false and/or misleading statements in violation of Sections 10(b) and 20(a) of the Exchange Act of 1934 and Rule 10b-5 promulgated thereunder. Plaintiff does not quantify any alleged damages in his complaint but, in addition to attorneys' fees and costs, he seeks to recover damages on behalf of himself and other persons who purchased or otherwise acquired our stock during the putative class period at allegedly inflated prices and purportedly suffered financial harm as a result. The court appointed Plaintiff as the Lead Plaintiff on November 30, 2020. On December 7, 2020, the court granted the parties’ stipulation setting the schedule for the filing of an amended complaint and Defendants’ anticipated motion to dismiss. On January 22, 2021, Plaintiff filed an amended complaint against Defendants asserting substantially the same allegations as the original complaint purportedly on behalf of individuals who purchased or otherwise acquired Enphase common stock between February 26, 2019 and June 16, 2020. We dispute all allegations, intend to defend the matter vigorously and believe the claims are without merit.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Action Suit</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On or about July 10, 2020, Yan Shen filed a verified shareholder derivative lawsuit captioned </w:t>
      </w:r>
      <w:r>
        <w:rPr>
          <w:rFonts w:ascii="Arial" w:cs="Arial" w:eastAsia="Arial" w:hAnsi="Arial"/>
          <w:sz w:val="14"/>
          <w:szCs w:val="14"/>
          <w:i w:val="1"/>
          <w:iCs w:val="1"/>
          <w:color w:val="auto"/>
        </w:rPr>
        <w:t>Shen v. Kothandaraman, et al.</w:t>
      </w:r>
      <w:r>
        <w:rPr>
          <w:rFonts w:ascii="Arial" w:cs="Arial" w:eastAsia="Arial" w:hAnsi="Arial"/>
          <w:sz w:val="14"/>
          <w:szCs w:val="14"/>
          <w:color w:val="auto"/>
        </w:rPr>
        <w:t>, in the United States District Court for the Northern District of California against Badrinarayanan Kothandaraman, Eric Branderiz, Mandy Yang, Steven J. Gomo, Benjamin Kortlang, Richard Mora, Thurman J. Rodgers, and Enphase Energy, Inc. (nominal defendant) alleging breaches of fiduciary duties, unjust enrichment, abuse of control, gross mismanagement, waste, and violations of Section 14(a) under the Exchange Act of 1934 (the “Shen Action”). The plaintiff does not quantify any alleged damages in the complaint, but in addition to attorneys’ fees and costs, seeks a proposal to strengthen the Board’s supervision of operations and shareholder input into the policies and guidelines of the Board; to permit our shareholders to nominate at least three candidates for election to the Board; and to ensure the establishment of effective oversight of compliance with applicable laws, rules, and regulations; and restitution from the individual defendants. On September 24, 2020, the court entered an order staying the derivative action until all motions to dismiss the securities class action are decided.</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 xml:space="preserve">On October 28, 2020, Benjamin Weber filed a verified shareholder derivative lawsuit captioned </w:t>
      </w:r>
      <w:r>
        <w:rPr>
          <w:rFonts w:ascii="Arial" w:cs="Arial" w:eastAsia="Arial" w:hAnsi="Arial"/>
          <w:sz w:val="14"/>
          <w:szCs w:val="14"/>
          <w:i w:val="1"/>
          <w:iCs w:val="1"/>
          <w:color w:val="auto"/>
        </w:rPr>
        <w:t>Weber v. Kothandaraman, et al.</w:t>
      </w:r>
      <w:r>
        <w:rPr>
          <w:rFonts w:ascii="Arial" w:cs="Arial" w:eastAsia="Arial" w:hAnsi="Arial"/>
          <w:sz w:val="14"/>
          <w:szCs w:val="14"/>
          <w:color w:val="auto"/>
        </w:rPr>
        <w:t>, in the United States District Court for the Northern District of California against Badrinarayanan Kothandaraman, Eric Branderiz, Mandy Yang, Steven J. Gomo, Benjamin Kortlang, Richard Mora, Thurman J. Rodgers, and Enphase Energy, Inc. (nominal defendant) containing substantially the same allegations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0" w:name="page51"/>
    <w:bookmarkEnd w:id="5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as those in the Shen Action (the “Weber Action”). On November 20, 2020, the court consolidated the Shen and Weber Actions, ordered them related to the Hurst Action, and ordered the terms of the stay previously entered in the Shen Action to apply to the newly consolidated action under Lead Case No. 3:20-cv-04623-BLF (the “Consolidated Derivative Action”) and all subsequently filed derivative lawsuits arising out of substantially the same allegations as the Consolidated Derivative Action.</w:t>
      </w:r>
    </w:p>
    <w:p>
      <w:pPr>
        <w:spacing w:after="0" w:line="4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 xml:space="preserve">On November 18, 2020, Anthony R. Buch filed a verified shareholder derivative lawsuit captioned </w:t>
      </w:r>
      <w:r>
        <w:rPr>
          <w:rFonts w:ascii="Arial" w:cs="Arial" w:eastAsia="Arial" w:hAnsi="Arial"/>
          <w:sz w:val="14"/>
          <w:szCs w:val="14"/>
          <w:i w:val="1"/>
          <w:iCs w:val="1"/>
          <w:color w:val="auto"/>
        </w:rPr>
        <w:t>Buch v. Kothandaraman, et al.</w:t>
      </w:r>
      <w:r>
        <w:rPr>
          <w:rFonts w:ascii="Arial" w:cs="Arial" w:eastAsia="Arial" w:hAnsi="Arial"/>
          <w:sz w:val="14"/>
          <w:szCs w:val="14"/>
          <w:color w:val="auto"/>
        </w:rPr>
        <w:t>, in the United States District Court for the Northern District of California against Badrinarayanan Kothandaraman, Eric Branderiz, Mandy Yang, Steven J. Gomo, Benjamin Kortlang, Richard Mora, Thurman J. Rodgers, and Enphase Energy, Inc. (nominal defendant) containing substantially the same allegations as those in the Consolidated Derivative Action (the “Buch Action”). On December 2, 2020, the court granted the parties stipulation to consolidate the Buch Action with the Consolidated Derivative Action.</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 xml:space="preserve">On December 9, 2020, Frank Caggiano filed a verified shareholder derivative lawsuit captioned </w:t>
      </w:r>
      <w:r>
        <w:rPr>
          <w:rFonts w:ascii="Arial" w:cs="Arial" w:eastAsia="Arial" w:hAnsi="Arial"/>
          <w:sz w:val="14"/>
          <w:szCs w:val="14"/>
          <w:i w:val="1"/>
          <w:iCs w:val="1"/>
          <w:color w:val="auto"/>
        </w:rPr>
        <w:t>Caggiano v. Kothandaraman, et al.</w:t>
      </w:r>
      <w:r>
        <w:rPr>
          <w:rFonts w:ascii="Arial" w:cs="Arial" w:eastAsia="Arial" w:hAnsi="Arial"/>
          <w:sz w:val="14"/>
          <w:szCs w:val="14"/>
          <w:color w:val="auto"/>
        </w:rPr>
        <w:t>, in the United States District Court for the Northern District of California against Badrinarayanan Kothandaraman, Eric Branderiz, Mandy Yang, Steven J. Gomo, Benjamin Kortlang, Richard Mora, Thurman J. Rodgers, and Enphase Energy, Inc. (nominal defendant) containing substantially the same allegations as those in the Consolidated Derivative Action (the “Caggiano Action”). On December 24, 2020, the court granted the parties stipulation to consolidate the Caggiano Action with the Consolidated Derivative Action.</w:t>
      </w:r>
    </w:p>
    <w:p>
      <w:pPr>
        <w:spacing w:after="0" w:line="47" w:lineRule="exact"/>
        <w:rPr>
          <w:sz w:val="20"/>
          <w:szCs w:val="20"/>
          <w:color w:val="auto"/>
        </w:rPr>
      </w:pPr>
    </w:p>
    <w:p>
      <w:pPr>
        <w:ind w:right="600" w:firstLine="382"/>
        <w:spacing w:after="0" w:line="379" w:lineRule="auto"/>
        <w:rPr>
          <w:sz w:val="20"/>
          <w:szCs w:val="20"/>
          <w:color w:val="auto"/>
        </w:rPr>
      </w:pPr>
      <w:r>
        <w:rPr>
          <w:rFonts w:ascii="Arial" w:cs="Arial" w:eastAsia="Arial" w:hAnsi="Arial"/>
          <w:sz w:val="14"/>
          <w:szCs w:val="14"/>
          <w:color w:val="auto"/>
        </w:rPr>
        <w:t xml:space="preserve">We dispute the allegations in each of the above-reference derivative lawsuits, and we intend to defend the matter vigorously and believe the claims are without merit. </w:t>
      </w:r>
      <w:r>
        <w:rPr>
          <w:rFonts w:ascii="Arial" w:cs="Arial" w:eastAsia="Arial" w:hAnsi="Arial"/>
          <w:sz w:val="14"/>
          <w:szCs w:val="14"/>
          <w:b w:val="1"/>
          <w:bCs w:val="1"/>
          <w:i w:val="1"/>
          <w:iCs w:val="1"/>
          <w:color w:val="auto"/>
        </w:rPr>
        <w:t>Books and Records Suit</w:t>
      </w:r>
    </w:p>
    <w:p>
      <w:pPr>
        <w:spacing w:after="0" w:line="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On September 15, 2020, Stanley Olochwoszcz filed a lawsuit against our company in the Court of Chancery of the State of Delaware pursuant to Section 220 of the Delaware General Corporation Law, 8 Del. C. § 220, to compel the company to permit Mr. Olochwoszcz to inspect certain of our books and records (the “Section 220 Litigation”). The complaint alleges that our company has wrongfully refused to produce documents in response to Mr. Olochwoszcz’s demand and seeks a court order compelling us to permit inspection and copying of certain of our books and records, as well as costs and expenses, including attorneys’ fees, related to the lawsuit. We have also received similar demands for inspection of our books and records from four other company stockholders.</w:t>
      </w:r>
    </w:p>
    <w:p>
      <w:pPr>
        <w:spacing w:after="0" w:line="5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February 4, 2021, Mr. Olochwoszcz and three other demanding stockholders—Teamsters Local 677 Health Services &amp; Insurance Plan, Saratoga Advantage Trust Small Capitalization Portfolio and Leo Schumacher—filed in the Section 220 Litigation a stipulation to intervene on a limited basis. The parties agreed to the limited intervention, a confidentiality agreement, and a stay of the Section 220 Litigation in connection with a document production agreement between the Company and four of the five demanding stockholders. Pursuant to the stay agreement, the Section 220 Litigation will be stayed to allow the parties to explore the resolution of the demands.</w:t>
      </w:r>
    </w:p>
    <w:p>
      <w:pPr>
        <w:spacing w:after="0" w:line="4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4"/>
          <w:szCs w:val="14"/>
          <w:color w:val="auto"/>
        </w:rPr>
        <w:t>The pending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in the defense of the pending lawsuits and any additional lawsuits, and we may not prevail. In addition, we may incur substantial legal fees and costs in connection with such lawsuits.</w:t>
      </w:r>
    </w:p>
    <w:p>
      <w:pPr>
        <w:spacing w:after="0" w:line="126"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1" w:name="page52"/>
    <w:bookmarkEnd w:id="5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5.</w:t>
        <w:tab/>
        <w:t>Market for the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96" w:lineRule="exact"/>
        <w:rPr>
          <w:sz w:val="20"/>
          <w:szCs w:val="20"/>
          <w:color w:val="auto"/>
        </w:rPr>
      </w:pPr>
    </w:p>
    <w:p>
      <w:pPr>
        <w:ind w:right="1680" w:firstLine="382"/>
        <w:spacing w:after="0" w:line="411" w:lineRule="auto"/>
        <w:rPr>
          <w:sz w:val="20"/>
          <w:szCs w:val="20"/>
          <w:color w:val="auto"/>
        </w:rPr>
      </w:pPr>
      <w:r>
        <w:rPr>
          <w:rFonts w:ascii="Arial" w:cs="Arial" w:eastAsia="Arial" w:hAnsi="Arial"/>
          <w:sz w:val="14"/>
          <w:szCs w:val="14"/>
          <w:color w:val="auto"/>
        </w:rPr>
        <w:t xml:space="preserve">Our common stock, $0.00001 par value per share, has been traded on The Nasdaq Global Market under the symbol “ENPH” since March 30, 2012. </w:t>
      </w:r>
      <w:r>
        <w:rPr>
          <w:rFonts w:ascii="Arial" w:cs="Arial" w:eastAsia="Arial" w:hAnsi="Arial"/>
          <w:sz w:val="14"/>
          <w:szCs w:val="14"/>
          <w:b w:val="1"/>
          <w:bCs w:val="1"/>
          <w:color w:val="auto"/>
        </w:rPr>
        <w:t>Holders</w:t>
      </w:r>
    </w:p>
    <w:p>
      <w:pPr>
        <w:jc w:val="both"/>
        <w:ind w:firstLine="382"/>
        <w:spacing w:after="0" w:line="274" w:lineRule="auto"/>
        <w:rPr>
          <w:sz w:val="20"/>
          <w:szCs w:val="20"/>
          <w:color w:val="auto"/>
        </w:rPr>
      </w:pPr>
      <w:r>
        <w:rPr>
          <w:rFonts w:ascii="Arial" w:cs="Arial" w:eastAsia="Arial" w:hAnsi="Arial"/>
          <w:sz w:val="14"/>
          <w:szCs w:val="14"/>
          <w:color w:val="auto"/>
        </w:rPr>
        <w:t>As of February 8, 2021, there were approximately 19 holders of record of our common stock,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have never paid any cash dividends on our common stock. We currently anticipate that we will retain any available funds to invest in the growth and operation of our business and we do not anticipate paying any cash dividends in the foreseeable future.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 and Issuer Repurchases of Securities</w:t>
      </w:r>
    </w:p>
    <w:p>
      <w:pPr>
        <w:spacing w:after="0" w:line="96"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4"/>
          <w:szCs w:val="14"/>
          <w:color w:val="auto"/>
        </w:rPr>
        <w:t>Except as previously reported in our quarterly reports on Form 10-Q and current reports on Form 8-K filed with the SEC during the year ended December 31, 2020, there were no unregistered sales of equity securities by us during the year ended December 31, 2020.</w:t>
      </w:r>
    </w:p>
    <w:p>
      <w:pPr>
        <w:spacing w:after="0" w:line="2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 April 2020, our board of directors authorized the repurchase of up to $200.0 million of our common stock, exclusive of brokerage commissions. Purchases will be completed from time to time in the open market or through structured repurchase agreements with third parties. Such purchases are expected to continue through March 2022 unless otherwise extended or shortened by our board of directors. The timing and amount of repurchases will depend on a variety of factors, including the price of our common stock compared to the intrinsic value, alternative investment opportunities, corporate and regulatory requirements and market conditions. As of December 31, 2020, we have not repurchased any shares under this repurchase program.</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following table provides information about our purchases of our common stock during the three months ended December 31, 2020 (in thousands, except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700" w:type="dxa"/>
            <w:vAlign w:val="bottom"/>
            <w:gridSpan w:val="2"/>
          </w:tcPr>
          <w:p>
            <w:pPr>
              <w:ind w:left="940"/>
              <w:spacing w:after="0"/>
              <w:rPr>
                <w:sz w:val="20"/>
                <w:szCs w:val="20"/>
                <w:color w:val="auto"/>
              </w:rPr>
            </w:pPr>
            <w:r>
              <w:rPr>
                <w:rFonts w:ascii="Arial" w:cs="Arial" w:eastAsia="Arial" w:hAnsi="Arial"/>
                <w:sz w:val="11"/>
                <w:szCs w:val="11"/>
                <w:b w:val="1"/>
                <w:bCs w:val="1"/>
                <w:color w:val="auto"/>
              </w:rPr>
              <w:t>Period Ended</w:t>
            </w:r>
          </w:p>
        </w:tc>
        <w:tc>
          <w:tcPr>
            <w:tcW w:w="2080" w:type="dxa"/>
            <w:vAlign w:val="bottom"/>
          </w:tcPr>
          <w:p>
            <w:pPr>
              <w:ind w:left="100"/>
              <w:spacing w:after="0"/>
              <w:rPr>
                <w:sz w:val="20"/>
                <w:szCs w:val="20"/>
                <w:color w:val="auto"/>
              </w:rPr>
            </w:pPr>
            <w:r>
              <w:rPr>
                <w:rFonts w:ascii="Arial" w:cs="Arial" w:eastAsia="Arial" w:hAnsi="Arial"/>
                <w:sz w:val="11"/>
                <w:szCs w:val="11"/>
                <w:b w:val="1"/>
                <w:bCs w:val="1"/>
                <w:color w:val="auto"/>
              </w:rPr>
              <w:t>Total Number of Shares Purchased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b w:val="1"/>
                <w:bCs w:val="1"/>
                <w:color w:val="auto"/>
              </w:rPr>
              <w:t>Average Price Paid per Share</w:t>
            </w:r>
          </w:p>
        </w:tc>
        <w:tc>
          <w:tcPr>
            <w:tcW w:w="2080" w:type="dxa"/>
            <w:vAlign w:val="bottom"/>
          </w:tcPr>
          <w:p>
            <w:pPr>
              <w:ind w:left="40"/>
              <w:spacing w:after="0"/>
              <w:rPr>
                <w:sz w:val="20"/>
                <w:szCs w:val="20"/>
                <w:color w:val="auto"/>
              </w:rPr>
            </w:pPr>
            <w:r>
              <w:rPr>
                <w:rFonts w:ascii="Arial" w:cs="Arial" w:eastAsia="Arial" w:hAnsi="Arial"/>
                <w:sz w:val="11"/>
                <w:szCs w:val="11"/>
                <w:b w:val="1"/>
                <w:bCs w:val="1"/>
                <w:color w:val="auto"/>
              </w:rPr>
              <w:t>Total Number of Shares Purchased 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center"/>
              <w:ind w:right="19"/>
              <w:spacing w:after="0"/>
              <w:rPr>
                <w:sz w:val="20"/>
                <w:szCs w:val="20"/>
                <w:color w:val="auto"/>
              </w:rPr>
            </w:pPr>
            <w:r>
              <w:rPr>
                <w:rFonts w:ascii="Arial" w:cs="Arial" w:eastAsia="Arial" w:hAnsi="Arial"/>
                <w:sz w:val="11"/>
                <w:szCs w:val="11"/>
                <w:b w:val="1"/>
                <w:bCs w:val="1"/>
                <w:color w:val="auto"/>
              </w:rPr>
              <w:t>Approximate Dollar Value of Shares</w:t>
            </w:r>
          </w:p>
        </w:tc>
      </w:tr>
      <w:tr>
        <w:trPr>
          <w:trHeight w:val="127"/>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ind w:left="40"/>
              <w:spacing w:after="0"/>
              <w:rPr>
                <w:sz w:val="20"/>
                <w:szCs w:val="20"/>
                <w:color w:val="auto"/>
              </w:rPr>
            </w:pPr>
            <w:r>
              <w:rPr>
                <w:rFonts w:ascii="Arial" w:cs="Arial" w:eastAsia="Arial" w:hAnsi="Arial"/>
                <w:sz w:val="11"/>
                <w:szCs w:val="11"/>
                <w:b w:val="1"/>
                <w:bCs w:val="1"/>
                <w:color w:val="auto"/>
              </w:rPr>
              <w:t>Part of Publicly Announced Programs</w:t>
            </w:r>
          </w:p>
        </w:tc>
        <w:tc>
          <w:tcPr>
            <w:tcW w:w="100" w:type="dxa"/>
            <w:vAlign w:val="bottom"/>
          </w:tcPr>
          <w:p>
            <w:pPr>
              <w:spacing w:after="0"/>
              <w:rPr>
                <w:sz w:val="11"/>
                <w:szCs w:val="11"/>
                <w:color w:val="auto"/>
              </w:rPr>
            </w:pPr>
          </w:p>
        </w:tc>
        <w:tc>
          <w:tcPr>
            <w:tcW w:w="2080" w:type="dxa"/>
            <w:vAlign w:val="bottom"/>
            <w:gridSpan w:val="2"/>
          </w:tcPr>
          <w:p>
            <w:pPr>
              <w:jc w:val="center"/>
              <w:spacing w:after="0"/>
              <w:rPr>
                <w:sz w:val="20"/>
                <w:szCs w:val="20"/>
                <w:color w:val="auto"/>
              </w:rPr>
            </w:pPr>
            <w:r>
              <w:rPr>
                <w:rFonts w:ascii="Arial" w:cs="Arial" w:eastAsia="Arial" w:hAnsi="Arial"/>
                <w:sz w:val="11"/>
                <w:szCs w:val="11"/>
                <w:b w:val="1"/>
                <w:bCs w:val="1"/>
                <w:color w:val="auto"/>
              </w:rPr>
              <w:t>that May Yet Be Purchased Under the</w:t>
            </w:r>
          </w:p>
        </w:tc>
      </w:tr>
      <w:tr>
        <w:trPr>
          <w:trHeight w:val="161"/>
        </w:trPr>
        <w:tc>
          <w:tcPr>
            <w:tcW w:w="2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center"/>
              <w:ind w:right="19"/>
              <w:spacing w:after="0"/>
              <w:rPr>
                <w:sz w:val="20"/>
                <w:szCs w:val="20"/>
                <w:color w:val="auto"/>
              </w:rPr>
            </w:pPr>
            <w:r>
              <w:rPr>
                <w:rFonts w:ascii="Arial" w:cs="Arial" w:eastAsia="Arial" w:hAnsi="Arial"/>
                <w:sz w:val="11"/>
                <w:szCs w:val="11"/>
                <w:b w:val="1"/>
                <w:bCs w:val="1"/>
                <w:color w:val="auto"/>
              </w:rPr>
              <w:t>Programs</w:t>
            </w:r>
          </w:p>
        </w:tc>
      </w:tr>
      <w:tr>
        <w:trPr>
          <w:trHeight w:val="17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2020</w:t>
            </w:r>
          </w:p>
        </w:tc>
        <w:tc>
          <w:tcPr>
            <w:tcW w:w="80" w:type="dxa"/>
            <w:vAlign w:val="bottom"/>
            <w:shd w:val="clear" w:color="auto" w:fill="CCEEFF"/>
          </w:tcPr>
          <w:p>
            <w:pPr>
              <w:spacing w:after="0"/>
              <w:rPr>
                <w:sz w:val="14"/>
                <w:szCs w:val="14"/>
                <w:color w:val="auto"/>
              </w:rPr>
            </w:pPr>
          </w:p>
        </w:tc>
        <w:tc>
          <w:tcPr>
            <w:tcW w:w="2080" w:type="dxa"/>
            <w:vAlign w:val="bottom"/>
            <w:shd w:val="clear" w:color="auto" w:fill="CCEEFF"/>
          </w:tcPr>
          <w:p>
            <w:pPr>
              <w:ind w:left="19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980" w:type="dxa"/>
            <w:vAlign w:val="bottom"/>
            <w:gridSpan w:val="2"/>
            <w:shd w:val="clear" w:color="auto" w:fill="CCEEFF"/>
          </w:tcPr>
          <w:p>
            <w:pPr>
              <w:ind w:left="1720"/>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ind w:left="19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r>
      <w:tr>
        <w:trPr>
          <w:trHeight w:val="179"/>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November 2020</w:t>
            </w:r>
          </w:p>
        </w:tc>
        <w:tc>
          <w:tcPr>
            <w:tcW w:w="2080" w:type="dxa"/>
            <w:vAlign w:val="bottom"/>
          </w:tcPr>
          <w:p>
            <w:pPr>
              <w:ind w:left="19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980" w:type="dxa"/>
            <w:vAlign w:val="bottom"/>
            <w:gridSpan w:val="2"/>
          </w:tcPr>
          <w:p>
            <w:pPr>
              <w:ind w:left="1720"/>
              <w:spacing w:after="0"/>
              <w:rPr>
                <w:sz w:val="20"/>
                <w:szCs w:val="20"/>
                <w:color w:val="auto"/>
              </w:rPr>
            </w:pPr>
            <w:r>
              <w:rPr>
                <w:rFonts w:ascii="Arial" w:cs="Arial" w:eastAsia="Arial" w:hAnsi="Arial"/>
                <w:sz w:val="13"/>
                <w:szCs w:val="13"/>
                <w:color w:val="auto"/>
              </w:rPr>
              <w:t>—</w:t>
            </w:r>
          </w:p>
        </w:tc>
        <w:tc>
          <w:tcPr>
            <w:tcW w:w="2080" w:type="dxa"/>
            <w:vAlign w:val="bottom"/>
          </w:tcPr>
          <w:p>
            <w:pPr>
              <w:ind w:left="19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0" w:type="dxa"/>
            <w:vAlign w:val="bottom"/>
          </w:tcPr>
          <w:p>
            <w:pPr>
              <w:jc w:val="right"/>
              <w:spacing w:after="0"/>
              <w:rPr>
                <w:sz w:val="20"/>
                <w:szCs w:val="20"/>
                <w:color w:val="auto"/>
              </w:rPr>
            </w:pPr>
            <w:r>
              <w:rPr>
                <w:rFonts w:ascii="Arial" w:cs="Arial" w:eastAsia="Arial" w:hAnsi="Arial"/>
                <w:sz w:val="13"/>
                <w:szCs w:val="13"/>
                <w:color w:val="auto"/>
              </w:rPr>
              <w:t>200,000</w:t>
            </w:r>
          </w:p>
        </w:tc>
      </w:tr>
      <w:tr>
        <w:trPr>
          <w:trHeight w:val="18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2020</w:t>
            </w:r>
          </w:p>
        </w:tc>
        <w:tc>
          <w:tcPr>
            <w:tcW w:w="208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980" w:type="dxa"/>
            <w:vAlign w:val="bottom"/>
            <w:gridSpan w:val="2"/>
            <w:shd w:val="clear" w:color="auto" w:fill="CCEEFF"/>
          </w:tcPr>
          <w:p>
            <w:pPr>
              <w:ind w:left="1720"/>
              <w:spacing w:after="0"/>
              <w:rPr>
                <w:sz w:val="20"/>
                <w:szCs w:val="20"/>
                <w:color w:val="auto"/>
              </w:rPr>
            </w:pPr>
            <w:r>
              <w:rPr>
                <w:rFonts w:ascii="Arial" w:cs="Arial" w:eastAsia="Arial" w:hAnsi="Arial"/>
                <w:sz w:val="13"/>
                <w:szCs w:val="13"/>
                <w:color w:val="auto"/>
              </w:rPr>
              <w:t>—</w:t>
            </w:r>
          </w:p>
        </w:tc>
        <w:tc>
          <w:tcPr>
            <w:tcW w:w="208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r>
      <w:tr>
        <w:trPr>
          <w:trHeight w:val="170"/>
        </w:trPr>
        <w:tc>
          <w:tcPr>
            <w:tcW w:w="27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2080" w:type="dxa"/>
            <w:vAlign w:val="bottom"/>
            <w:tcBorders>
              <w:bottom w:val="single" w:sz="8" w:color="auto"/>
            </w:tcBorders>
          </w:tcPr>
          <w:p>
            <w:pPr>
              <w:ind w:left="19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Borders>
              <w:bottom w:val="single" w:sz="8" w:color="auto"/>
            </w:tcBorders>
          </w:tcPr>
          <w:p>
            <w:pPr>
              <w:ind w:left="1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404495</wp:posOffset>
            </wp:positionV>
            <wp:extent cx="695960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2" w:name="page53"/>
    <w:bookmarkEnd w:id="5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This section is not “soliciting material” and is not deemed “filed” for purposes of Section 18 of the Securities and Exchange Act of 1934, as amended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4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graph depicted below shows a comparison of cumulative total stockholder returns for our common stock, the S&amp;P 500 Index and the Invesco Solar ETF for the period from December 31, 2016 to December 31, 2020. An investment of $100 is assumed to have been made in our common stock and in each index on December 31, 2016, all dividends were reinvested, and the relative performance of the investments are tracked through December 31, 2020. The information shown is historical and stockholder returns over the indicated period should not be considered indicative of future stockholder returns 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41910</wp:posOffset>
            </wp:positionV>
            <wp:extent cx="4594860" cy="2667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94860"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Pr>
          <w:p>
            <w:pPr>
              <w:spacing w:after="0"/>
              <w:rPr>
                <w:sz w:val="10"/>
                <w:szCs w:val="10"/>
                <w:color w:val="auto"/>
              </w:rPr>
            </w:pPr>
          </w:p>
        </w:tc>
        <w:tc>
          <w:tcPr>
            <w:tcW w:w="1220" w:type="dxa"/>
            <w:vAlign w:val="bottom"/>
          </w:tcPr>
          <w:p>
            <w:pPr>
              <w:jc w:val="right"/>
              <w:ind w:right="359"/>
              <w:spacing w:after="0"/>
              <w:rPr>
                <w:sz w:val="20"/>
                <w:szCs w:val="20"/>
                <w:color w:val="auto"/>
              </w:rPr>
            </w:pPr>
            <w:r>
              <w:rPr>
                <w:rFonts w:ascii="Arial" w:cs="Arial" w:eastAsia="Arial" w:hAnsi="Arial"/>
                <w:sz w:val="11"/>
                <w:szCs w:val="11"/>
                <w:b w:val="1"/>
                <w:bCs w:val="1"/>
                <w:color w:val="auto"/>
              </w:rPr>
              <w:t>December 31,</w:t>
            </w:r>
          </w:p>
        </w:tc>
        <w:tc>
          <w:tcPr>
            <w:tcW w:w="400" w:type="dxa"/>
            <w:vAlign w:val="bottom"/>
          </w:tcPr>
          <w:p>
            <w:pPr>
              <w:spacing w:after="0"/>
              <w:rPr>
                <w:sz w:val="10"/>
                <w:szCs w:val="10"/>
                <w:color w:val="auto"/>
              </w:rPr>
            </w:pPr>
          </w:p>
        </w:tc>
        <w:tc>
          <w:tcPr>
            <w:tcW w:w="1200" w:type="dxa"/>
            <w:vAlign w:val="bottom"/>
          </w:tcPr>
          <w:p>
            <w:pPr>
              <w:jc w:val="right"/>
              <w:ind w:right="339"/>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Pr>
          <w:p>
            <w:pPr>
              <w:spacing w:after="0"/>
              <w:rPr>
                <w:sz w:val="10"/>
                <w:szCs w:val="10"/>
                <w:color w:val="auto"/>
              </w:rPr>
            </w:pPr>
          </w:p>
        </w:tc>
        <w:tc>
          <w:tcPr>
            <w:tcW w:w="1240" w:type="dxa"/>
            <w:vAlign w:val="bottom"/>
          </w:tcPr>
          <w:p>
            <w:pPr>
              <w:jc w:val="right"/>
              <w:ind w:right="379"/>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Pr>
          <w:p>
            <w:pPr>
              <w:spacing w:after="0"/>
              <w:rPr>
                <w:sz w:val="10"/>
                <w:szCs w:val="10"/>
                <w:color w:val="auto"/>
              </w:rPr>
            </w:pPr>
          </w:p>
        </w:tc>
        <w:tc>
          <w:tcPr>
            <w:tcW w:w="1040" w:type="dxa"/>
            <w:vAlign w:val="bottom"/>
          </w:tcPr>
          <w:p>
            <w:pPr>
              <w:jc w:val="right"/>
              <w:ind w:right="159"/>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32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99"/>
              <w:spacing w:after="0"/>
              <w:rPr>
                <w:sz w:val="20"/>
                <w:szCs w:val="20"/>
                <w:color w:val="auto"/>
              </w:rPr>
            </w:pPr>
            <w:r>
              <w:rPr>
                <w:rFonts w:ascii="Arial" w:cs="Arial" w:eastAsia="Arial" w:hAnsi="Arial"/>
                <w:sz w:val="11"/>
                <w:szCs w:val="11"/>
                <w:b w:val="1"/>
                <w:bCs w:val="1"/>
                <w:color w:val="auto"/>
              </w:rPr>
              <w:t>2017</w:t>
            </w: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79"/>
              <w:spacing w:after="0"/>
              <w:rPr>
                <w:sz w:val="20"/>
                <w:szCs w:val="20"/>
                <w:color w:val="auto"/>
              </w:rPr>
            </w:pPr>
            <w:r>
              <w:rPr>
                <w:rFonts w:ascii="Arial" w:cs="Arial" w:eastAsia="Arial" w:hAnsi="Arial"/>
                <w:sz w:val="11"/>
                <w:szCs w:val="11"/>
                <w:b w:val="1"/>
                <w:bCs w:val="1"/>
                <w:color w:val="auto"/>
              </w:rPr>
              <w:t>2018</w:t>
            </w:r>
          </w:p>
        </w:tc>
        <w:tc>
          <w:tcPr>
            <w:tcW w:w="4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99"/>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2020</w:t>
            </w:r>
          </w:p>
        </w:tc>
      </w:tr>
      <w:tr>
        <w:trPr>
          <w:trHeight w:val="160"/>
        </w:trPr>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Enphase Energy, Inc.</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239</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468</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2,587</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17,373</w:t>
            </w:r>
          </w:p>
        </w:tc>
      </w:tr>
      <w:tr>
        <w:trPr>
          <w:trHeight w:val="170"/>
        </w:trPr>
        <w:tc>
          <w:tcPr>
            <w:tcW w:w="3200" w:type="dxa"/>
            <w:vAlign w:val="bottom"/>
          </w:tcPr>
          <w:p>
            <w:pPr>
              <w:ind w:left="60"/>
              <w:spacing w:after="0"/>
              <w:rPr>
                <w:sz w:val="20"/>
                <w:szCs w:val="20"/>
                <w:color w:val="auto"/>
              </w:rPr>
            </w:pPr>
            <w:r>
              <w:rPr>
                <w:rFonts w:ascii="Arial" w:cs="Arial" w:eastAsia="Arial" w:hAnsi="Arial"/>
                <w:sz w:val="13"/>
                <w:szCs w:val="13"/>
                <w:color w:val="auto"/>
              </w:rPr>
              <w:t>S&amp;P 500 Index</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19"/>
              <w:spacing w:after="0"/>
              <w:rPr>
                <w:sz w:val="20"/>
                <w:szCs w:val="20"/>
                <w:color w:val="auto"/>
              </w:rPr>
            </w:pPr>
            <w:r>
              <w:rPr>
                <w:rFonts w:ascii="Arial" w:cs="Arial" w:eastAsia="Arial" w:hAnsi="Arial"/>
                <w:sz w:val="13"/>
                <w:szCs w:val="13"/>
                <w:color w:val="auto"/>
              </w:rPr>
              <w:t>119</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99"/>
              <w:spacing w:after="0"/>
              <w:rPr>
                <w:sz w:val="20"/>
                <w:szCs w:val="20"/>
                <w:color w:val="auto"/>
              </w:rPr>
            </w:pPr>
            <w:r>
              <w:rPr>
                <w:rFonts w:ascii="Arial" w:cs="Arial" w:eastAsia="Arial" w:hAnsi="Arial"/>
                <w:sz w:val="13"/>
                <w:szCs w:val="13"/>
                <w:color w:val="auto"/>
              </w:rPr>
              <w:t>112</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99"/>
              <w:spacing w:after="0"/>
              <w:rPr>
                <w:sz w:val="20"/>
                <w:szCs w:val="20"/>
                <w:color w:val="auto"/>
              </w:rPr>
            </w:pPr>
            <w:r>
              <w:rPr>
                <w:rFonts w:ascii="Arial" w:cs="Arial" w:eastAsia="Arial" w:hAnsi="Arial"/>
                <w:sz w:val="13"/>
                <w:szCs w:val="13"/>
                <w:color w:val="auto"/>
              </w:rPr>
              <w:t>144</w:t>
            </w: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168</w:t>
            </w:r>
          </w:p>
        </w:tc>
      </w:tr>
      <w:tr>
        <w:trPr>
          <w:trHeight w:val="170"/>
        </w:trPr>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Invesco Solar ETF</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152</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112</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187</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r>
    </w:tbl>
    <w:p>
      <w:pPr>
        <w:spacing w:after="0" w:line="213"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6.</w:t>
        <w:tab/>
        <w:t>Selected Consolidated Financial Data</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information set forth below for the five years ended December 31, 2020 is not necessarily indicative of results of future operations, and should be read in conjunction with Part II, Item 7. “Management’s Discussion and Analysis of Financial Condition and Results of Operations,” and the consolidated financial statements and related notes thereto included in Part II, Item 8. “Financial Statements and Supplementary Data,” of this Annual Report on Form 10-K to fully understand the factors that may affect the comparability of the information presented below.’</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adopted Accounting Standards Codification (“ASC”) No. 606, “Revenue Recognition” (“ASC 606” or “Topic 606”) and applied the modified retrospective method to all contracts that were not completed as of January 1, 2018. Financial data for the fiscal years ended December 31, 2017 and 2016 have not been adjusted to reflect the adoption of ASC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396240</wp:posOffset>
            </wp:positionV>
            <wp:extent cx="695960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3" w:name="page54"/>
    <w:bookmarkEnd w:id="5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2017</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7"/>
          </w:tcPr>
          <w:p>
            <w:pPr>
              <w:jc w:val="center"/>
              <w:ind w:left="57"/>
              <w:spacing w:after="0"/>
              <w:rPr>
                <w:sz w:val="20"/>
                <w:szCs w:val="20"/>
                <w:color w:val="auto"/>
              </w:rPr>
            </w:pPr>
            <w:r>
              <w:rPr>
                <w:rFonts w:ascii="Arial" w:cs="Arial" w:eastAsia="Arial" w:hAnsi="Arial"/>
                <w:sz w:val="11"/>
                <w:szCs w:val="11"/>
                <w:i w:val="1"/>
                <w:iCs w:val="1"/>
                <w:color w:val="auto"/>
              </w:rPr>
              <w:t>(in thousands, except per share data)</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 of Operations Data:</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774,425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624,333</w:t>
            </w:r>
          </w:p>
        </w:tc>
        <w:tc>
          <w:tcPr>
            <w:tcW w:w="300" w:type="dxa"/>
            <w:vAlign w:val="bottom"/>
            <w:gridSpan w:val="2"/>
          </w:tcPr>
          <w:p>
            <w:pPr>
              <w:jc w:val="right"/>
              <w:ind w:right="59"/>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316,159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286,166</w:t>
            </w:r>
          </w:p>
        </w:tc>
        <w:tc>
          <w:tcPr>
            <w:tcW w:w="3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322,591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4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428,444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403,088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221,714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230,123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Gross profit</w:t>
            </w: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345,981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221,245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94,445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56,043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55,921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40,381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32,587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33,157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50,703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 marketing</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36,728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27,047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23,126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50,694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38,808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29,086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22,221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27,418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Restructuring charges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operating expenses</w:t>
            </w:r>
          </w:p>
        </w:tc>
        <w:tc>
          <w:tcPr>
            <w:tcW w:w="4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159,542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118,516</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92,849</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95,421</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120,708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186,439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102,729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(39,378)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color w:val="auto"/>
              </w:rPr>
              <w:t>Other expense, net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income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Interest expense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(21,001)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(9,691)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(10,693)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income (expense), net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Change in fair value of derivatives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(44,348)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other expense, net</w:t>
            </w: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(67,029)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(12,615)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(11,825)</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(5,963)</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2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119,410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0"/>
              </w:rPr>
              <w:t>90,114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(45,341)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(65,987)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4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71,034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4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133,995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161,148</w:t>
            </w:r>
          </w:p>
        </w:tc>
        <w:tc>
          <w:tcPr>
            <w:tcW w:w="10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(11,627)</w:t>
            </w:r>
          </w:p>
        </w:tc>
        <w:tc>
          <w:tcPr>
            <w:tcW w:w="10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(45,192)</w:t>
            </w:r>
          </w:p>
        </w:tc>
        <w:tc>
          <w:tcPr>
            <w:tcW w:w="3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(67,462)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Net income (loss) per share:</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280"/>
              <w:spacing w:after="0"/>
              <w:rPr>
                <w:sz w:val="20"/>
                <w:szCs w:val="20"/>
                <w:color w:val="auto"/>
              </w:rPr>
            </w:pPr>
            <w:r>
              <w:rPr>
                <w:rFonts w:ascii="Arial" w:cs="Arial" w:eastAsia="Arial" w:hAnsi="Arial"/>
                <w:sz w:val="13"/>
                <w:szCs w:val="13"/>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1.38</w:t>
            </w:r>
          </w:p>
        </w:tc>
        <w:tc>
          <w:tcPr>
            <w:tcW w:w="300" w:type="dxa"/>
            <w:vAlign w:val="bottom"/>
            <w:gridSpan w:val="2"/>
          </w:tcPr>
          <w:p>
            <w:pPr>
              <w:jc w:val="right"/>
              <w:ind w:right="59"/>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(0.54)</w:t>
            </w:r>
          </w:p>
        </w:tc>
        <w:tc>
          <w:tcPr>
            <w:tcW w:w="3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Shares used in per share calculation:</w:t>
            </w: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125,561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116,713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99,619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82,939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tcPr>
          <w:p>
            <w:pPr>
              <w:ind w:left="280"/>
              <w:spacing w:after="0" w:line="133" w:lineRule="exact"/>
              <w:rPr>
                <w:sz w:val="20"/>
                <w:szCs w:val="20"/>
                <w:color w:val="auto"/>
              </w:rPr>
            </w:pPr>
            <w:r>
              <w:rPr>
                <w:rFonts w:ascii="Arial" w:cs="Arial" w:eastAsia="Arial" w:hAnsi="Arial"/>
                <w:sz w:val="13"/>
                <w:szCs w:val="13"/>
                <w:color w:val="auto"/>
              </w:rPr>
              <w:t>Diluted</w:t>
            </w: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93"/>
              </w:rPr>
              <w:t>141,918</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131,644</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99,619</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82,939</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50,519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1"/>
                <w:szCs w:val="11"/>
                <w:b w:val="1"/>
                <w:bCs w:val="1"/>
                <w:color w:val="auto"/>
                <w:w w:val="99"/>
              </w:rPr>
              <w:t>As of December 31,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w w:val="97"/>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2017</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2016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77"/>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Balance Sheet Data:</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Cash, cash equivalents and restricted cash</w:t>
            </w: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679,379</w:t>
            </w:r>
          </w:p>
        </w:tc>
        <w:tc>
          <w:tcPr>
            <w:tcW w:w="5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296,109</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106,237</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29,144</w:t>
            </w:r>
          </w:p>
        </w:tc>
        <w:tc>
          <w:tcPr>
            <w:tcW w:w="380" w:type="dxa"/>
            <w:vAlign w:val="bottom"/>
            <w:gridSpan w:val="2"/>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17,764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1,200,102</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713,223</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339,937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169,147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163,576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Warranty obligations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45,913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37,098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31,294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29,816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31,414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Debt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330,865</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105,543</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109,783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49,751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33,900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180"/>
              <w:spacing w:after="0"/>
              <w:rPr>
                <w:sz w:val="20"/>
                <w:szCs w:val="20"/>
                <w:color w:val="auto"/>
              </w:rPr>
            </w:pPr>
            <w:r>
              <w:rPr>
                <w:rFonts w:ascii="Arial" w:cs="Arial" w:eastAsia="Arial" w:hAnsi="Arial"/>
                <w:sz w:val="13"/>
                <w:szCs w:val="13"/>
                <w:color w:val="auto"/>
              </w:rPr>
              <w:t>Total stockholders’ equity</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483,993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272,212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7,776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(9,126)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Additional Data:</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Working capital</w:t>
            </w: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399,021</w:t>
            </w:r>
          </w:p>
        </w:tc>
        <w:tc>
          <w:tcPr>
            <w:tcW w:w="5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300,346</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75,141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38,705</w:t>
            </w:r>
          </w:p>
        </w:tc>
        <w:tc>
          <w:tcPr>
            <w:tcW w:w="38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35,092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ind w:left="180"/>
              <w:spacing w:after="0"/>
              <w:rPr>
                <w:sz w:val="20"/>
                <w:szCs w:val="20"/>
                <w:color w:val="auto"/>
              </w:rPr>
            </w:pPr>
            <w:r>
              <w:rPr>
                <w:rFonts w:ascii="Arial" w:cs="Arial" w:eastAsia="Arial" w:hAnsi="Arial"/>
                <w:sz w:val="13"/>
                <w:szCs w:val="13"/>
                <w:color w:val="auto"/>
              </w:rPr>
              <w:t>Gross margin percentage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16"/>
              <w:spacing w:after="0"/>
              <w:rPr>
                <w:sz w:val="20"/>
                <w:szCs w:val="20"/>
                <w:color w:val="auto"/>
              </w:rPr>
            </w:pPr>
            <w:r>
              <w:rPr>
                <w:rFonts w:ascii="Arial" w:cs="Arial" w:eastAsia="Arial" w:hAnsi="Arial"/>
                <w:sz w:val="13"/>
                <w:szCs w:val="13"/>
                <w:color w:val="auto"/>
              </w:rPr>
              <w:t>44.7 %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35.4 %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29.9 %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19.6 %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18.0 %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517525</wp:posOffset>
            </wp:positionV>
            <wp:extent cx="695960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4" w:name="page55"/>
    <w:bookmarkEnd w:id="5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660"/>
        <w:spacing w:after="0" w:line="412" w:lineRule="auto"/>
        <w:rPr>
          <w:sz w:val="20"/>
          <w:szCs w:val="20"/>
          <w:color w:val="auto"/>
        </w:rPr>
      </w:pPr>
      <w:r>
        <w:rPr>
          <w:rFonts w:ascii="Arial" w:cs="Arial" w:eastAsia="Arial" w:hAnsi="Arial"/>
          <w:sz w:val="14"/>
          <w:szCs w:val="14"/>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risks related to the ongoing COVID-19 pandemic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Part I, Item 1A of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 and 2020 Highlights</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are a global energy technology company. We deliver smart, easy-to-use solutions that manage solar generation, storage and communication on one single platform. We revolutionized the solar industry with our microinverter technology and we produce a fully integrated solar-plus-storage solution. To date, we have shipped more than 32 million microinverters, and approximately 1.4 million Enphase residential and commercial systems have been deployed in more than 130 countries.</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sell our solutions primarily to distributors who resell them to solar installers. We also sell directly to large installers, OEMs, strategic partners and homeowners. Our revenue in the fourth quarter of 2019 and first quarter of 2020 was positively impacted by the scheduled phase-down of the investment tax credit for solar projects under Section 48(a) (the “ITC”) of the Internal Revenue Code of 1986, as amended (the “Code”).</w:t>
      </w:r>
    </w:p>
    <w:p>
      <w:pPr>
        <w:spacing w:after="0" w:line="4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Renewable Energy and Job Creation Act of 2008 provided a 30% federal tax credit for residential and commercial solar installations through December 31, 2019, which was reduced to a tax credit of 26% for any solar energy system that began construction during 2020 through December 31, 2022, and 22% thereafter to December 31, 2023 before being reduced to 10% for commercial installations and 0% for residential installations beginning on January 1, 2024.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 Safe harbor prepayments from customers in the fourth quarter of 2019 resulted in $44.5 million of revenue recognized in the first quarter of 2020 when we delivered the product.</w:t>
      </w:r>
    </w:p>
    <w:p>
      <w:pPr>
        <w:spacing w:after="0" w:line="5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On March 9, 2020, we issued $320.0 million aggregate principal amount of our Convertible Senior Notes due 2025 (the “Notes due 2025”) in a private placement. The Notes due 2025 are general unsecured obligations and bear interest at a rate of 0.25% per year, payable semi -annually on March 1 and September 1 of each year, beginning on September 1, 2020. The Notes due 2025 will mature on March 1, 2025, unless earlier repurchased by us or converted at the option of the holders. Further information relating to the Notes due 2025 may be found in Note 11, “Debt,” of the notes to consolidated financial statements included in Part II, Item 8 of this Annual Report on Form 10-K and below under the section titled “-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5" w:name="page56"/>
    <w:bookmarkEnd w:id="5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On March 26, 2020, the Office of the United States Trade Representative (the “USTR”) announced certain exclusion requests related to tariffs on Chinese imported microinverter products that fit the dimensions and weight limits within a Section 301 Tariff exclusion under U.S. note 20(ss)(40) to subchapter III of chapter 99 of the Harmonized Tariff Schedule of the United States (the “Tariff Exclusion”). The Tariff Exclusion applies to covered products under the China Section 301 Tariff Actions (“Section 301 Tariffs”) taken by the USTR exported from China to the United States from September 24, 2018 until August 7, 2020. Accordingly, we sought refunds totaling approximately $38.9 million plus approximately $0.6 million accrued interest on tariffs previously paid from September 24, 2018 to March 31, 2020 for certain microinverters that qualify for the Tariff Exclusion. The refund request was subject to review and approval by the U.S. Customs and Border Protection; therefore, we assessed that the probable loss recovery for the year ended December 31, 2020 is equal to the approved refund requests available to us prior to issuance of the financial statements on February 12, 2021.</w:t>
      </w:r>
    </w:p>
    <w:p>
      <w:pPr>
        <w:spacing w:after="0" w:line="5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As of December 31, 2020, we have received $24.8 million of tariff refunds and accrued for the remaining $14.7 million tariff refunds that were approved, however, not yet received on or before December 31, 2020. For the year ended December 31, 2020, we recorded $38.9 million as a reduction to cost of revenues in our consolidated statements of operations as the approved refunds relate to paid tariffs previously recorded to cost of revenues; therefore, we recorded the corresponding approved tariff refunds as credits to cost of revenues in the current period. For the year ended December 31, 2020, we recorded the $0.6 million accrued interest as interest income in our consolidated statement of operations. The tariff refund receivable of $14.7 million is recorded as a reduction of accounts payable to Flex Ltd. and affiliates (“Flex”), our manufacturing partner and the importer of record who will first receive the tariff refunds, on the consolidated balance sheet as of December 31, 2020.</w:t>
      </w:r>
    </w:p>
    <w:p>
      <w:pPr>
        <w:spacing w:after="0" w:line="5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Tariff Exclusion expired on August 7, 2020 and those microinverter products now are subject to tariffs. We continue to pay Section 301 Tariffs on our storage and communication products and other accessories imported from China which are not subject to the Tariff Exclusion.</w:t>
      </w:r>
    </w:p>
    <w:p>
      <w:pPr>
        <w:spacing w:after="0" w:line="2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December 2020, holders exchanged $43.9 million in aggregate principal amount of the Notes due 2024, the principal amount of which was repaid in cash. Of the $43.9 million in aggregate principal amount, $ 38.5 million in aggregate principal amount was settled pursuant to an exchange agreement entered into in December 2020 with certain holders of Notes due 2024. We also issued approximately 1.9 million shares of our common stock to the holders in December 2020 for the conversion value in excess of the principal amount of the Notes due 2024, which were fully offset by shares received from our exercise of the associated note hedging arrangements. Refer to Note 11. Debt, of the notes to consolidated financial statements included in Part II, Item 8 of this Annual Report on Form 10-K for additional information. In connection with the settlement of the Notes due 2024, we entered into partial unwind agreements to unwind number of warrants exercisable under our note hedging arrangements and to issue approximately 2.1 million warrants on a net basis, resulting in a net issuance of approximately 1.9 million shares of our common stock in connection with the exchange of the Notes due 2024.</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Impact of COVID-19</w:t>
      </w:r>
    </w:p>
    <w:p>
      <w:pPr>
        <w:spacing w:after="0" w:line="9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ongoing COVID-19 pandemic continues to cause disruptions and uncertainties, including in the core markets in which we operate. The COVID-19 pandemic has significantly curtailed the movement of people, goods and services and had a notable impact on general economic conditions including but not limited to the temporary closures of many businesses, “shelter in place” orders and other governmental regulations, and reduced consumer spending. The most significant near-term impacts of COVID-19 on our financial performance are a decline in sales orders as future residential and commercial system owners are canceling sales meetings with system installation professionals or postponing system installations. As the purchase of new solar energy management solutions declines as part of the impact of COVID-19 on consumer spending, many businesses through which we distribute our products are working at limited operational capacity. The extent of the impact of COVID-19 on our future operational and financial performance will depend on various future developments, including the duration and spread of the outbreak, impact on our employees, impact on our customers, effect on our sales cycles or costs, and effect on our supply chain and vendors, all of which are uncertain and cannot be predicted, but which could have a material adverse effect on our business, results of operations or financial condition. Further information relating to the risks and uncertainties related to the ongoing COVID-19 pandemic may be found in Part I, Item 1A “Risk Factors”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399415</wp:posOffset>
            </wp:positionV>
            <wp:extent cx="695960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6" w:name="page57"/>
    <w:bookmarkEnd w:id="5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primarily generate net revenues from sales of our microinverter solutions and related accessories, which include our storage systems, our Envoy communications gateway and Enlighten cloud-based monitoring service as well as other accessories.</w:t>
      </w:r>
    </w:p>
    <w:p>
      <w:pPr>
        <w:spacing w:after="0" w:line="2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revenue is affected by changes in the volume and average selling prices of our solutions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 and Gross Profit</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U.S., Europe and Asia.</w:t>
      </w:r>
    </w:p>
    <w:p>
      <w:pPr>
        <w:spacing w:after="0" w:line="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Gross profit may vary from quarter to quarter and is primarily affected by our average selling prices, product cost, product mix, customer mix, tariff refunds, warranty costs and sales volume fluctuations resulting from seasonality.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4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Research and development expense include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5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Sales and marketing expense include personnel-related expenses,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solutions targeting the residential and commercial markets in the U.S., Canada, Mexico, Central American markets, Europe, Australia, New Zealand, India and certain other Asian markets. We expect to continue to expand the geographic reach of our product offerings and explore new sales channels in addressable markets in the future.</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General and administrative expense include personnel-related expenses for our executive, finance, human resources, information technology and legal organizations, facilities costs, and fees for professional services. Fees for professional services consist primarily of outside legal, accounting and information technology consulting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379730</wp:posOffset>
            </wp:positionV>
            <wp:extent cx="69596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7" w:name="page58"/>
    <w:bookmarkEnd w:id="5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Restructuring charges are the net charges resulting from restructuring initiatives implemented in 2018 through 2019 (the “2018 Plan”) to improve operational performance and reduce overall operating expenses. Under the 2018 Plan, costs included in restructuring primarily consisted of employee severance and one-time benefits, workforce reorganization charges, non-cash charges related to impairment of property and equipment, and the establishment of lease loss reserves. See Note 10. “Restructuring,” of the notes to consolidated financial statements included in Part II, Item 8 of this Annual Report on Form 10-K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92"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Other expense, net primarily consists of interest expense and fees under our convertible notes and term loans, non -cash interest expense related to the accretion of debt discount and amortization of deferred financing costs, and non-cash charge recognized for the change in fair value of our convertible notes embedded derivative and warrants. Other expense, net also includes interest income on our cash balance, accrued interest on tariffs previously paid and approved for refund, and gains or losses upon conversion of foreign currency transactions into U.S. dollars.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Benefit (Provision)</w:t>
      </w:r>
    </w:p>
    <w:p>
      <w:pPr>
        <w:spacing w:after="0" w:line="9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We are subject to income taxes in the countries where we sell our products. Historically, we have primarily been subject to taxation in the U.S. because we have sold the majority of our products to customers in the U.S. As we have expanded the sale of products to customers outside the U.S., we have become subject to taxation based on the foreign statutory rates in the countries where these sales took place. As sales in foreign jurisdictions increase in the future, our effective tax rate may fluctuate accordingly. We regularly assess the ability to realize deferred tax assets based on the weight of all available evidence, including such factors as the history of recent earnings and expected future taxable income on a jurisdiction by jurisdiction basis. During the fourth quarter of fiscal year 2019, after considering these factors, we determined that the positive evidence overcame any negative evidence, primarily due to cumulative income in recent years, and the expectation of sustained profitability in future periods and concluded that it was more likely than not that the US federal and state deferred tax assets were realizable. As a result, we released the valuation allowance against all of the U.S. federal and state deferred tax assets during the fourth quarter of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8" w:name="page59"/>
    <w:bookmarkEnd w:id="5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Consolidated Statements of Operations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a summary of our consolidated statements of operations for the periods presented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39"/>
        </w:trPr>
        <w:tc>
          <w:tcPr>
            <w:tcW w:w="68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774,425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624,333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316,159</w:t>
            </w:r>
          </w:p>
        </w:tc>
      </w:tr>
      <w:tr>
        <w:trPr>
          <w:trHeight w:val="17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428,444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403,088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221,714</w:t>
            </w: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345,981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221,245</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94,445</w:t>
            </w:r>
          </w:p>
        </w:tc>
      </w:tr>
      <w:tr>
        <w:trPr>
          <w:trHeight w:val="150"/>
        </w:trPr>
        <w:tc>
          <w:tcPr>
            <w:tcW w:w="680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32,587</w:t>
            </w:r>
          </w:p>
        </w:tc>
      </w:tr>
      <w:tr>
        <w:trPr>
          <w:trHeight w:val="170"/>
        </w:trPr>
        <w:tc>
          <w:tcPr>
            <w:tcW w:w="6800" w:type="dxa"/>
            <w:vAlign w:val="bottom"/>
          </w:tcPr>
          <w:p>
            <w:pPr>
              <w:ind w:left="28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52,927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36,728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27,047</w:t>
            </w:r>
          </w:p>
        </w:tc>
      </w:tr>
      <w:tr>
        <w:trPr>
          <w:trHeight w:val="170"/>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29,086</w:t>
            </w:r>
          </w:p>
        </w:tc>
      </w:tr>
      <w:tr>
        <w:trPr>
          <w:trHeight w:val="170"/>
        </w:trPr>
        <w:tc>
          <w:tcPr>
            <w:tcW w:w="68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Restructuring charges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4,129</w:t>
            </w:r>
          </w:p>
        </w:tc>
      </w:tr>
      <w:tr>
        <w:trPr>
          <w:trHeight w:val="160"/>
        </w:trPr>
        <w:tc>
          <w:tcPr>
            <w:tcW w:w="6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8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159,542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118,516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92,849</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Income from operations</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186,439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102,729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1,596</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80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1,058</w:t>
            </w:r>
          </w:p>
        </w:tc>
      </w:tr>
      <w:tr>
        <w:trPr>
          <w:trHeight w:val="170"/>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(10,693)</w:t>
            </w:r>
          </w:p>
        </w:tc>
      </w:tr>
      <w:tr>
        <w:trPr>
          <w:trHeight w:val="170"/>
        </w:trPr>
        <w:tc>
          <w:tcPr>
            <w:tcW w:w="6800" w:type="dxa"/>
            <w:vAlign w:val="bottom"/>
          </w:tcPr>
          <w:p>
            <w:pPr>
              <w:ind w:left="280"/>
              <w:spacing w:after="0"/>
              <w:rPr>
                <w:sz w:val="20"/>
                <w:szCs w:val="20"/>
                <w:color w:val="auto"/>
              </w:rPr>
            </w:pPr>
            <w:r>
              <w:rPr>
                <w:rFonts w:ascii="Arial" w:cs="Arial" w:eastAsia="Arial" w:hAnsi="Arial"/>
                <w:sz w:val="13"/>
                <w:szCs w:val="13"/>
                <w:color w:val="auto"/>
              </w:rPr>
              <w:t>Other expense, net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(2,190)</w:t>
            </w:r>
          </w:p>
        </w:tc>
      </w:tr>
      <w:tr>
        <w:trPr>
          <w:trHeight w:val="170"/>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fair value of derivatives</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(44,348)</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80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other expense, net</w:t>
            </w: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(11,825)</w:t>
            </w: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90,114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(10,229)</w:t>
            </w:r>
          </w:p>
        </w:tc>
      </w:tr>
      <w:tr>
        <w:trPr>
          <w:trHeight w:val="17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(provision)</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71,034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r>
      <w:tr>
        <w:trPr>
          <w:trHeight w:val="18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133,995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161,148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505460</wp:posOffset>
            </wp:positionV>
            <wp:extent cx="69596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59" w:name="page60"/>
    <w:bookmarkEnd w:id="5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this section, we discuss the results of our operations for the year ended December 31, 2020 compared to the year ended December 31, 2019. For a discussion of the year ended December 31, 2019 compared to the year ended December 31, 2018, please refer to Part II, Item 7, "Management's Discussion and Analysis of Financial Condition and Results of Operations" in our Annual Report on Form 10-K for the year ended December 31, 2019.</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4"/>
          </w:tcPr>
          <w:p>
            <w:pPr>
              <w:ind w:left="400"/>
              <w:spacing w:after="0"/>
              <w:rPr>
                <w:sz w:val="20"/>
                <w:szCs w:val="20"/>
                <w:color w:val="auto"/>
              </w:rPr>
            </w:pPr>
            <w:r>
              <w:rPr>
                <w:rFonts w:ascii="Arial" w:cs="Arial" w:eastAsia="Arial" w:hAnsi="Arial"/>
                <w:sz w:val="11"/>
                <w:szCs w:val="11"/>
                <w:b w:val="1"/>
                <w:bCs w:val="1"/>
                <w:color w:val="auto"/>
              </w:rPr>
              <w:t>Years Ended December 31,</w:t>
            </w:r>
          </w:p>
        </w:tc>
        <w:tc>
          <w:tcPr>
            <w:tcW w:w="66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Arial" w:cs="Arial" w:eastAsia="Arial" w:hAnsi="Arial"/>
                <w:sz w:val="11"/>
                <w:szCs w:val="11"/>
                <w:b w:val="1"/>
                <w:bCs w:val="1"/>
                <w:color w:val="auto"/>
              </w:rPr>
              <w:t>Change in</w:t>
            </w:r>
          </w:p>
        </w:tc>
        <w:tc>
          <w:tcPr>
            <w:tcW w:w="860" w:type="dxa"/>
            <w:vAlign w:val="bottom"/>
          </w:tcPr>
          <w:p>
            <w:pPr>
              <w:spacing w:after="0"/>
              <w:rPr>
                <w:sz w:val="13"/>
                <w:szCs w:val="13"/>
                <w:color w:val="auto"/>
              </w:rPr>
            </w:pPr>
          </w:p>
        </w:tc>
      </w:tr>
      <w:tr>
        <w:trPr>
          <w:trHeight w:val="139"/>
        </w:trPr>
        <w:tc>
          <w:tcPr>
            <w:tcW w:w="56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2020</w:t>
            </w:r>
          </w:p>
        </w:tc>
        <w:tc>
          <w:tcPr>
            <w:tcW w:w="3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w:t>
            </w:r>
          </w:p>
        </w:tc>
      </w:tr>
      <w:tr>
        <w:trPr>
          <w:trHeight w:val="125"/>
        </w:trPr>
        <w:tc>
          <w:tcPr>
            <w:tcW w:w="5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0"/>
                <w:szCs w:val="10"/>
                <w:i w:val="1"/>
                <w:iCs w:val="1"/>
                <w:color w:val="auto"/>
              </w:rPr>
              <w:t>(In thousands, except percentages)</w:t>
            </w: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73"/>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774,425</w:t>
            </w:r>
          </w:p>
        </w:tc>
        <w:tc>
          <w:tcPr>
            <w:tcW w:w="3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624,333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w w:val="97"/>
              </w:rPr>
              <w:t>150,092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r>
    </w:tbl>
    <w:p>
      <w:pPr>
        <w:spacing w:after="0" w:line="14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Net revenues increased by 24% or $150.1 million for the year ended December 31, 2020, as compared to the same period in 2019, primarily due to the 11% increase in microinverter unit volume shipped primarily as a result of business growth in the U.S., higher microinverter units shipped in the first quarter of 2020 as our customers took advantage of safe harbor guidance from the IRS and shipments of our Enphase Encharge storage systems to customers in North America. We sold approximately 6.8 million microinverter units in the year ended December 31, 2020, as compared to approximately 6.2 million microinverter units in the same period in 2019.</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 and Gross Profit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540" w:type="dxa"/>
            <w:vAlign w:val="bottom"/>
          </w:tcPr>
          <w:p>
            <w:pPr>
              <w:spacing w:after="0"/>
              <w:rPr>
                <w:sz w:val="13"/>
                <w:szCs w:val="13"/>
                <w:color w:val="auto"/>
              </w:rPr>
            </w:pPr>
          </w:p>
        </w:tc>
        <w:tc>
          <w:tcPr>
            <w:tcW w:w="24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1"/>
                <w:szCs w:val="11"/>
                <w:b w:val="1"/>
                <w:bCs w:val="1"/>
                <w:color w:val="auto"/>
              </w:rPr>
              <w:t>Years Ended December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Change in</w:t>
            </w:r>
          </w:p>
        </w:tc>
        <w:tc>
          <w:tcPr>
            <w:tcW w:w="840" w:type="dxa"/>
            <w:vAlign w:val="bottom"/>
            <w:tcBorders>
              <w:bottom w:val="single" w:sz="8" w:color="auto"/>
            </w:tcBorders>
          </w:tcPr>
          <w:p>
            <w:pPr>
              <w:spacing w:after="0"/>
              <w:rPr>
                <w:sz w:val="13"/>
                <w:szCs w:val="13"/>
                <w:color w:val="auto"/>
              </w:rPr>
            </w:pPr>
          </w:p>
        </w:tc>
      </w:tr>
      <w:tr>
        <w:trPr>
          <w:trHeight w:val="139"/>
        </w:trPr>
        <w:tc>
          <w:tcPr>
            <w:tcW w:w="554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020"/>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w:t>
            </w:r>
          </w:p>
        </w:tc>
      </w:tr>
      <w:tr>
        <w:trPr>
          <w:trHeight w:val="214"/>
        </w:trPr>
        <w:tc>
          <w:tcPr>
            <w:tcW w:w="5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0"/>
                <w:szCs w:val="10"/>
                <w:i w:val="1"/>
                <w:iCs w:val="1"/>
                <w:color w:val="auto"/>
              </w:rPr>
              <w:t>(In thousands, except percentages)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06"/>
        </w:trPr>
        <w:tc>
          <w:tcPr>
            <w:tcW w:w="5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93"/>
              </w:rPr>
              <w:t>428,444</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3"/>
              </w:rPr>
              <w:t>403,088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rPr>
              <w:t>25,356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70"/>
        </w:trPr>
        <w:tc>
          <w:tcPr>
            <w:tcW w:w="55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tcPr>
          <w:p>
            <w:pPr>
              <w:spacing w:after="0"/>
              <w:rPr>
                <w:sz w:val="14"/>
                <w:szCs w:val="14"/>
                <w:color w:val="auto"/>
              </w:rPr>
            </w:pPr>
          </w:p>
        </w:tc>
        <w:tc>
          <w:tcPr>
            <w:tcW w:w="660" w:type="dxa"/>
            <w:vAlign w:val="bottom"/>
          </w:tcPr>
          <w:p>
            <w:pPr>
              <w:jc w:val="right"/>
              <w:ind w:right="136"/>
              <w:spacing w:after="0"/>
              <w:rPr>
                <w:sz w:val="20"/>
                <w:szCs w:val="20"/>
                <w:color w:val="auto"/>
              </w:rPr>
            </w:pPr>
            <w:r>
              <w:rPr>
                <w:rFonts w:ascii="Arial" w:cs="Arial" w:eastAsia="Arial" w:hAnsi="Arial"/>
                <w:sz w:val="13"/>
                <w:szCs w:val="13"/>
                <w:color w:val="auto"/>
                <w:w w:val="93"/>
              </w:rPr>
              <w:t>345,981</w:t>
            </w:r>
          </w:p>
        </w:tc>
        <w:tc>
          <w:tcPr>
            <w:tcW w:w="94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w w:val="93"/>
              </w:rPr>
              <w:t>221,245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520"/>
              <w:spacing w:after="0"/>
              <w:rPr>
                <w:sz w:val="20"/>
                <w:szCs w:val="20"/>
                <w:color w:val="auto"/>
              </w:rPr>
            </w:pPr>
            <w:r>
              <w:rPr>
                <w:rFonts w:ascii="Arial" w:cs="Arial" w:eastAsia="Arial" w:hAnsi="Arial"/>
                <w:sz w:val="13"/>
                <w:szCs w:val="13"/>
                <w:color w:val="auto"/>
              </w:rPr>
              <w:t>124,736</w:t>
            </w:r>
          </w:p>
        </w:tc>
        <w:tc>
          <w:tcPr>
            <w:tcW w:w="840" w:type="dxa"/>
            <w:vAlign w:val="bottom"/>
          </w:tcPr>
          <w:p>
            <w:pPr>
              <w:jc w:val="right"/>
              <w:spacing w:after="0"/>
              <w:rPr>
                <w:sz w:val="20"/>
                <w:szCs w:val="20"/>
                <w:color w:val="auto"/>
              </w:rPr>
            </w:pPr>
            <w:r>
              <w:rPr>
                <w:rFonts w:ascii="Arial" w:cs="Arial" w:eastAsia="Arial" w:hAnsi="Arial"/>
                <w:sz w:val="13"/>
                <w:szCs w:val="13"/>
                <w:color w:val="auto"/>
              </w:rPr>
              <w:t>56 %</w:t>
            </w: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44.7 %</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bl>
    <w:p>
      <w:pPr>
        <w:spacing w:after="0" w:line="14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Cost of revenues increased by 6% or $25.4 million for the year ended December 31, 2020, as compared to the same period in 2019, primarily due to higher volume of microinverter units sold and shipments of our Enphase Encharge storage systems primarily as a result of business growth in the U.S., as well as higher units shipped in the first quarter of 2020 as our customers took advantage of safe harbor guidance from the IRS, partially offset by the $38.9 million in refunds approved for tariffs mentioned above and a decrease in the unit cost of our products as a result of our cost reduction efforts.</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Gross margin increased by 9.3 percentage points for the year ended December 31, 2020, as compared to the same period in 2019. The increase in gross margin was primarily attributable to the $38.9 million in refunds approved for tariffs mentioned above as well as our overall pricing and cost management efforts, including the transition of our contract manufacturing to Mexico to mitigate tariffs.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0" w:name="page61"/>
    <w:bookmarkEnd w:id="60"/>
    <w:p>
      <w:pPr>
        <w:ind w:left="80"/>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150"/>
        </w:trPr>
        <w:tc>
          <w:tcPr>
            <w:tcW w:w="5540" w:type="dxa"/>
            <w:vAlign w:val="bottom"/>
          </w:tcPr>
          <w:p>
            <w:pPr>
              <w:spacing w:after="0"/>
              <w:rPr>
                <w:sz w:val="13"/>
                <w:szCs w:val="13"/>
                <w:color w:val="auto"/>
              </w:rPr>
            </w:pPr>
          </w:p>
        </w:tc>
        <w:tc>
          <w:tcPr>
            <w:tcW w:w="252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Change in</w:t>
            </w:r>
          </w:p>
        </w:tc>
        <w:tc>
          <w:tcPr>
            <w:tcW w:w="840" w:type="dxa"/>
            <w:vAlign w:val="bottom"/>
            <w:tcBorders>
              <w:bottom w:val="single" w:sz="8" w:color="auto"/>
            </w:tcBorders>
          </w:tcPr>
          <w:p>
            <w:pPr>
              <w:spacing w:after="0"/>
              <w:rPr>
                <w:sz w:val="13"/>
                <w:szCs w:val="13"/>
                <w:color w:val="auto"/>
              </w:rPr>
            </w:pPr>
          </w:p>
        </w:tc>
      </w:tr>
      <w:tr>
        <w:trPr>
          <w:trHeight w:val="139"/>
        </w:trPr>
        <w:tc>
          <w:tcPr>
            <w:tcW w:w="55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w:t>
            </w:r>
          </w:p>
        </w:tc>
      </w:tr>
      <w:tr>
        <w:trPr>
          <w:trHeight w:val="214"/>
        </w:trPr>
        <w:tc>
          <w:tcPr>
            <w:tcW w:w="5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0"/>
                <w:szCs w:val="10"/>
                <w:i w:val="1"/>
                <w:iCs w:val="1"/>
                <w:color w:val="auto"/>
              </w:rPr>
              <w:t>(In thousands, except percentages)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06"/>
        </w:trPr>
        <w:tc>
          <w:tcPr>
            <w:tcW w:w="5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55,921</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40,381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21"/>
              <w:spacing w:after="0"/>
              <w:rPr>
                <w:sz w:val="20"/>
                <w:szCs w:val="20"/>
                <w:color w:val="auto"/>
              </w:rPr>
            </w:pPr>
            <w:r>
              <w:rPr>
                <w:rFonts w:ascii="Arial" w:cs="Arial" w:eastAsia="Arial" w:hAnsi="Arial"/>
                <w:sz w:val="13"/>
                <w:szCs w:val="13"/>
                <w:color w:val="auto"/>
              </w:rPr>
              <w:t>15,540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r>
      <w:tr>
        <w:trPr>
          <w:trHeight w:val="171"/>
        </w:trPr>
        <w:tc>
          <w:tcPr>
            <w:tcW w:w="5540" w:type="dxa"/>
            <w:vAlign w:val="bottom"/>
          </w:tcPr>
          <w:p>
            <w:pPr>
              <w:ind w:left="20"/>
              <w:spacing w:after="0"/>
              <w:rPr>
                <w:sz w:val="20"/>
                <w:szCs w:val="20"/>
                <w:color w:val="auto"/>
              </w:rPr>
            </w:pPr>
            <w:r>
              <w:rPr>
                <w:rFonts w:ascii="Arial" w:cs="Arial" w:eastAsia="Arial" w:hAnsi="Arial"/>
                <w:sz w:val="13"/>
                <w:szCs w:val="13"/>
                <w:color w:val="auto"/>
              </w:rPr>
              <w:t>Percentage of net revenues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7 %</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39" w:lineRule="exact"/>
        <w:rPr>
          <w:sz w:val="20"/>
          <w:szCs w:val="20"/>
          <w:color w:val="auto"/>
        </w:rPr>
      </w:pPr>
    </w:p>
    <w:p>
      <w:pPr>
        <w:jc w:val="both"/>
        <w:ind w:left="80" w:firstLine="382"/>
        <w:spacing w:after="0" w:line="263" w:lineRule="auto"/>
        <w:rPr>
          <w:sz w:val="20"/>
          <w:szCs w:val="20"/>
          <w:color w:val="auto"/>
        </w:rPr>
      </w:pPr>
      <w:r>
        <w:rPr>
          <w:rFonts w:ascii="Arial" w:cs="Arial" w:eastAsia="Arial" w:hAnsi="Arial"/>
          <w:sz w:val="14"/>
          <w:szCs w:val="14"/>
          <w:color w:val="auto"/>
        </w:rPr>
        <w:t>Research and development expense increased by 38% or $15.5 million for the year ended December 31, 2020, as compared to the same period in 2019. The increase was primarily due to $13.6 million higher personnel-related expenses and $2.5 million of outside consulting, engineering services and equipment associated with the innovation and development, introduction and qualification of new products, partially offset by a $0.6 million reduction in travel expenditure as we implemented travel restrictions prohibiting all non-essential business travel. The increase in personnel-related expenses was primarily due to hiring employees in New Zealand, India and US, increasing total compensation costs. The amount of research and development expenses may fluctuate from period to period due to differing levels and stages of development activity.</w:t>
      </w:r>
    </w:p>
    <w:p>
      <w:pPr>
        <w:spacing w:after="0" w:line="96"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50"/>
        </w:trPr>
        <w:tc>
          <w:tcPr>
            <w:tcW w:w="5540" w:type="dxa"/>
            <w:vAlign w:val="bottom"/>
          </w:tcPr>
          <w:p>
            <w:pPr>
              <w:spacing w:after="0"/>
              <w:rPr>
                <w:sz w:val="13"/>
                <w:szCs w:val="13"/>
                <w:color w:val="auto"/>
              </w:rPr>
            </w:pPr>
          </w:p>
        </w:tc>
        <w:tc>
          <w:tcPr>
            <w:tcW w:w="252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Change in</w:t>
            </w:r>
          </w:p>
        </w:tc>
        <w:tc>
          <w:tcPr>
            <w:tcW w:w="840" w:type="dxa"/>
            <w:vAlign w:val="bottom"/>
            <w:tcBorders>
              <w:bottom w:val="single" w:sz="8" w:color="auto"/>
            </w:tcBorders>
          </w:tcPr>
          <w:p>
            <w:pPr>
              <w:spacing w:after="0"/>
              <w:rPr>
                <w:sz w:val="13"/>
                <w:szCs w:val="13"/>
                <w:color w:val="auto"/>
              </w:rPr>
            </w:pPr>
          </w:p>
        </w:tc>
      </w:tr>
      <w:tr>
        <w:trPr>
          <w:trHeight w:val="139"/>
        </w:trPr>
        <w:tc>
          <w:tcPr>
            <w:tcW w:w="55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w:t>
            </w:r>
          </w:p>
        </w:tc>
      </w:tr>
      <w:tr>
        <w:trPr>
          <w:trHeight w:val="214"/>
        </w:trPr>
        <w:tc>
          <w:tcPr>
            <w:tcW w:w="5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0"/>
                <w:szCs w:val="10"/>
                <w:i w:val="1"/>
                <w:iCs w:val="1"/>
                <w:color w:val="auto"/>
              </w:rPr>
              <w:t>(In thousands, except percentages)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06"/>
        </w:trPr>
        <w:tc>
          <w:tcPr>
            <w:tcW w:w="5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52,927</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36,728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21"/>
              <w:spacing w:after="0"/>
              <w:rPr>
                <w:sz w:val="20"/>
                <w:szCs w:val="20"/>
                <w:color w:val="auto"/>
              </w:rPr>
            </w:pPr>
            <w:r>
              <w:rPr>
                <w:rFonts w:ascii="Arial" w:cs="Arial" w:eastAsia="Arial" w:hAnsi="Arial"/>
                <w:sz w:val="13"/>
                <w:szCs w:val="13"/>
                <w:color w:val="auto"/>
              </w:rPr>
              <w:t>16,199</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44 %</w:t>
            </w:r>
          </w:p>
        </w:tc>
      </w:tr>
      <w:tr>
        <w:trPr>
          <w:trHeight w:val="171"/>
        </w:trPr>
        <w:tc>
          <w:tcPr>
            <w:tcW w:w="5540" w:type="dxa"/>
            <w:vAlign w:val="bottom"/>
          </w:tcPr>
          <w:p>
            <w:pPr>
              <w:ind w:left="20"/>
              <w:spacing w:after="0"/>
              <w:rPr>
                <w:sz w:val="20"/>
                <w:szCs w:val="20"/>
                <w:color w:val="auto"/>
              </w:rPr>
            </w:pPr>
            <w:r>
              <w:rPr>
                <w:rFonts w:ascii="Arial" w:cs="Arial" w:eastAsia="Arial" w:hAnsi="Arial"/>
                <w:sz w:val="13"/>
                <w:szCs w:val="13"/>
                <w:color w:val="auto"/>
              </w:rPr>
              <w:t>Percentage of net revenues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7 %</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39" w:lineRule="exact"/>
        <w:rPr>
          <w:sz w:val="20"/>
          <w:szCs w:val="20"/>
          <w:color w:val="auto"/>
        </w:rPr>
      </w:pPr>
    </w:p>
    <w:p>
      <w:pPr>
        <w:jc w:val="both"/>
        <w:ind w:left="80" w:firstLine="382"/>
        <w:spacing w:after="0" w:line="263" w:lineRule="auto"/>
        <w:rPr>
          <w:sz w:val="20"/>
          <w:szCs w:val="20"/>
          <w:color w:val="auto"/>
        </w:rPr>
      </w:pPr>
      <w:r>
        <w:rPr>
          <w:rFonts w:ascii="Arial" w:cs="Arial" w:eastAsia="Arial" w:hAnsi="Arial"/>
          <w:sz w:val="14"/>
          <w:szCs w:val="14"/>
          <w:color w:val="auto"/>
        </w:rPr>
        <w:t>Sales and marketing expense increased by 44% or $16.2 million for the year ended December 31, 2020 as compared to the same period in 2019. The increase was primarily due to $11.4 million of higher personnel-related expenses as a result of our efforts to improve customer experience by hiring additional employees to reduce the average call wait time for customers, as well as support our business growth in the U.S. and international expansion in Europe, and $5.5 million for a combination of higher marketing expenses, professional services, advertising costs and facilities costs to enable business growth, partially offset by $0.7 million reduction in travel expenditure as we implemented travel restrictions prohibiting all non-essential business travel and converting where possible our in-person sales, trainings and marketing events to virtual-only due to COVID-19.</w:t>
      </w:r>
    </w:p>
    <w:p>
      <w:pPr>
        <w:spacing w:after="0" w:line="96"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50"/>
        </w:trPr>
        <w:tc>
          <w:tcPr>
            <w:tcW w:w="5540" w:type="dxa"/>
            <w:vAlign w:val="bottom"/>
          </w:tcPr>
          <w:p>
            <w:pPr>
              <w:spacing w:after="0"/>
              <w:rPr>
                <w:sz w:val="13"/>
                <w:szCs w:val="13"/>
                <w:color w:val="auto"/>
              </w:rPr>
            </w:pPr>
          </w:p>
        </w:tc>
        <w:tc>
          <w:tcPr>
            <w:tcW w:w="252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Change in</w:t>
            </w:r>
          </w:p>
        </w:tc>
        <w:tc>
          <w:tcPr>
            <w:tcW w:w="840" w:type="dxa"/>
            <w:vAlign w:val="bottom"/>
            <w:tcBorders>
              <w:bottom w:val="single" w:sz="8" w:color="auto"/>
            </w:tcBorders>
          </w:tcPr>
          <w:p>
            <w:pPr>
              <w:spacing w:after="0"/>
              <w:rPr>
                <w:sz w:val="13"/>
                <w:szCs w:val="13"/>
                <w:color w:val="auto"/>
              </w:rPr>
            </w:pPr>
          </w:p>
        </w:tc>
      </w:tr>
      <w:tr>
        <w:trPr>
          <w:trHeight w:val="139"/>
        </w:trPr>
        <w:tc>
          <w:tcPr>
            <w:tcW w:w="55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021"/>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w:t>
            </w:r>
          </w:p>
        </w:tc>
      </w:tr>
      <w:tr>
        <w:trPr>
          <w:trHeight w:val="214"/>
        </w:trPr>
        <w:tc>
          <w:tcPr>
            <w:tcW w:w="5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0"/>
                <w:szCs w:val="10"/>
                <w:i w:val="1"/>
                <w:iCs w:val="1"/>
                <w:color w:val="auto"/>
              </w:rPr>
              <w:t>(In thousands, except percentages)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06"/>
        </w:trPr>
        <w:tc>
          <w:tcPr>
            <w:tcW w:w="5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70"/>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50,694</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38,808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21"/>
              <w:spacing w:after="0"/>
              <w:rPr>
                <w:sz w:val="20"/>
                <w:szCs w:val="20"/>
                <w:color w:val="auto"/>
              </w:rPr>
            </w:pPr>
            <w:r>
              <w:rPr>
                <w:rFonts w:ascii="Arial" w:cs="Arial" w:eastAsia="Arial" w:hAnsi="Arial"/>
                <w:sz w:val="13"/>
                <w:szCs w:val="13"/>
                <w:color w:val="auto"/>
              </w:rPr>
              <w:t>11,886</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r>
      <w:tr>
        <w:trPr>
          <w:trHeight w:val="171"/>
        </w:trPr>
        <w:tc>
          <w:tcPr>
            <w:tcW w:w="5540" w:type="dxa"/>
            <w:vAlign w:val="bottom"/>
          </w:tcPr>
          <w:p>
            <w:pPr>
              <w:ind w:left="20"/>
              <w:spacing w:after="0"/>
              <w:rPr>
                <w:sz w:val="20"/>
                <w:szCs w:val="20"/>
                <w:color w:val="auto"/>
              </w:rPr>
            </w:pPr>
            <w:r>
              <w:rPr>
                <w:rFonts w:ascii="Arial" w:cs="Arial" w:eastAsia="Arial" w:hAnsi="Arial"/>
                <w:sz w:val="13"/>
                <w:szCs w:val="13"/>
                <w:color w:val="auto"/>
              </w:rPr>
              <w:t>Percentage of net revenues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7 %</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28" w:lineRule="exact"/>
        <w:rPr>
          <w:sz w:val="20"/>
          <w:szCs w:val="20"/>
          <w:color w:val="auto"/>
        </w:rPr>
      </w:pPr>
    </w:p>
    <w:p>
      <w:pPr>
        <w:jc w:val="both"/>
        <w:ind w:left="80" w:firstLine="382"/>
        <w:spacing w:after="0" w:line="267" w:lineRule="auto"/>
        <w:rPr>
          <w:sz w:val="20"/>
          <w:szCs w:val="20"/>
          <w:color w:val="auto"/>
        </w:rPr>
      </w:pPr>
      <w:r>
        <w:rPr>
          <w:rFonts w:ascii="Arial" w:cs="Arial" w:eastAsia="Arial" w:hAnsi="Arial"/>
          <w:sz w:val="14"/>
          <w:szCs w:val="14"/>
          <w:color w:val="auto"/>
        </w:rPr>
        <w:t>General and administrative expense increased 31% or $11.9 million for the year ended December 31, 2020, as compared to the same period in 2019. The increase was primarily due to $7.9 million of higher personnel-related expenses, $2.8 million of other operational, technological and facilities costs to support scalability of our business growth and $1.6 million of higher legal and professional services, partially offset by $0.4 million reduction in travel expenditures as we implemented travel restrictions prohibiting all non-essential business travel in response to COVID-19.</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Restructuring Charges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38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Change in</w:t>
            </w:r>
          </w:p>
        </w:tc>
        <w:tc>
          <w:tcPr>
            <w:tcW w:w="1020" w:type="dxa"/>
            <w:vAlign w:val="bottom"/>
            <w:tcBorders>
              <w:bottom w:val="single" w:sz="8" w:color="auto"/>
            </w:tcBorders>
          </w:tcPr>
          <w:p>
            <w:pPr>
              <w:spacing w:after="0"/>
              <w:rPr>
                <w:sz w:val="13"/>
                <w:szCs w:val="13"/>
                <w:color w:val="auto"/>
              </w:rPr>
            </w:pPr>
          </w:p>
        </w:tc>
      </w:tr>
      <w:tr>
        <w:trPr>
          <w:trHeight w:val="139"/>
        </w:trPr>
        <w:tc>
          <w:tcPr>
            <w:tcW w:w="3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2020</w:t>
            </w: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80"/>
              <w:spacing w:after="0"/>
              <w:rPr>
                <w:sz w:val="20"/>
                <w:szCs w:val="20"/>
                <w:color w:val="auto"/>
              </w:rPr>
            </w:pPr>
            <w:r>
              <w:rPr>
                <w:rFonts w:ascii="Arial" w:cs="Arial" w:eastAsia="Arial" w:hAnsi="Arial"/>
                <w:sz w:val="11"/>
                <w:szCs w:val="11"/>
                <w:b w:val="1"/>
                <w:bCs w:val="1"/>
                <w:color w:val="auto"/>
              </w:rPr>
              <w:t>%</w:t>
            </w:r>
          </w:p>
        </w:tc>
      </w:tr>
      <w:tr>
        <w:trPr>
          <w:trHeight w:val="214"/>
        </w:trPr>
        <w:tc>
          <w:tcPr>
            <w:tcW w:w="3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gridSpan w:val="4"/>
          </w:tcPr>
          <w:p>
            <w:pPr>
              <w:jc w:val="right"/>
              <w:ind w:right="243"/>
              <w:spacing w:after="0"/>
              <w:rPr>
                <w:sz w:val="20"/>
                <w:szCs w:val="20"/>
                <w:color w:val="auto"/>
              </w:rPr>
            </w:pPr>
            <w:r>
              <w:rPr>
                <w:rFonts w:ascii="Arial" w:cs="Arial" w:eastAsia="Arial" w:hAnsi="Arial"/>
                <w:sz w:val="10"/>
                <w:szCs w:val="10"/>
                <w:i w:val="1"/>
                <w:iCs w:val="1"/>
                <w:color w:val="auto"/>
              </w:rPr>
              <w:t>(In thousands, except percentages)</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06"/>
        </w:trPr>
        <w:tc>
          <w:tcPr>
            <w:tcW w:w="32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70"/>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estructuring charges</w:t>
            </w:r>
          </w:p>
        </w:tc>
        <w:tc>
          <w:tcPr>
            <w:tcW w:w="24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43"/>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(2,599)</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bl>
    <w:p>
      <w:pPr>
        <w:spacing w:after="0" w:line="140" w:lineRule="exact"/>
        <w:rPr>
          <w:sz w:val="20"/>
          <w:szCs w:val="20"/>
          <w:color w:val="auto"/>
        </w:rPr>
      </w:pPr>
    </w:p>
    <w:p>
      <w:pPr>
        <w:jc w:val="both"/>
        <w:ind w:left="80" w:firstLine="382"/>
        <w:spacing w:after="0" w:line="274" w:lineRule="auto"/>
        <w:rPr>
          <w:sz w:val="20"/>
          <w:szCs w:val="20"/>
          <w:color w:val="auto"/>
        </w:rPr>
      </w:pPr>
      <w:r>
        <w:rPr>
          <w:rFonts w:ascii="Arial" w:cs="Arial" w:eastAsia="Arial" w:hAnsi="Arial"/>
          <w:sz w:val="14"/>
          <w:szCs w:val="14"/>
          <w:color w:val="auto"/>
        </w:rPr>
        <w:t>We completed our 2018 restructuring plan in 2019, hence we incurred no restructuring expenses during the year ended December 31, 2020. Restructuring charges for 2019 primarily include $1.6 million in cash-based severance and related benefits and $1.1 million in non-cash charges for impaired assets, partially offset by a $0.1 million reduction in lease loss reserves due to adoption of ASC 842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389255</wp:posOffset>
            </wp:positionV>
            <wp:extent cx="69596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8"/>
          <w:szCs w:val="8"/>
          <w:color w:val="828282"/>
        </w:rPr>
        <w:t>Enphase Energy, Inc. | 2020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64135</wp:posOffset>
            </wp:positionV>
            <wp:extent cx="716153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360"/>
          </w:cols>
          <w:pgMar w:left="220" w:top="250" w:right="319" w:bottom="1440" w:gutter="0" w:footer="0" w:header="0"/>
        </w:sectPr>
      </w:pPr>
    </w:p>
    <w:bookmarkStart w:id="61" w:name="page62"/>
    <w:bookmarkEnd w:id="6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1"/>
                <w:szCs w:val="11"/>
                <w:b w:val="1"/>
                <w:bCs w:val="1"/>
                <w:color w:val="auto"/>
              </w:rPr>
              <w:t>Years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Change in</w:t>
            </w:r>
          </w:p>
        </w:tc>
        <w:tc>
          <w:tcPr>
            <w:tcW w:w="860" w:type="dxa"/>
            <w:vAlign w:val="bottom"/>
            <w:tcBorders>
              <w:bottom w:val="single" w:sz="8" w:color="auto"/>
            </w:tcBorders>
          </w:tcPr>
          <w:p>
            <w:pPr>
              <w:spacing w:after="0"/>
              <w:rPr>
                <w:sz w:val="13"/>
                <w:szCs w:val="13"/>
                <w:color w:val="auto"/>
              </w:rPr>
            </w:pPr>
          </w:p>
        </w:tc>
      </w:tr>
      <w:tr>
        <w:trPr>
          <w:trHeight w:val="139"/>
        </w:trPr>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w:t>
            </w:r>
          </w:p>
        </w:tc>
      </w:tr>
      <w:tr>
        <w:trPr>
          <w:trHeight w:val="125"/>
        </w:trPr>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4"/>
          </w:tcPr>
          <w:p>
            <w:pPr>
              <w:jc w:val="right"/>
              <w:ind w:right="38"/>
              <w:spacing w:after="0"/>
              <w:rPr>
                <w:sz w:val="20"/>
                <w:szCs w:val="20"/>
                <w:color w:val="auto"/>
              </w:rPr>
            </w:pPr>
            <w:r>
              <w:rPr>
                <w:rFonts w:ascii="Arial" w:cs="Arial" w:eastAsia="Arial" w:hAnsi="Arial"/>
                <w:sz w:val="10"/>
                <w:szCs w:val="10"/>
                <w:i w:val="1"/>
                <w:iCs w:val="1"/>
                <w:color w:val="auto"/>
              </w:rPr>
              <w:t>(In thousands, except percentages)</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94"/>
        </w:trPr>
        <w:tc>
          <w:tcPr>
            <w:tcW w:w="160" w:type="dxa"/>
            <w:vAlign w:val="bottom"/>
          </w:tcPr>
          <w:p>
            <w:pPr>
              <w:spacing w:after="0"/>
              <w:rPr>
                <w:sz w:val="16"/>
                <w:szCs w:val="16"/>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90"/>
        </w:trPr>
        <w:tc>
          <w:tcPr>
            <w:tcW w:w="16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(21,001)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(9,691)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(11,310)</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117 %</w:t>
            </w:r>
          </w:p>
        </w:tc>
      </w:tr>
      <w:tr>
        <w:trPr>
          <w:trHeight w:val="192"/>
        </w:trPr>
        <w:tc>
          <w:tcPr>
            <w:tcW w:w="160" w:type="dxa"/>
            <w:vAlign w:val="bottom"/>
          </w:tcPr>
          <w:p>
            <w:pPr>
              <w:spacing w:after="0"/>
              <w:rPr>
                <w:sz w:val="16"/>
                <w:szCs w:val="16"/>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90"/>
        </w:trPr>
        <w:tc>
          <w:tcPr>
            <w:tcW w:w="16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3"/>
                <w:szCs w:val="13"/>
                <w:color w:val="auto"/>
              </w:rPr>
              <w:t>Change in fair value of derivatives</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(44,348)</w:t>
            </w:r>
          </w:p>
        </w:tc>
        <w:tc>
          <w:tcPr>
            <w:tcW w:w="100" w:type="dxa"/>
            <w:vAlign w:val="bottom"/>
          </w:tcPr>
          <w:p>
            <w:pPr>
              <w:spacing w:after="0"/>
              <w:rPr>
                <w:sz w:val="16"/>
                <w:szCs w:val="16"/>
                <w:color w:val="auto"/>
              </w:rPr>
            </w:pPr>
          </w:p>
        </w:tc>
        <w:tc>
          <w:tcPr>
            <w:tcW w:w="880" w:type="dxa"/>
            <w:vAlign w:val="bottom"/>
          </w:tcPr>
          <w:p>
            <w:pPr>
              <w:jc w:val="right"/>
              <w:ind w:right="741"/>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8"/>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(44,348)</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160" w:type="dxa"/>
            <w:vAlign w:val="bottom"/>
          </w:tcPr>
          <w:p>
            <w:pPr>
              <w:spacing w:after="0"/>
              <w:rPr>
                <w:sz w:val="15"/>
                <w:szCs w:val="15"/>
                <w:color w:val="auto"/>
              </w:rPr>
            </w:pPr>
          </w:p>
        </w:tc>
        <w:tc>
          <w:tcPr>
            <w:tcW w:w="5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other expense, net</w:t>
            </w:r>
          </w:p>
        </w:tc>
        <w:tc>
          <w:tcPr>
            <w:tcW w:w="88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(54,414)</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(431)%</w:t>
            </w:r>
          </w:p>
        </w:tc>
      </w:tr>
      <w:tr>
        <w:trPr>
          <w:trHeight w:val="20"/>
        </w:trPr>
        <w:tc>
          <w:tcPr>
            <w:tcW w:w="16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100"/>
        </w:trPr>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166" w:lineRule="exact"/>
        <w:rPr>
          <w:sz w:val="20"/>
          <w:szCs w:val="20"/>
          <w:color w:val="auto"/>
        </w:rPr>
      </w:pPr>
    </w:p>
    <w:p>
      <w:pPr>
        <w:ind w:left="240" w:hanging="235"/>
        <w:spacing w:after="0"/>
        <w:tabs>
          <w:tab w:leader="none" w:pos="2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8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Interest income of $2.2 million for the year ended December 31, 2020 decreased, as compared to $2.5 million in the same period in 2019, primarily due to significant decline in interest rates earned on cash balances, partially offset by a higher average cash balance earning interest in the year ended December 31, 2020 compared to the same period in 2019 and approximately $0.6 million accrued interest on refunds for tariffs previously paid from September 24, 2018 to March 31, 2020 for certain microinverters that qualify for the Tariff Exclusion.</w:t>
      </w:r>
    </w:p>
    <w:p>
      <w:pPr>
        <w:spacing w:after="0" w:line="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4"/>
          <w:szCs w:val="14"/>
          <w:color w:val="auto"/>
        </w:rPr>
        <w:t>Interest expense of $21.0 million for the year ended December 31, 2020 primarily includes $20.2 million related to the accretion of the debt discount and debt issuance cost as well as coupon interest incurred associated with our Notes due 2024 and Notes due 2025, $0.5 million of interest expense related to long-term financing receivable recorded as debt and interest expense of $0.2 million related to coupon interest incurred and amortization of debt issuance costs associated with our Notes due 2023. Interest expense of $9.7 million for the year ended December 31, 2019 primarily includes $4.6 million related to the coupon interest incurred, debt discount and amortization of debt issuance costs with our Notes due 2024, interest expense of $2.7 million related to the repayment of our term loan, interest expense of $1.5 million related to coupon interest incurred and amortization of debt issuance costs associated with Notes due 2023, and $0.9 million of interest expense related to long-term financing receivable recorded as debt.</w:t>
      </w:r>
    </w:p>
    <w:p>
      <w:pPr>
        <w:spacing w:after="0" w:line="5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Other expense, net of $3.8 million for the year ended December 31, 2020 primarily related to $3.0 million non-cash loss on settlement of $43.9 million aggregate principal amount of the Notes due 2024 and $0.5 million net loss related to foreign currency exchange and remeasurement. Other expense, net of $5.4 million for the year ended December 31, 2019, primarily relates to the $6.0 million fees paid for the repurchase and exchange of our Notes due 2023, partially offset by $0.6 million net gain related to foreign currency exchange and remeasurement.</w:t>
      </w:r>
    </w:p>
    <w:p>
      <w:pPr>
        <w:spacing w:after="0" w:line="4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Change in fair value of derivatives of $44.3 million for the year ended December 31, 2020 primarily includes the charge recognized for the change in fair value of our convertible notes embedded derivative and warrants of $47.6 million and $24.7 million, respectively. This charge is partially offset by a gain recognized for the change in fair value of our convertible notes hedge of $28.0 million. See Note 11, “Debt,” of the notes to consolidated financial statements included in Part II, Item 8 of this Annual Report on Form 10-K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Benefit (Provision)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4"/>
          </w:tcPr>
          <w:p>
            <w:pPr>
              <w:ind w:left="400"/>
              <w:spacing w:after="0"/>
              <w:rPr>
                <w:sz w:val="20"/>
                <w:szCs w:val="20"/>
                <w:color w:val="auto"/>
              </w:rPr>
            </w:pPr>
            <w:r>
              <w:rPr>
                <w:rFonts w:ascii="Arial" w:cs="Arial" w:eastAsia="Arial" w:hAnsi="Arial"/>
                <w:sz w:val="11"/>
                <w:szCs w:val="11"/>
                <w:b w:val="1"/>
                <w:bCs w:val="1"/>
                <w:color w:val="auto"/>
              </w:rPr>
              <w:t>Years Ended December 31,</w:t>
            </w:r>
          </w:p>
        </w:tc>
        <w:tc>
          <w:tcPr>
            <w:tcW w:w="680" w:type="dxa"/>
            <w:vAlign w:val="bottom"/>
          </w:tcPr>
          <w:p>
            <w:pPr>
              <w:spacing w:after="0"/>
              <w:rPr>
                <w:sz w:val="13"/>
                <w:szCs w:val="13"/>
                <w:color w:val="auto"/>
              </w:rPr>
            </w:pPr>
          </w:p>
        </w:tc>
        <w:tc>
          <w:tcPr>
            <w:tcW w:w="1040" w:type="dxa"/>
            <w:vAlign w:val="bottom"/>
          </w:tcPr>
          <w:p>
            <w:pPr>
              <w:jc w:val="right"/>
              <w:ind w:right="100"/>
              <w:spacing w:after="0"/>
              <w:rPr>
                <w:sz w:val="20"/>
                <w:szCs w:val="20"/>
                <w:color w:val="auto"/>
              </w:rPr>
            </w:pPr>
            <w:r>
              <w:rPr>
                <w:rFonts w:ascii="Arial" w:cs="Arial" w:eastAsia="Arial" w:hAnsi="Arial"/>
                <w:sz w:val="11"/>
                <w:szCs w:val="11"/>
                <w:b w:val="1"/>
                <w:bCs w:val="1"/>
                <w:color w:val="auto"/>
              </w:rPr>
              <w:t>Change in</w:t>
            </w:r>
          </w:p>
        </w:tc>
        <w:tc>
          <w:tcPr>
            <w:tcW w:w="860" w:type="dxa"/>
            <w:vAlign w:val="bottom"/>
          </w:tcPr>
          <w:p>
            <w:pPr>
              <w:spacing w:after="0"/>
              <w:rPr>
                <w:sz w:val="13"/>
                <w:szCs w:val="13"/>
                <w:color w:val="auto"/>
              </w:rPr>
            </w:pPr>
          </w:p>
        </w:tc>
      </w:tr>
      <w:tr>
        <w:trPr>
          <w:trHeight w:val="139"/>
        </w:trPr>
        <w:tc>
          <w:tcPr>
            <w:tcW w:w="56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w:t>
            </w:r>
          </w:p>
        </w:tc>
      </w:tr>
      <w:tr>
        <w:trPr>
          <w:trHeight w:val="139"/>
        </w:trPr>
        <w:tc>
          <w:tcPr>
            <w:tcW w:w="5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 except percentages)</w:t>
            </w: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14,585</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71,034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w w:val="99"/>
              </w:rPr>
              <w:t>(56,449)</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bl>
    <w:p>
      <w:pPr>
        <w:spacing w:after="0" w:line="14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income tax benefit of $14.6 million for the year ended December 31, 2020, decreased compared to the income tax benefit of $71.0 million in 2019, primarily due to the valuation allowance release for the year ended December 31, 2019, partially offset by excess tax benefits related to stock-based compensation tax deduction for year ended December 31, 2020. See Note 15. “Income Taxes,” of the notes to consolidated financial statements included in Part II, Item 8 of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392430</wp:posOffset>
            </wp:positionV>
            <wp:extent cx="69596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2" w:name="page63"/>
    <w:bookmarkEnd w:id="6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9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As of December 31, 2020, we had $399.0 million in working capital, including cash and cash equivalents of $679.4 million, of which approximately $659.2 million were held in the U.S. Our cash and cash equivalents primarily consist of U.S. government money market mutual funds and both interest-bearing and non-interest-bearing deposits, with the remainder held in various foreign subsidiaries. We consider amounts held outside the U.S. to be accessible and have provided for the estimated U.S. income tax liability associated with our foreign earnings. However, our liquidity may be negatively impacted if sales decline significantly for an extended period due to the impact of the ongoing COVID-19 pandemic. While we have experienced delays in collections from certain customers due to COVID-19, we believe we will be able to meet our anticipated cash needs for at least the next 12 months. Further, the extent to which the ongoing COVID-19 pandemic and our precautionary measures in response thereto impact our business and liquidity will depend on future developments, which are uncertain and cannot be precisely predicted at this time.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i w:val="1"/>
          <w:iCs w:val="1"/>
          <w:color w:val="auto"/>
        </w:rPr>
        <w:t>Notes due 2023</w:t>
      </w:r>
      <w:r>
        <w:rPr>
          <w:rFonts w:ascii="Arial" w:cs="Arial" w:eastAsia="Arial" w:hAnsi="Arial"/>
          <w:sz w:val="14"/>
          <w:szCs w:val="14"/>
          <w:color w:val="auto"/>
        </w:rPr>
        <w:t>. As of December 31, 2020, we had $5.0 million aggregate principal amount of our Notes due 2023 outstanding. The Notes due 2023 are general unsecured</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 and bear interest at a rate of 4.00% per year, payable semi-annually on February 1 and August 1 of each year. The Notes due 2023 will mature on August 1, 2023, unless earlier repurchased by us or converted at the option of the holders.</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i w:val="1"/>
          <w:iCs w:val="1"/>
          <w:color w:val="auto"/>
        </w:rPr>
        <w:t>Notes due 2024</w:t>
      </w:r>
      <w:r>
        <w:rPr>
          <w:rFonts w:ascii="Arial" w:cs="Arial" w:eastAsia="Arial" w:hAnsi="Arial"/>
          <w:sz w:val="14"/>
          <w:szCs w:val="14"/>
          <w:color w:val="auto"/>
        </w:rPr>
        <w:t>. As of December 31, 2020, we had $88.1 million aggregate principal amount of our Notes due 2024 outstanding. The Notes due 2024 are general unsecured</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obligations and bear interest at a rate of 1.0% per year, payable semi-annually on June 1 and December 1 of each year. The Notes due 2024 will mature on June 1, 2024, unless earlier repurchased by us or converted at the option of the holders at a conversion price of $20.50 per share.</w:t>
      </w:r>
    </w:p>
    <w:p>
      <w:pPr>
        <w:spacing w:after="0" w:line="4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The Notes due 2024 may be converted on any day prior to the close of business on the business day immediately preceding December 1, 2023, in multiples of $1,000 principal amount, at the option of the holder only under any of the following circumstances: (1) during any calendar quarter commencing after the calendar quarter ending on September 30, 2019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Upon conversion of any of the notes, we will pay or deliver, as the case may be, cash, shares of common stock or a combination of cash and common stock, at our election.</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From April 1, 2020 through March 31, 2021, the Notes due 2024 may be converted because the last reported sale price of our common stock for at least 20 trading days during a period of 30 consecutive trading days ending on March 31, 2020, June, 30, 2020, September 30, 2020 and December 31, 2020 was greater than or equal to $26.6513 on each applicable trading day. Upon conversion of any of the notes, we will pay or deliver, as the case may be, cash, shares of common stock or a combination of cash and common stock, at our election.</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connection with the offering of the Notes due 2024, we entered into privately-negotiated convertible note hedge transactions in order to reduce the potential dilution to our common stock upon any conversion of the Notes due 2024. Also, concurrently with the offering of the Notes due 2024, we entered into privately-negotiated warrant transactions whereby we issued warrants to effectively increase the overall conversion price of Notes due 2024 from $20.5010 to $25.2320.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3" w:name="page64"/>
    <w:bookmarkEnd w:id="6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From January 1, 2021 through February 12, 2021, we’ve received the request for conversion of approximately $61.5 million in principal amount of our Notes due 2024, of which we have elected to settle the aggregate principal amount of the Notes due 2024 in a combination of cash and any excess in shares of our common stock in accordance with the applicable indenture. Such conversion will be settled in March 2021. We may purchase shares under the convertible note hedge to the extent shares of our common stock are issued for the additional conversion amount due over the principal amount. From January 1, 2021 through February 12, 2021, we had not purchased any shares under the convertible note hedge and the warrants had not been exercised and remain outstanding. If we receive additional request for conversion from the holders of the Notes due 2024 to exercise their right to convert the debt to equity, we have asserted our intent and ability to settle the remaining $26.6 million aggregate principal amount of the Notes due 2024 in cash.</w:t>
      </w:r>
    </w:p>
    <w:p>
      <w:pPr>
        <w:spacing w:after="0" w:line="2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i w:val="1"/>
          <w:iCs w:val="1"/>
          <w:color w:val="auto"/>
        </w:rPr>
        <w:t>Notes due 2025</w:t>
      </w:r>
      <w:r>
        <w:rPr>
          <w:rFonts w:ascii="Arial" w:cs="Arial" w:eastAsia="Arial" w:hAnsi="Arial"/>
          <w:sz w:val="14"/>
          <w:szCs w:val="14"/>
          <w:color w:val="auto"/>
        </w:rPr>
        <w:t>. As of December 31, 2020, we had $320.0 million aggregate principal amount of our Notes due 2025 outstanding. The Notes due 2025 are general</w:t>
      </w:r>
      <w:r>
        <w:rPr>
          <w:rFonts w:ascii="Arial" w:cs="Arial" w:eastAsia="Arial" w:hAnsi="Arial"/>
          <w:sz w:val="14"/>
          <w:szCs w:val="14"/>
          <w:i w:val="1"/>
          <w:iCs w:val="1"/>
          <w:color w:val="auto"/>
        </w:rPr>
        <w:t xml:space="preserve"> </w:t>
      </w:r>
      <w:r>
        <w:rPr>
          <w:rFonts w:ascii="Arial" w:cs="Arial" w:eastAsia="Arial" w:hAnsi="Arial"/>
          <w:sz w:val="14"/>
          <w:szCs w:val="14"/>
          <w:color w:val="auto"/>
        </w:rPr>
        <w:t>unsecured obligations and bear interest at a rate of 0.25% per year, payable semi-annually on March 1 and September 1 of each year, beginning on September 1, 2020. The Notes due 2025 will mature on March 1, 2025, unless earlier repurchased by us or converted at the option of the holders at a conversion price of $81.54 per share.</w:t>
      </w:r>
    </w:p>
    <w:p>
      <w:pPr>
        <w:spacing w:after="0" w:line="43"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Notes due 2025 may be converted on any day prior to the close of business on the business day immediately preceding September 1, 2024, in multiples of $1,000 principal amount, at the option of the holder only under any of the following circumstances: (1) during any calendar quarter commencing after the calendar quarter ending on June 30, 2020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$106.00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5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From January 1, 2021 through March 31, 2021, the Notes due 2025 may be converted because the last reported sale price of our common stock for at least 20 trading days during a period of 30 consecutive trading days ending on December 31, 2020 was greater than or equal to $106.00 on each applicable trading day. Upon conversion of any of the notes, we will pay or deliver, as the case may be, cash, shares of common stock or a combination of cash and common stock, at our election.</w:t>
      </w:r>
    </w:p>
    <w:p>
      <w:pPr>
        <w:spacing w:after="0" w:line="4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connection with the offering of the Notes due 2025, we entered into privately-negotiated convertible note hedge transactions in order to reduce the potential dilution to our common stock upon any conversion of the Notes due 2025. The total cost of the convertible note hedge transactions was approximately $89.1 million. Also, concurrently with the offering of the Notes due 2025, we entered into privately-negotiated warrant transactions whereby we issued warrants to acquire shares of our common stock at a strike price of $106.94 rather than the Notes due 2025 conversion price of $81.54. We received approximately $71.6 million from the sale of the warrants.</w:t>
      </w:r>
    </w:p>
    <w:p>
      <w:pPr>
        <w:spacing w:after="0" w:line="47"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As of February 12, 2021, the Notes due 2025 were not converted into equity, therefore, we had not purchased any shares under the convertible note hedge and the warrants had not been exercised and remain outstanding. If holders of the Notes due 2025 are able to convert the debt to equity, and exercise that right, we have asserted our intent and ability to settle the $320.0 million aggregate principal amount of the Notes due 2025 in cash.</w:t>
      </w:r>
    </w:p>
    <w:p>
      <w:pPr>
        <w:spacing w:after="0" w:line="4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Cash from operations could be affected by various risks and uncertainties, including, but not limited to, the effects of COVID-19 and other risks detailed in the ‘risk factor’ section in Part I, Item 1A “Risk Factors” of this Annual Report on Form 10-K.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the costs to acquire or invest in complementary businesses and technologies, the costs to ensure access to adequate manufacturing capacity, the continuing market acceptance of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4" w:name="page65"/>
    <w:bookmarkEnd w:id="6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macroeconomic events such as the impacts from COVID-19. 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Repurchase Program</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 April 2020, our board of directors authorized the repurchase of up to $200.0 million of our common stock, exclusive of brokerage commissions. Purchases will be completed from time to time in the open market or through structured repurchase agreements with third parties. Such purchases are expected to continue through March 2022 unless otherwise extended or shortened by our board of directors. The timing and amount of repurchases will depend on a variety of factors, including the price of our common stock compared to the intrinsic value, alternative investment opportunities, corporate and regulatory requirements and market conditions. As of December 31, 2020, we have not repurchased any shares under this repurchase program.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following table summarizes our cash flows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r>
      <w:tr>
        <w:trPr>
          <w:trHeight w:val="139"/>
        </w:trPr>
        <w:tc>
          <w:tcPr>
            <w:tcW w:w="8020" w:type="dxa"/>
            <w:vAlign w:val="bottom"/>
          </w:tcPr>
          <w:p>
            <w:pPr>
              <w:spacing w:after="0"/>
              <w:rPr>
                <w:sz w:val="12"/>
                <w:szCs w:val="1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2"/>
                <w:szCs w:val="12"/>
                <w:color w:val="auto"/>
              </w:rPr>
            </w:pPr>
          </w:p>
        </w:tc>
      </w:tr>
      <w:tr>
        <w:trPr>
          <w:trHeight w:val="139"/>
        </w:trPr>
        <w:tc>
          <w:tcPr>
            <w:tcW w:w="8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gridSpan w:val="3"/>
          </w:tcPr>
          <w:p>
            <w:pPr>
              <w:jc w:val="right"/>
              <w:ind w:right="619"/>
              <w:spacing w:after="0"/>
              <w:rPr>
                <w:sz w:val="20"/>
                <w:szCs w:val="20"/>
                <w:color w:val="auto"/>
              </w:rPr>
            </w:pPr>
            <w:r>
              <w:rPr>
                <w:rFonts w:ascii="Arial" w:cs="Arial" w:eastAsia="Arial" w:hAnsi="Arial"/>
                <w:sz w:val="11"/>
                <w:szCs w:val="11"/>
                <w:i w:val="1"/>
                <w:iCs w:val="1"/>
                <w:color w:val="auto"/>
              </w:rPr>
              <w:t>(In thousands)</w:t>
            </w:r>
          </w:p>
        </w:tc>
        <w:tc>
          <w:tcPr>
            <w:tcW w:w="580" w:type="dxa"/>
            <w:vAlign w:val="bottom"/>
          </w:tcPr>
          <w:p>
            <w:pPr>
              <w:spacing w:after="0"/>
              <w:rPr>
                <w:sz w:val="12"/>
                <w:szCs w:val="12"/>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216,334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139,067</w:t>
            </w:r>
          </w:p>
        </w:tc>
      </w:tr>
      <w:tr>
        <w:trPr>
          <w:trHeight w:val="170"/>
        </w:trPr>
        <w:tc>
          <w:tcPr>
            <w:tcW w:w="802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(25,568)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(14,788)</w:t>
            </w: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191,678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65,850</w:t>
            </w:r>
          </w:p>
        </w:tc>
      </w:tr>
      <w:tr>
        <w:trPr>
          <w:trHeight w:val="1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w:t>
            </w: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in cash and cash equivalents</w:t>
            </w:r>
          </w:p>
        </w:tc>
        <w:tc>
          <w:tcPr>
            <w:tcW w:w="100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383,270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189,872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from Operating Activities</w:t>
      </w:r>
    </w:p>
    <w:p>
      <w:pPr>
        <w:spacing w:after="0" w:line="13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4"/>
          <w:szCs w:val="14"/>
          <w:color w:val="auto"/>
        </w:rPr>
        <w:t>Cash flows from operating activities consist of our net income adjusted for certain non-cash reconciling items, such as stock-based compensation expense, change in the fair value of derivatives, deferred income tax benefit, loss on conversion of Notes due 2024, depreciation and amortization, and changes in our operating assets and liabilities. Net cash provided by operating activities increased by $77.3 million for the year ended December 31, 2020 compared to the year ended December 31, 2019, primarily due to an increase in our gross profit as a result of increased revenue, $24.8 million cash received of the total tariff refund request of $39.5 million, partially offset by higher operating expenses as we continue to invest in the long-term growth of our business and also by $3.1 million cash repayment deemed as an amount paid for settlement of $43.9 million aggregate principal amount of the Notes due 2024 accreted debt discount. For more detail on tariff refund request, refer Note 12. “Contingencies” in “Commitments and Contingencies,” of the notes to consolidated financial statements included in Part II, Item 8 of this Annual Report on Form 10-K for additional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from Investing Activities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For the year ended December 31, 2020 net cash used in investing activities was primarily from $20.6 million used in purchases of test and assembly equipment to expand our supply capacity, related facility improvements and information technology enhancements, and capitalized costs related to internal-use software and $5.0 million payment related to the acquisition of equity investment in a private company.</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For the year ended December 31, 2019, net cash used in investing activities was primarily used in purchases of test and assembly equipment to expand our supply capacity, related facility improvements and information technology enhancements, and capitalized costs related to internal-use software.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from Financing Activities</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For the year ended December 31, 2020, net cash provided by financing activities of $191.7 million was primarily from $312.4 million net proceeds from the issuance of our Notes due 2025, $71.6 million from sale of warrants related to our Notes due 2025, $8.4 million net proceeds from employee stock option exercises and issuance of common stock under our employee stock incentive program, partially offset by $89.1 million purchase of convertible note bond hedge related to our Notes due 2025, $68.3 million payment of employee withholding taxes related to net share settlement of equity awards, $40.7 million settlement of $43.9 million in aggregate principal amount of the Notes due 2024 and $2.6 million of repayment on sale of long-term financing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5" w:name="page66"/>
    <w:bookmarkEnd w:id="6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For the year ended December 31, 2019, net cash provided by financing activities of $65.9 million was primarily from $127.4 million net proceeds from the issuance of our Notes due 2024, $ 29.8 million from sale of warrants, $5.0 million net proceeds from employee stock option exercises and issuance of common stock under our employee stock incentive program, partially offset by $45.9 million repayment of our term loan and long-term financing receivable recorded as debt, $36.3 million purchase of bond hedges related to our Notes due 2024, $6.0 million fee paid to repurchase and exchange $60.0 million of Notes due 2023 and $8.2 million payment of employee withholding taxes related to net share settlement of equity awards.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outstanding contractual obligations as of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rPr>
              <w:t>Payments Due by Period</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3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rPr>
              <w:t>2022-2023</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2024-2025</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Beyond 2025</w:t>
            </w:r>
          </w:p>
        </w:tc>
      </w:tr>
      <w:tr>
        <w:trPr>
          <w:trHeight w:val="13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370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Operating leases</w:t>
            </w:r>
          </w:p>
        </w:tc>
        <w:tc>
          <w:tcPr>
            <w:tcW w:w="900" w:type="dxa"/>
            <w:vAlign w:val="bottom"/>
            <w:shd w:val="clear" w:color="auto" w:fill="BFE4FF"/>
          </w:tcPr>
          <w:p>
            <w:pPr>
              <w:jc w:val="right"/>
              <w:ind w:right="739"/>
              <w:spacing w:after="0"/>
              <w:rPr>
                <w:sz w:val="20"/>
                <w:szCs w:val="20"/>
                <w:color w:val="auto"/>
              </w:rPr>
            </w:pPr>
            <w:r>
              <w:rPr>
                <w:rFonts w:ascii="Arial" w:cs="Arial" w:eastAsia="Arial" w:hAnsi="Arial"/>
                <w:sz w:val="13"/>
                <w:szCs w:val="13"/>
                <w:color w:val="auto"/>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23,875</w:t>
            </w:r>
          </w:p>
        </w:tc>
        <w:tc>
          <w:tcPr>
            <w:tcW w:w="100" w:type="dxa"/>
            <w:vAlign w:val="bottom"/>
            <w:shd w:val="clear" w:color="auto" w:fill="BFE4FF"/>
          </w:tcPr>
          <w:p>
            <w:pPr>
              <w:spacing w:after="0"/>
              <w:rPr>
                <w:sz w:val="14"/>
                <w:szCs w:val="14"/>
                <w:color w:val="auto"/>
              </w:rPr>
            </w:pPr>
          </w:p>
        </w:tc>
        <w:tc>
          <w:tcPr>
            <w:tcW w:w="880" w:type="dxa"/>
            <w:vAlign w:val="bottom"/>
            <w:shd w:val="clear" w:color="auto" w:fill="BFE4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5,830</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jc w:val="right"/>
              <w:ind w:right="79"/>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8,733</w:t>
            </w:r>
          </w:p>
        </w:tc>
        <w:tc>
          <w:tcPr>
            <w:tcW w:w="100" w:type="dxa"/>
            <w:vAlign w:val="bottom"/>
            <w:shd w:val="clear" w:color="auto" w:fill="BFE4FF"/>
          </w:tcPr>
          <w:p>
            <w:pPr>
              <w:spacing w:after="0"/>
              <w:rPr>
                <w:sz w:val="14"/>
                <w:szCs w:val="14"/>
                <w:color w:val="auto"/>
              </w:rPr>
            </w:pPr>
          </w:p>
        </w:tc>
        <w:tc>
          <w:tcPr>
            <w:tcW w:w="260" w:type="dxa"/>
            <w:vAlign w:val="bottom"/>
            <w:shd w:val="clear" w:color="auto" w:fill="BFE4FF"/>
          </w:tcPr>
          <w:p>
            <w:pPr>
              <w:jc w:val="right"/>
              <w:ind w:right="1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5,344</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3,968</w:t>
            </w:r>
          </w:p>
        </w:tc>
      </w:tr>
      <w:tr>
        <w:trPr>
          <w:trHeight w:val="170"/>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Notes due 2023 principal and interest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5,600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5,400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0" w:type="dxa"/>
            <w:vAlign w:val="bottom"/>
          </w:tcPr>
          <w:p>
            <w:pPr>
              <w:spacing w:after="0"/>
              <w:rPr>
                <w:sz w:val="14"/>
                <w:szCs w:val="14"/>
                <w:color w:val="auto"/>
              </w:rPr>
            </w:pPr>
          </w:p>
        </w:tc>
        <w:tc>
          <w:tcPr>
            <w:tcW w:w="3700" w:type="dxa"/>
            <w:vAlign w:val="bottom"/>
            <w:gridSpan w:val="2"/>
            <w:shd w:val="clear" w:color="auto" w:fill="BFE4FF"/>
          </w:tcPr>
          <w:p>
            <w:pPr>
              <w:spacing w:after="0" w:line="170" w:lineRule="exact"/>
              <w:rPr>
                <w:sz w:val="20"/>
                <w:szCs w:val="20"/>
                <w:color w:val="auto"/>
              </w:rPr>
            </w:pPr>
            <w:r>
              <w:rPr>
                <w:rFonts w:ascii="Arial" w:cs="Arial" w:eastAsia="Arial" w:hAnsi="Arial"/>
                <w:sz w:val="13"/>
                <w:szCs w:val="13"/>
                <w:color w:val="auto"/>
              </w:rPr>
              <w:t xml:space="preserve">Notes due 2024 principal and interest </w:t>
            </w:r>
            <w:r>
              <w:rPr>
                <w:rFonts w:ascii="Arial" w:cs="Arial" w:eastAsia="Arial" w:hAnsi="Arial"/>
                <w:sz w:val="16"/>
                <w:szCs w:val="16"/>
                <w:color w:val="auto"/>
                <w:vertAlign w:val="superscript"/>
              </w:rPr>
              <w:t>(1)</w:t>
            </w:r>
          </w:p>
        </w:tc>
        <w:tc>
          <w:tcPr>
            <w:tcW w:w="90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89,180</w:t>
            </w:r>
          </w:p>
        </w:tc>
        <w:tc>
          <w:tcPr>
            <w:tcW w:w="100" w:type="dxa"/>
            <w:vAlign w:val="bottom"/>
            <w:shd w:val="clear" w:color="auto" w:fill="BFE4FF"/>
          </w:tcPr>
          <w:p>
            <w:pPr>
              <w:spacing w:after="0"/>
              <w:rPr>
                <w:sz w:val="14"/>
                <w:szCs w:val="14"/>
                <w:color w:val="auto"/>
              </w:rPr>
            </w:pPr>
          </w:p>
        </w:tc>
        <w:tc>
          <w:tcPr>
            <w:tcW w:w="88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61,822</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BFE4FF"/>
          </w:tcPr>
          <w:p>
            <w:pPr>
              <w:spacing w:after="0"/>
              <w:rPr>
                <w:sz w:val="14"/>
                <w:szCs w:val="14"/>
                <w:color w:val="auto"/>
              </w:rPr>
            </w:pPr>
          </w:p>
        </w:tc>
        <w:tc>
          <w:tcPr>
            <w:tcW w:w="260" w:type="dxa"/>
            <w:vAlign w:val="bottom"/>
            <w:shd w:val="clear" w:color="auto" w:fill="BFE4FF"/>
          </w:tcPr>
          <w:p>
            <w:pPr>
              <w:spacing w:after="0"/>
              <w:rPr>
                <w:sz w:val="14"/>
                <w:szCs w:val="14"/>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26,766</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Notes due 2025 principal and interest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323,602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321,202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0" w:type="dxa"/>
            <w:vAlign w:val="bottom"/>
          </w:tcPr>
          <w:p>
            <w:pPr>
              <w:spacing w:after="0"/>
              <w:rPr>
                <w:sz w:val="14"/>
                <w:szCs w:val="14"/>
                <w:color w:val="auto"/>
              </w:rPr>
            </w:pPr>
          </w:p>
        </w:tc>
        <w:tc>
          <w:tcPr>
            <w:tcW w:w="3700" w:type="dxa"/>
            <w:vAlign w:val="bottom"/>
            <w:gridSpan w:val="2"/>
            <w:shd w:val="clear" w:color="auto" w:fill="BFE4FF"/>
          </w:tcPr>
          <w:p>
            <w:pPr>
              <w:spacing w:after="0" w:line="170" w:lineRule="exact"/>
              <w:rPr>
                <w:sz w:val="20"/>
                <w:szCs w:val="20"/>
                <w:color w:val="auto"/>
              </w:rPr>
            </w:pPr>
            <w:r>
              <w:rPr>
                <w:rFonts w:ascii="Arial" w:cs="Arial" w:eastAsia="Arial" w:hAnsi="Arial"/>
                <w:sz w:val="13"/>
                <w:szCs w:val="13"/>
                <w:color w:val="auto"/>
              </w:rPr>
              <w:t xml:space="preserve">Purchase obligations </w:t>
            </w:r>
            <w:r>
              <w:rPr>
                <w:rFonts w:ascii="Arial" w:cs="Arial" w:eastAsia="Arial" w:hAnsi="Arial"/>
                <w:sz w:val="16"/>
                <w:szCs w:val="16"/>
                <w:color w:val="auto"/>
                <w:vertAlign w:val="superscript"/>
              </w:rPr>
              <w:t>(2)</w:t>
            </w:r>
          </w:p>
        </w:tc>
        <w:tc>
          <w:tcPr>
            <w:tcW w:w="90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97"/>
              </w:rPr>
              <w:t>162,184</w:t>
            </w:r>
          </w:p>
        </w:tc>
        <w:tc>
          <w:tcPr>
            <w:tcW w:w="100" w:type="dxa"/>
            <w:vAlign w:val="bottom"/>
            <w:shd w:val="clear" w:color="auto" w:fill="BFE4FF"/>
          </w:tcPr>
          <w:p>
            <w:pPr>
              <w:spacing w:after="0"/>
              <w:rPr>
                <w:sz w:val="14"/>
                <w:szCs w:val="14"/>
                <w:color w:val="auto"/>
              </w:rPr>
            </w:pPr>
          </w:p>
        </w:tc>
        <w:tc>
          <w:tcPr>
            <w:tcW w:w="88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162,184</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132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BFE4FF"/>
          </w:tcPr>
          <w:p>
            <w:pPr>
              <w:spacing w:after="0"/>
              <w:rPr>
                <w:sz w:val="14"/>
                <w:szCs w:val="14"/>
                <w:color w:val="auto"/>
              </w:rPr>
            </w:pPr>
          </w:p>
        </w:tc>
        <w:tc>
          <w:tcPr>
            <w:tcW w:w="126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BFE4FF"/>
          </w:tcPr>
          <w:p>
            <w:pPr>
              <w:spacing w:after="0"/>
              <w:rPr>
                <w:sz w:val="14"/>
                <w:szCs w:val="14"/>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Total</w:t>
            </w:r>
          </w:p>
        </w:tc>
        <w:tc>
          <w:tcPr>
            <w:tcW w:w="90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604,441</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230,836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16,325</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353,312</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3,968</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7"/>
        </w:trPr>
        <w:tc>
          <w:tcPr>
            <w:tcW w:w="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r>
    </w:tbl>
    <w:p>
      <w:pPr>
        <w:spacing w:after="0" w:line="172" w:lineRule="exact"/>
        <w:rPr>
          <w:sz w:val="20"/>
          <w:szCs w:val="20"/>
          <w:color w:val="auto"/>
        </w:rPr>
      </w:pPr>
    </w:p>
    <w:p>
      <w:pPr>
        <w:jc w:val="both"/>
        <w:ind w:left="260" w:hanging="255"/>
        <w:spacing w:after="0" w:line="274" w:lineRule="auto"/>
        <w:tabs>
          <w:tab w:leader="none" w:pos="2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request for conversion of approximately $61.5 million in principal amount of our Notes due 2024 received through issuance of the financial statements on February 12, 2021, of which we have elected to settle the aggregate principal amount of the Notes due 2024 in a combination of cash and any excess in shares of our common stock in accordance with the applicable indenture. Such conversion will be settled in March 2021.</w:t>
      </w:r>
    </w:p>
    <w:p>
      <w:pPr>
        <w:spacing w:after="0" w:line="42" w:lineRule="exact"/>
        <w:rPr>
          <w:rFonts w:ascii="Arial" w:cs="Arial" w:eastAsia="Arial" w:hAnsi="Arial"/>
          <w:sz w:val="14"/>
          <w:szCs w:val="14"/>
          <w:color w:val="auto"/>
        </w:rPr>
      </w:pPr>
    </w:p>
    <w:p>
      <w:pPr>
        <w:jc w:val="both"/>
        <w:ind w:left="260" w:hanging="255"/>
        <w:spacing w:after="0" w:line="274" w:lineRule="auto"/>
        <w:tabs>
          <w:tab w:leader="none" w:pos="2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Purchase obligations include amounts related to component inventory that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2020, we did not have any off-balance sheet arrangements, as defined in Item 303(a)(4)(ii) of SEC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w:t>
      </w:r>
    </w:p>
    <w:p>
      <w:pPr>
        <w:spacing w:after="0" w:line="27"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the global impact of COVID-19.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see Note 2. “Summary of Significant Accounting Policies,” of the notes to consolidated financial statements included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396875</wp:posOffset>
            </wp:positionV>
            <wp:extent cx="695960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6" w:name="page67"/>
    <w:bookmarkEnd w:id="6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generate revenue from sales of our solutions, which include microinverter units and related accessories, an Envoy communications gateway, the cloud-based Enlighten monitoring service, and storage solutions to distributors, large installers, OEMs and strategic partners.</w:t>
      </w:r>
    </w:p>
    <w:p>
      <w:pPr>
        <w:spacing w:after="0" w:line="2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January 1, 2018, we adopted Accounting Standards Codification (“ASC”) No. 606, “Revenue Recognition” (“ASC 606” or “Topic 606”) and applied the modified retrospective method to all contracts that were not completed as of January 1, 2018. The most significant impacts upon adoption of Topic 606 were how we account for revenue related to our Envoy communications device and related Enlighten service and the timing of when certain sales incentives are recognized. The full consideration for these products represents a single performance obligation and is deferred and recognized over the estimated service period.</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Revenues are recognized when control of the promised goods or services are transferred to our customers in an amount that reflects the consideration that is expected to be received in exchange for those goods or services. We generate all of our revenues from contracts with our customers. A description of principal activities from which we generate revenues are as follows.</w:t>
      </w:r>
    </w:p>
    <w:p>
      <w:pPr>
        <w:spacing w:after="0" w:line="43" w:lineRule="exact"/>
        <w:rPr>
          <w:sz w:val="20"/>
          <w:szCs w:val="20"/>
          <w:color w:val="auto"/>
        </w:rPr>
      </w:pPr>
    </w:p>
    <w:p>
      <w:pPr>
        <w:jc w:val="both"/>
        <w:ind w:left="640" w:hanging="253"/>
        <w:spacing w:after="0" w:line="267" w:lineRule="auto"/>
        <w:tabs>
          <w:tab w:leader="none" w:pos="636"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Products Delivered at a Point in Time. </w:t>
      </w:r>
      <w:r>
        <w:rPr>
          <w:rFonts w:ascii="Arial" w:cs="Arial" w:eastAsia="Arial" w:hAnsi="Arial"/>
          <w:sz w:val="14"/>
          <w:szCs w:val="14"/>
          <w:color w:val="auto"/>
        </w:rPr>
        <w:t>We sell our products to customers in accordance with the terms of the related customer contracts. We generate revenues from</w:t>
      </w:r>
      <w:r>
        <w:rPr>
          <w:rFonts w:ascii="Arial" w:cs="Arial" w:eastAsia="Arial" w:hAnsi="Arial"/>
          <w:sz w:val="14"/>
          <w:szCs w:val="14"/>
          <w:i w:val="1"/>
          <w:iCs w:val="1"/>
          <w:color w:val="auto"/>
        </w:rPr>
        <w:t xml:space="preserve"> </w:t>
      </w:r>
      <w:r>
        <w:rPr>
          <w:rFonts w:ascii="Arial" w:cs="Arial" w:eastAsia="Arial" w:hAnsi="Arial"/>
          <w:sz w:val="14"/>
          <w:szCs w:val="14"/>
          <w:color w:val="auto"/>
        </w:rPr>
        <w:t>sales of our solutions, which include microinverter units and related accessories, an Envoy communications gateway and Enlighten service, communications accessories and storage solutions to distributors, large installers, OEMs and strategic partners. Microinverter units, microinverter accessories, and storage solutions are delivered to customers at a point in time, and we recognize revenue for these products when we transfer control of the product to the customer, which is generally upon shipment.</w:t>
      </w:r>
    </w:p>
    <w:p>
      <w:pPr>
        <w:spacing w:after="0" w:line="47" w:lineRule="exact"/>
        <w:rPr>
          <w:rFonts w:ascii="Arial" w:cs="Arial" w:eastAsia="Arial" w:hAnsi="Arial"/>
          <w:sz w:val="14"/>
          <w:szCs w:val="14"/>
          <w:i w:val="1"/>
          <w:iCs w:val="1"/>
          <w:color w:val="auto"/>
        </w:rPr>
      </w:pPr>
    </w:p>
    <w:p>
      <w:pPr>
        <w:jc w:val="both"/>
        <w:ind w:left="640" w:hanging="253"/>
        <w:spacing w:after="0" w:line="267" w:lineRule="auto"/>
        <w:tabs>
          <w:tab w:leader="none" w:pos="636"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Products Delivered Over Time. </w:t>
      </w:r>
      <w:r>
        <w:rPr>
          <w:rFonts w:ascii="Arial" w:cs="Arial" w:eastAsia="Arial" w:hAnsi="Arial"/>
          <w:sz w:val="14"/>
          <w:szCs w:val="14"/>
          <w:color w:val="auto"/>
        </w:rPr>
        <w:t>The sale of an Envoy communications gateway includes our Enlighten cloud-based monitoring service. The full consideration for these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represents a single performance obligation and is deferred at the sale date and recognized over the estimated service period of 6 years. We also sell certain communication accessories that contain a service performance obligation to be delivered over time. The revenue from these products is recognized over the related service period, which is typically 5 or 12 years.</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When we sell a product with more than one performance obligation, such as our IQ Combiner which includes both hardware and Envoy, the total consideration is allocated to these performance obligations based on their relative standalone selling prices. We previously sold Envoy communications device to certain customers under a long-term financing arrangement. Under this financing arrangement, we net the unbilled receivables against deferred revenue.</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record certain contra revenue promotions as variable consideration and recognizes these promotions at the time the related revenue is recorded.</w:t>
      </w:r>
    </w:p>
    <w:p>
      <w:pPr>
        <w:spacing w:after="0" w:line="94"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record upfront contract acquisition costs, such as sales commissions, to be capitalized and amortized over the estimated life of the asset. For contracts that have a duration of less than one year, we follow the Topic 606 practical expedient and expense these costs when incurred. Commissions related to our sale of monitoring hardware and service are capitalized and amortized over the period of the associated revenue.</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See Note 3. “Revenue Recognition,” of the notes to consolidated financial statements included in Part II, Item 8 of this Annual Report on Form 10-K for additional information related to revenue recognition.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4"/>
          <w:szCs w:val="14"/>
          <w:i w:val="1"/>
          <w:iCs w:val="1"/>
          <w:color w:val="auto"/>
        </w:rPr>
        <w:t>i.e.</w:t>
      </w:r>
      <w:r>
        <w:rPr>
          <w:rFonts w:ascii="Arial" w:cs="Arial" w:eastAsia="Arial" w:hAnsi="Arial"/>
          <w:sz w:val="14"/>
          <w:szCs w:val="14"/>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7" w:name="page68"/>
    <w:bookmarkEnd w:id="6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fair value of a financial instrument is the price that would be received to sell an asset or paid to transfer a liability in an orderly transaction between market participants at the measurement date. The carrying amounts of our cash, cash equivalents and restricted cash, accounts receivable, accounts payable and accrued liabilities approximate fair value because of the short maturity of those instruments. Equity investments with readily determinable fair value are carried at fair value based on quoted market prices or estimated based on market conditions and risks existing at each balance sheet date. Equity investments without readily determinable fair value are measured at cost less impairment, and are adjusted for observable price changes in orderly transactions for an identical or similar investment of the same issuer.</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 Derivatives</w:t>
      </w:r>
    </w:p>
    <w:p>
      <w:pPr>
        <w:spacing w:after="0" w:line="92"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In March 2020, we issued $320 million aggregate principal amount of 0.25% convertible notes due 2025. Concurrently with the issuance of Notes due 2025, we entered into privately-negotiated convertible note hedge and warrant transactions which in combination are intended to reduce the potential dilution from the conversion of the Notes due 2025. We could not elect to issue the shares of common stock upon settlement of Notes due 2025 or convertible note hedge or warrant transactions due to insufficient authorized share capital. As a result, the embedded conversion option and warrants were accounted for as a derivative liabilities and convertible notes hedge as derivative asset and a gain (or loss) was reported in other expense, net in our consolidated statement of operations to the extent the valuation changed from the date of issuance of Notes due 2025. On May 20, 2020, at our annual meeting of stockholders, the stockholders approved an amendment to its certificate of incorporation to increase the number of authorized shares of the our common stock. As a result, we are now be able to settle the Notes due 2025, convertible notes hedge and warrants through payment or delivery, as the case may be, of cash, shares of its common stock or a combination thereof, at our election. Accordingly, on May 20, 2020, the embedded derivative liability, convertible notes hedge and warrants liability were remeasured at a fair value and were then reclassified to additional paid-in-capital in our condensed consolidated balance sheet in the second quarter of 2020 and are no longer remeasured as long as they continue to meet the conditions for equity classification. As of December 31, 2020, we do not have any convertible note derivatives. Note 8. “Debt” of the notes to consolidated financial statements included in Part II, Item 8 of this Annual Report on Form 10-K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Warranty Obligations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Microinverters and Other Products Sold Through December 31, 2013</w:t>
      </w:r>
    </w:p>
    <w:p>
      <w:pPr>
        <w:spacing w:after="0" w:line="9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warranty accrual provides for the replacement of microinverter units or other products that fail during the product’s warranty term (15 years for first and second generation microinverters and up to 25 years for subsequent generation microinverters). On a quarterly basis, we employ a consistent, systematic and rational methodology to assess the adequacy of our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our warranty liability are: (1) the number of units expected to fail over time (</w:t>
      </w:r>
      <w:r>
        <w:rPr>
          <w:rFonts w:ascii="Arial" w:cs="Arial" w:eastAsia="Arial" w:hAnsi="Arial"/>
          <w:sz w:val="14"/>
          <w:szCs w:val="14"/>
          <w:i w:val="1"/>
          <w:iCs w:val="1"/>
          <w:color w:val="auto"/>
        </w:rPr>
        <w:t>i.e.,</w:t>
      </w:r>
      <w:r>
        <w:rPr>
          <w:rFonts w:ascii="Arial" w:cs="Arial" w:eastAsia="Arial" w:hAnsi="Arial"/>
          <w:sz w:val="14"/>
          <w:szCs w:val="14"/>
          <w:color w:val="auto"/>
        </w:rPr>
        <w:t xml:space="preserve"> failure rate); (2) the number of failed units expected to result in warranty claims over time (</w:t>
      </w:r>
      <w:r>
        <w:rPr>
          <w:rFonts w:ascii="Arial" w:cs="Arial" w:eastAsia="Arial" w:hAnsi="Arial"/>
          <w:sz w:val="14"/>
          <w:szCs w:val="14"/>
          <w:i w:val="1"/>
          <w:iCs w:val="1"/>
          <w:color w:val="auto"/>
        </w:rPr>
        <w:t>i.e.,</w:t>
      </w:r>
      <w:r>
        <w:rPr>
          <w:rFonts w:ascii="Arial" w:cs="Arial" w:eastAsia="Arial" w:hAnsi="Arial"/>
          <w:sz w:val="14"/>
          <w:szCs w:val="14"/>
          <w:color w:val="auto"/>
        </w:rPr>
        <w:t xml:space="preserve"> claim rate); and (3) the per unit cost of replacement units, including outbound shipping and limited labor costs, expected to be incurred to replace failed units over time (</w:t>
      </w:r>
      <w:r>
        <w:rPr>
          <w:rFonts w:ascii="Arial" w:cs="Arial" w:eastAsia="Arial" w:hAnsi="Arial"/>
          <w:sz w:val="14"/>
          <w:szCs w:val="14"/>
          <w:i w:val="1"/>
          <w:iCs w:val="1"/>
          <w:color w:val="auto"/>
        </w:rPr>
        <w:t>i.e.,</w:t>
      </w:r>
      <w:r>
        <w:rPr>
          <w:rFonts w:ascii="Arial" w:cs="Arial" w:eastAsia="Arial" w:hAnsi="Arial"/>
          <w:sz w:val="14"/>
          <w:szCs w:val="14"/>
          <w:color w:val="auto"/>
        </w:rPr>
        <w:t xml:space="preserve"> replacement cost).</w:t>
      </w:r>
    </w:p>
    <w:p>
      <w:pPr>
        <w:spacing w:after="0" w:line="5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b w:val="1"/>
          <w:bCs w:val="1"/>
          <w:i w:val="1"/>
          <w:iCs w:val="1"/>
          <w:color w:val="auto"/>
        </w:rPr>
        <w:t xml:space="preserve">Estimated Failure Rates — </w:t>
      </w:r>
      <w:r>
        <w:rPr>
          <w:rFonts w:ascii="Arial" w:cs="Arial" w:eastAsia="Arial" w:hAnsi="Arial"/>
          <w:sz w:val="14"/>
          <w:szCs w:val="14"/>
          <w:color w:val="auto"/>
        </w:rPr>
        <w:t>Our Quality and Reliability department has primary responsibility to determine the estimated failure rates for each generation of microinverter.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establish initial failure rate estimates for each generation of microinverter, our quality engineers use a combination of industry standard Mean Time Between Failure (“MTFB”) estimates for individual components contained in that generation of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operating environments, we continue to monitor product performance through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396875</wp:posOffset>
            </wp:positionV>
            <wp:extent cx="695960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8" w:name="page69"/>
    <w:bookmarkEnd w:id="6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Estimated Claim Rates — </w:t>
      </w:r>
      <w:r>
        <w:rPr>
          <w:rFonts w:ascii="Arial" w:cs="Arial" w:eastAsia="Arial" w:hAnsi="Arial"/>
          <w:sz w:val="14"/>
          <w:szCs w:val="14"/>
          <w:color w:val="auto"/>
        </w:rPr>
        <w:t>Warranty claim rate estimates are based upon observed historical trends and assumptions with respect to expected customer behavior over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warranty period. As the vast majority of our microinverters have 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4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b w:val="1"/>
          <w:bCs w:val="1"/>
          <w:i w:val="1"/>
          <w:iCs w:val="1"/>
          <w:color w:val="auto"/>
        </w:rPr>
        <w:t xml:space="preserve">Estimated Replacement Costs — </w:t>
      </w:r>
      <w:r>
        <w:rPr>
          <w:rFonts w:ascii="Arial" w:cs="Arial" w:eastAsia="Arial" w:hAnsi="Arial"/>
          <w:sz w:val="14"/>
          <w:szCs w:val="14"/>
          <w:color w:val="auto"/>
        </w:rPr>
        <w:t>Three factors are considered in our analysis of estimated replacement cost: (1) the estimated cost of replacement microinverters; (2)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(typically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failure rates, claim rates, or replacement costs differ from our estimates in future periods, changes to these estimates may be required, resulting in increases or decreases in our warranty obligations. Such increases or decreases could be material.</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Option for Microinverters and Other Products Sold Since January 1, 2014</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warranty obligations related to microinverters sold since January 1, 2014 provide us the right, but not the requirement, to assign our warranty obligations to a third-party. Under ASC 825, “Financial Instruments” (also referred to as the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47"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9. “Fair Value Measurements,” of the notes to consolidated financial statements included in Part II, Item 8 of this Annual Report on Form 10-K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 and Contingencies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the normal course of business, we are subject to loss contingencies and loss recoveries, such as legal proceedings and claims arising out of our business as well as tariff refunds. An accrual for a loss contingency or loss recovery is recognized when it is probable and the amount of loss or recovery can be reasonably estimated. See Note 12. “Commitments and Contingencies,” of the notes to consolidated financial statements included in Part II, Item 8 of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389255</wp:posOffset>
            </wp:positionV>
            <wp:extent cx="69596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69" w:name="page70"/>
    <w:bookmarkEnd w:id="6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Intangible assets include patents and other purchased intangible assets. Intangible assets with finite lives are amortized on a straight-line basis, with estimated useful lives ranging from 3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record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assess the realizability of the deferred tax assets to determine release of valuation allowance as necessary. In the event we determine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operate in various tax jurisdictions and is subject to audit by various tax authorities. We follow accounting for uncertainty in income taxes which requires that the tax effects of a position be recognized only if it is “more likely than not” to be sustained based solely on its technical merits as of the reporting date. We consider many factors when evaluating and estimating its tax positions and tax benefits, which may require periodic adjustments and which may not accurately anticipate actual outcomes.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7A.</w:t>
        <w:tab/>
        <w:t>Quantitative and Qualitative Disclosures About Market Risk</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Market Risk</w:t>
      </w:r>
    </w:p>
    <w:p>
      <w:pPr>
        <w:spacing w:after="0" w:line="9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On March 9, 2020, we issued $ 320 million aggregate principal amount of our Notes due 2025, and entered into privately-negotiated convertible note hedge and warrant transactions, which in combination are intended to reduce the potential dilution from the conversion of the Notes due 2025 and to effectively increase the overall conversion price from $81.54 to $106.94 per share. For the period from March 9, 2020 through May 19, 2020, the Notes due 2025, convertible note hedge and warrant transactions could only be settled in cash because the number of authorized and unissued shares of our common stock that was not reserved for other purposes was less than the maximum number of underlying shares that would be required to settle the Notes due 2025, convertible note hedge and warrants transactions. As such, the embedded conversion option associated with the Notes due 2025, convertible notes hedge and warrants liability met the criteria for derivative accounting, and as a result, derivative financial instruments were marked-to-market at each reporting period. The volatile market conditions arising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395605</wp:posOffset>
            </wp:positionV>
            <wp:extent cx="695960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0" w:name="page71"/>
    <w:bookmarkEnd w:id="7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COVID-19 pandemic resulted in significant changes in the price of our common stock in the first half of 2020, causing variability in the fair value of these derivative financial instruments, and materially affecting our consolidated statement of operations for the year ended December 31, 2020. Change in fair value of derivatives of $44.3 million for the year ended December 31, 2020 includes the charge recognized for the change in fair value of our convertible notes embedded derivative and warrants of $47.6 million and $24.7 million, respectively, partially offset by a gain recognized for the change in fair value of our convertible notes hedge of $28.0 million.</w:t>
      </w:r>
    </w:p>
    <w:p>
      <w:pPr>
        <w:spacing w:after="0" w:line="4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On May 20, 2020, we received approval at our annual meeting of stockholders to increase the authorized shares of our common stock, par value $0.00001 per share, from 150,000,000 shares to 200,000,000 shares. As discussed further in Note 11, “Debt,” of the notes to condensed consolidated financial statements included in Part II, Item 8 of this Annual Report on Form 10-K, we reclassified the remeasured fair value of embedded derivative, warrants and convertible notes hedge to additional paid-in-capital in the condensed consolidated balance in the second quarter of 2020. As a result of this reclassification, embedded derivative, warrants and convertible notes hedge are no longer marked to fair value at each reporting period.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9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Indian Rupee and Australian and New Zealand Dollars. These payables and receivables primarily arise from sales to customers and intercompany transactions. We also face currency exposure that arises from translating the results of our European, Indian, Australian and New Zealand operations, including sales and marketing and research and development expenses, to the U.S. dollar at exchange rates that have fluctuated from the beginning of a reporting period.</w:t>
      </w:r>
    </w:p>
    <w:p>
      <w:pPr>
        <w:spacing w:after="0" w:line="225"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effect of a hypothetical 10% adverse change in foreign exchange rates on monetary assets and liabilities at December 31, 2020 would not be material to our financial condition or results of operations. To date, foreign currency transaction gains and losses and exchange rate fluctuations have not been material to our financial statements, and we have not engaged in any foreign currency hedging transactions.</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do not enter into derivative financial instruments for trading or speculative purposes. We did not enter into any foreign currency forward contracts during 2020 and 2019. Any foreign currency forward contracts entered in the future are accounted for as derivatives whereby the fair value of the contracts is reported as other current assets or current liabilities, and gains and losses resulting from changes in the fair value are reported in other income (expense), net, in the accompanying consolidated statements of operations.</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Credit Risk</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Financial instruments that subject us to concentrations of credit risk consist primarily of cash and cash equivalents, accounts receivable, and derivative financial instruments. We maintain a substantial portion of our cash balances in non-interest-bearing and interest-bearing deposits and money market accounts. The derivative financial instruments expose us to credit risk to the extent that the counterparties may be unable to meet the terms of the arrangement. We mitigate this credit risk by transacting with major financial institutions with high credit ratings. We are not required to pledge, and are not entitled to receive, cash collateral related to these derivative instruments. We do not enter into derivative contracts for trading or speculative purposes. Our net revenues are primarily concentrated among a limited number of customers. We monitor the financial condition of our customers and perform credit evaluations whenever considered necessary and maintain an allowance for doubtful accounts for estimated potential credit losses.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had cash, cash equivalents and restricted cash of $679.4 million and $296.1 million as of December 31, 2020 and 2019, respectively, consisting of both non-interest bearing and interest-bearing deposits, and money market accounts. Such interest-earning instruments carry a degree of interest rate risk, but the risk is limited due to the duration of our short term investments. To date, fluctuations in interest income have not been significant.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Our cash flow exposure due to changes in interest rates related to our debt is limited as our Notes due 2025, Notes due 2024 and Notes due 2023 have fixed interest rates of 0.25%, 1.0% and 4.0%, respectively.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379730</wp:posOffset>
            </wp:positionV>
            <wp:extent cx="69596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1" w:name="page72"/>
    <w:bookmarkEnd w:id="7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 the Convertible Notes may increase or decrease for various reasons, including fluctuations in the market price of our common stock, fluctuations in market interest rates and fluctuations in general economic conditions. In the year ended December 31, 2020, we recognized a $3.0 million non-cash loss on settlement of approximately $43.9 million aggregate principal amount of the Notes due 2024 as a result of the change in fair value. Based upon the quoted market price as of December 31, 2020, the fair value of our Notes due 2025 and Notes due 2024 was approximately $725.5 million and $747.1 million, respectively. Notes due 2023 are not actively traded.</w:t>
      </w:r>
    </w:p>
    <w:p>
      <w:pPr>
        <w:spacing w:after="0" w:line="47" w:lineRule="exact"/>
        <w:rPr>
          <w:sz w:val="20"/>
          <w:szCs w:val="20"/>
          <w:color w:val="auto"/>
        </w:rPr>
      </w:pPr>
    </w:p>
    <w:p>
      <w:pPr>
        <w:ind w:left="380" w:right="1760"/>
        <w:spacing w:after="0" w:line="379" w:lineRule="auto"/>
        <w:rPr>
          <w:sz w:val="20"/>
          <w:szCs w:val="20"/>
          <w:color w:val="auto"/>
        </w:rPr>
      </w:pPr>
      <w:r>
        <w:rPr>
          <w:rFonts w:ascii="Arial" w:cs="Arial" w:eastAsia="Arial" w:hAnsi="Arial"/>
          <w:sz w:val="14"/>
          <w:szCs w:val="14"/>
          <w:color w:val="auto"/>
        </w:rPr>
        <w:t xml:space="preserve">A hypothetical 10% change in interest rates during any of the periods presented would not have had a material impact on our financial statements. </w:t>
      </w:r>
      <w:r>
        <w:rPr>
          <w:rFonts w:ascii="Arial" w:cs="Arial" w:eastAsia="Arial" w:hAnsi="Arial"/>
          <w:sz w:val="14"/>
          <w:szCs w:val="14"/>
          <w:b w:val="1"/>
          <w:bCs w:val="1"/>
          <w:i w:val="1"/>
          <w:iCs w:val="1"/>
          <w:color w:val="auto"/>
        </w:rPr>
        <w:t>Equity Price Risk Involving Minority Interest Investment in A Non-Public Company</w:t>
      </w:r>
    </w:p>
    <w:p>
      <w:pPr>
        <w:spacing w:after="0" w:line="1"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As of December 31, 2020, an investment of $ 5.0 million in a privately-held company is accounted for using the measurement alternative method. This strategic equity investment in a third party is subject to risk of changes in market value and could result in realized impairment losses. We generally do not attempt to reduce or eliminate our market exposure in equity investments. We monitor these investments for impairment and record reductions in the carrying values when necessary. Circumstances that indicate an other-than-temporary decline include the valuation ascribed to the issuing company in subsequent financing rounds, decreases in quoted market prices and declines in operations of the issuer. There can be no assurance that our equity investment will not face risks of loss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570230</wp:posOffset>
            </wp:positionV>
            <wp:extent cx="69596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2" w:name="page73"/>
    <w:bookmarkEnd w:id="7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8.</w:t>
        <w:tab/>
        <w:t>Financial Statements and Supplementary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340" w:type="dxa"/>
            <w:vAlign w:val="bottom"/>
          </w:tcPr>
          <w:p>
            <w:pPr>
              <w:spacing w:after="0"/>
              <w:rPr>
                <w:sz w:val="17"/>
                <w:szCs w:val="17"/>
                <w:color w:val="auto"/>
              </w:rPr>
            </w:pPr>
          </w:p>
        </w:tc>
        <w:tc>
          <w:tcPr>
            <w:tcW w:w="7920" w:type="dxa"/>
            <w:vAlign w:val="bottom"/>
            <w:gridSpan w:val="2"/>
          </w:tcPr>
          <w:p>
            <w:pPr>
              <w:jc w:val="center"/>
              <w:ind w:right="3280"/>
              <w:spacing w:after="0"/>
              <w:rPr>
                <w:sz w:val="20"/>
                <w:szCs w:val="20"/>
                <w:color w:val="auto"/>
              </w:rPr>
            </w:pPr>
            <w:r>
              <w:rPr>
                <w:rFonts w:ascii="Arial" w:cs="Arial" w:eastAsia="Arial" w:hAnsi="Arial"/>
                <w:sz w:val="14"/>
                <w:szCs w:val="14"/>
                <w:b w:val="1"/>
                <w:bCs w:val="1"/>
                <w:color w:val="auto"/>
                <w:w w:val="99"/>
              </w:rPr>
              <w:t>ENPHASE ENERGY, INC.</w:t>
            </w:r>
          </w:p>
        </w:tc>
      </w:tr>
      <w:tr>
        <w:trPr>
          <w:trHeight w:val="297"/>
        </w:trPr>
        <w:tc>
          <w:tcPr>
            <w:tcW w:w="3340" w:type="dxa"/>
            <w:vAlign w:val="bottom"/>
          </w:tcPr>
          <w:p>
            <w:pPr>
              <w:spacing w:after="0"/>
              <w:rPr>
                <w:sz w:val="24"/>
                <w:szCs w:val="24"/>
                <w:color w:val="auto"/>
              </w:rPr>
            </w:pPr>
          </w:p>
        </w:tc>
        <w:tc>
          <w:tcPr>
            <w:tcW w:w="7920" w:type="dxa"/>
            <w:vAlign w:val="bottom"/>
            <w:gridSpan w:val="2"/>
          </w:tcPr>
          <w:p>
            <w:pPr>
              <w:jc w:val="center"/>
              <w:ind w:right="3300"/>
              <w:spacing w:after="0"/>
              <w:rPr>
                <w:sz w:val="20"/>
                <w:szCs w:val="20"/>
                <w:color w:val="auto"/>
              </w:rPr>
            </w:pPr>
            <w:r>
              <w:rPr>
                <w:rFonts w:ascii="Arial" w:cs="Arial" w:eastAsia="Arial" w:hAnsi="Arial"/>
                <w:sz w:val="14"/>
                <w:szCs w:val="14"/>
                <w:b w:val="1"/>
                <w:bCs w:val="1"/>
                <w:color w:val="auto"/>
                <w:w w:val="99"/>
              </w:rPr>
              <w:t>INDEX TO CONSOLIDATED FINANCIAL STATEMENTS</w:t>
            </w:r>
          </w:p>
        </w:tc>
      </w:tr>
      <w:tr>
        <w:trPr>
          <w:trHeight w:val="297"/>
        </w:trPr>
        <w:tc>
          <w:tcPr>
            <w:tcW w:w="3340" w:type="dxa"/>
            <w:vAlign w:val="bottom"/>
          </w:tcPr>
          <w:p>
            <w:pPr>
              <w:spacing w:after="0"/>
              <w:rPr>
                <w:sz w:val="24"/>
                <w:szCs w:val="24"/>
                <w:color w:val="auto"/>
              </w:rPr>
            </w:pPr>
          </w:p>
        </w:tc>
        <w:tc>
          <w:tcPr>
            <w:tcW w:w="7920" w:type="dxa"/>
            <w:vAlign w:val="bottom"/>
            <w:gridSpan w:val="2"/>
          </w:tcPr>
          <w:p>
            <w:pPr>
              <w:jc w:val="center"/>
              <w:ind w:right="3300"/>
              <w:spacing w:after="0"/>
              <w:rPr>
                <w:sz w:val="20"/>
                <w:szCs w:val="20"/>
                <w:color w:val="auto"/>
              </w:rPr>
            </w:pPr>
            <w:r>
              <w:rPr>
                <w:rFonts w:ascii="Arial" w:cs="Arial" w:eastAsia="Arial" w:hAnsi="Arial"/>
                <w:sz w:val="14"/>
                <w:szCs w:val="14"/>
                <w:b w:val="1"/>
                <w:bCs w:val="1"/>
                <w:color w:val="auto"/>
              </w:rPr>
              <w:t>AS OF DECEMBER 31, 2020 AND 2019,</w:t>
            </w:r>
          </w:p>
        </w:tc>
      </w:tr>
      <w:tr>
        <w:trPr>
          <w:trHeight w:val="297"/>
        </w:trPr>
        <w:tc>
          <w:tcPr>
            <w:tcW w:w="3340" w:type="dxa"/>
            <w:vAlign w:val="bottom"/>
          </w:tcPr>
          <w:p>
            <w:pPr>
              <w:spacing w:after="0"/>
              <w:rPr>
                <w:sz w:val="24"/>
                <w:szCs w:val="24"/>
                <w:color w:val="auto"/>
              </w:rPr>
            </w:pPr>
          </w:p>
        </w:tc>
        <w:tc>
          <w:tcPr>
            <w:tcW w:w="7920" w:type="dxa"/>
            <w:vAlign w:val="bottom"/>
            <w:gridSpan w:val="2"/>
          </w:tcPr>
          <w:p>
            <w:pPr>
              <w:jc w:val="center"/>
              <w:ind w:right="3300"/>
              <w:spacing w:after="0"/>
              <w:rPr>
                <w:sz w:val="20"/>
                <w:szCs w:val="20"/>
                <w:color w:val="auto"/>
              </w:rPr>
            </w:pPr>
            <w:r>
              <w:rPr>
                <w:rFonts w:ascii="Arial" w:cs="Arial" w:eastAsia="Arial" w:hAnsi="Arial"/>
                <w:sz w:val="14"/>
                <w:szCs w:val="14"/>
                <w:b w:val="1"/>
                <w:bCs w:val="1"/>
                <w:color w:val="auto"/>
              </w:rPr>
              <w:t>AND FOR THE YEARS ENDED DECEMBER 31, 2020, 2019 AND 2018</w:t>
            </w:r>
          </w:p>
        </w:tc>
      </w:tr>
      <w:tr>
        <w:trPr>
          <w:trHeight w:val="160"/>
        </w:trPr>
        <w:tc>
          <w:tcPr>
            <w:tcW w:w="3340" w:type="dxa"/>
            <w:vAlign w:val="bottom"/>
            <w:tcBorders>
              <w:bottom w:val="single" w:sz="8" w:color="CCEEFF"/>
            </w:tcBorders>
          </w:tcPr>
          <w:p>
            <w:pPr>
              <w:spacing w:after="0"/>
              <w:rPr>
                <w:sz w:val="13"/>
                <w:szCs w:val="13"/>
                <w:color w:val="auto"/>
              </w:rPr>
            </w:pPr>
          </w:p>
        </w:tc>
        <w:tc>
          <w:tcPr>
            <w:tcW w:w="69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Page</w:t>
            </w:r>
          </w:p>
        </w:tc>
      </w:tr>
      <w:tr>
        <w:trPr>
          <w:trHeight w:val="160"/>
        </w:trPr>
        <w:tc>
          <w:tcPr>
            <w:tcW w:w="3340" w:type="dxa"/>
            <w:vAlign w:val="bottom"/>
            <w:shd w:val="clear" w:color="auto" w:fill="CCEEFF"/>
          </w:tcPr>
          <w:p>
            <w:pPr>
              <w:spacing w:after="0"/>
              <w:rPr>
                <w:rFonts w:ascii="Arial" w:cs="Arial" w:eastAsia="Arial" w:hAnsi="Arial"/>
                <w:sz w:val="13"/>
                <w:szCs w:val="13"/>
                <w:color w:val="0000FF"/>
                <w:w w:val="99"/>
              </w:rPr>
            </w:pPr>
            <w:hyperlink w:anchor="page73">
              <w:r>
                <w:rPr>
                  <w:rFonts w:ascii="Arial" w:cs="Arial" w:eastAsia="Arial" w:hAnsi="Arial"/>
                  <w:sz w:val="13"/>
                  <w:szCs w:val="13"/>
                  <w:color w:val="0000FF"/>
                  <w:w w:val="99"/>
                </w:rPr>
                <w:t>Report of Independent Registered Public Accounting Firm</w:t>
              </w:r>
            </w:hyperlink>
          </w:p>
        </w:tc>
        <w:tc>
          <w:tcPr>
            <w:tcW w:w="694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rFonts w:ascii="Arial" w:cs="Arial" w:eastAsia="Arial" w:hAnsi="Arial"/>
                <w:sz w:val="13"/>
                <w:szCs w:val="13"/>
                <w:color w:val="0000FF"/>
                <w:w w:val="96"/>
              </w:rPr>
            </w:pPr>
            <w:hyperlink w:anchor="page73">
              <w:r>
                <w:rPr>
                  <w:rFonts w:ascii="Arial" w:cs="Arial" w:eastAsia="Arial" w:hAnsi="Arial"/>
                  <w:sz w:val="13"/>
                  <w:szCs w:val="13"/>
                  <w:color w:val="0000FF"/>
                  <w:w w:val="96"/>
                </w:rPr>
                <w:t>74</w:t>
              </w:r>
            </w:hyperlink>
          </w:p>
        </w:tc>
      </w:tr>
      <w:tr>
        <w:trPr>
          <w:trHeight w:val="170"/>
        </w:trPr>
        <w:tc>
          <w:tcPr>
            <w:tcW w:w="3340" w:type="dxa"/>
            <w:vAlign w:val="bottom"/>
          </w:tcPr>
          <w:p>
            <w:pPr>
              <w:spacing w:after="0"/>
              <w:rPr>
                <w:rFonts w:ascii="Arial" w:cs="Arial" w:eastAsia="Arial" w:hAnsi="Arial"/>
                <w:sz w:val="13"/>
                <w:szCs w:val="13"/>
                <w:color w:val="0000FF"/>
              </w:rPr>
            </w:pPr>
            <w:hyperlink w:anchor="page77">
              <w:r>
                <w:rPr>
                  <w:rFonts w:ascii="Arial" w:cs="Arial" w:eastAsia="Arial" w:hAnsi="Arial"/>
                  <w:sz w:val="13"/>
                  <w:szCs w:val="13"/>
                  <w:color w:val="0000FF"/>
                </w:rPr>
                <w:t>Consolidated Balance Sheets</w:t>
              </w:r>
            </w:hyperlink>
          </w:p>
        </w:tc>
        <w:tc>
          <w:tcPr>
            <w:tcW w:w="7920" w:type="dxa"/>
            <w:vAlign w:val="bottom"/>
            <w:gridSpan w:val="2"/>
          </w:tcPr>
          <w:p>
            <w:pPr>
              <w:jc w:val="center"/>
              <w:ind w:left="6874"/>
              <w:spacing w:after="0"/>
              <w:rPr>
                <w:rFonts w:ascii="Arial" w:cs="Arial" w:eastAsia="Arial" w:hAnsi="Arial"/>
                <w:sz w:val="13"/>
                <w:szCs w:val="13"/>
                <w:color w:val="0000FF"/>
                <w:w w:val="96"/>
              </w:rPr>
            </w:pPr>
            <w:hyperlink w:anchor="page77">
              <w:r>
                <w:rPr>
                  <w:rFonts w:ascii="Arial" w:cs="Arial" w:eastAsia="Arial" w:hAnsi="Arial"/>
                  <w:sz w:val="13"/>
                  <w:szCs w:val="13"/>
                  <w:color w:val="0000FF"/>
                  <w:w w:val="96"/>
                </w:rPr>
                <w:t>78</w:t>
              </w:r>
            </w:hyperlink>
          </w:p>
        </w:tc>
      </w:tr>
      <w:tr>
        <w:trPr>
          <w:trHeight w:val="170"/>
        </w:trPr>
        <w:tc>
          <w:tcPr>
            <w:tcW w:w="3340" w:type="dxa"/>
            <w:vAlign w:val="bottom"/>
            <w:shd w:val="clear" w:color="auto" w:fill="CCEEFF"/>
          </w:tcPr>
          <w:p>
            <w:pPr>
              <w:spacing w:after="0"/>
              <w:rPr>
                <w:rFonts w:ascii="Arial" w:cs="Arial" w:eastAsia="Arial" w:hAnsi="Arial"/>
                <w:sz w:val="13"/>
                <w:szCs w:val="13"/>
                <w:color w:val="0000FF"/>
              </w:rPr>
            </w:pPr>
            <w:hyperlink w:anchor="page78">
              <w:r>
                <w:rPr>
                  <w:rFonts w:ascii="Arial" w:cs="Arial" w:eastAsia="Arial" w:hAnsi="Arial"/>
                  <w:sz w:val="13"/>
                  <w:szCs w:val="13"/>
                  <w:color w:val="0000FF"/>
                </w:rPr>
                <w:t>Consolidated Statements of Operations</w:t>
              </w:r>
            </w:hyperlink>
          </w:p>
        </w:tc>
        <w:tc>
          <w:tcPr>
            <w:tcW w:w="7920" w:type="dxa"/>
            <w:vAlign w:val="bottom"/>
            <w:gridSpan w:val="2"/>
            <w:shd w:val="clear" w:color="auto" w:fill="CCEEFF"/>
          </w:tcPr>
          <w:p>
            <w:pPr>
              <w:jc w:val="center"/>
              <w:ind w:left="6874"/>
              <w:spacing w:after="0"/>
              <w:rPr>
                <w:rFonts w:ascii="Arial" w:cs="Arial" w:eastAsia="Arial" w:hAnsi="Arial"/>
                <w:sz w:val="13"/>
                <w:szCs w:val="13"/>
                <w:color w:val="0000FF"/>
                <w:w w:val="96"/>
              </w:rPr>
            </w:pPr>
            <w:hyperlink w:anchor="page78">
              <w:r>
                <w:rPr>
                  <w:rFonts w:ascii="Arial" w:cs="Arial" w:eastAsia="Arial" w:hAnsi="Arial"/>
                  <w:sz w:val="13"/>
                  <w:szCs w:val="13"/>
                  <w:color w:val="0000FF"/>
                  <w:w w:val="96"/>
                </w:rPr>
                <w:t>79</w:t>
              </w:r>
            </w:hyperlink>
          </w:p>
        </w:tc>
      </w:tr>
      <w:tr>
        <w:trPr>
          <w:trHeight w:val="170"/>
        </w:trPr>
        <w:tc>
          <w:tcPr>
            <w:tcW w:w="3340" w:type="dxa"/>
            <w:vAlign w:val="bottom"/>
          </w:tcPr>
          <w:p>
            <w:pPr>
              <w:spacing w:after="0"/>
              <w:rPr>
                <w:rFonts w:ascii="Arial" w:cs="Arial" w:eastAsia="Arial" w:hAnsi="Arial"/>
                <w:sz w:val="13"/>
                <w:szCs w:val="13"/>
                <w:color w:val="0000FF"/>
                <w:w w:val="97"/>
              </w:rPr>
            </w:pPr>
            <w:hyperlink w:anchor="page79">
              <w:r>
                <w:rPr>
                  <w:rFonts w:ascii="Arial" w:cs="Arial" w:eastAsia="Arial" w:hAnsi="Arial"/>
                  <w:sz w:val="13"/>
                  <w:szCs w:val="13"/>
                  <w:color w:val="0000FF"/>
                  <w:w w:val="97"/>
                </w:rPr>
                <w:t>Consolidated Statements of Comprehensive Income (Loss)</w:t>
              </w:r>
            </w:hyperlink>
          </w:p>
        </w:tc>
        <w:tc>
          <w:tcPr>
            <w:tcW w:w="7920" w:type="dxa"/>
            <w:vAlign w:val="bottom"/>
            <w:gridSpan w:val="2"/>
          </w:tcPr>
          <w:p>
            <w:pPr>
              <w:jc w:val="center"/>
              <w:ind w:left="6874"/>
              <w:spacing w:after="0"/>
              <w:rPr>
                <w:rFonts w:ascii="Arial" w:cs="Arial" w:eastAsia="Arial" w:hAnsi="Arial"/>
                <w:sz w:val="13"/>
                <w:szCs w:val="13"/>
                <w:color w:val="0000FF"/>
                <w:w w:val="96"/>
              </w:rPr>
            </w:pPr>
            <w:hyperlink w:anchor="page79">
              <w:r>
                <w:rPr>
                  <w:rFonts w:ascii="Arial" w:cs="Arial" w:eastAsia="Arial" w:hAnsi="Arial"/>
                  <w:sz w:val="13"/>
                  <w:szCs w:val="13"/>
                  <w:color w:val="0000FF"/>
                  <w:w w:val="96"/>
                </w:rPr>
                <w:t>80</w:t>
              </w:r>
            </w:hyperlink>
          </w:p>
        </w:tc>
      </w:tr>
      <w:tr>
        <w:trPr>
          <w:trHeight w:val="170"/>
        </w:trPr>
        <w:tc>
          <w:tcPr>
            <w:tcW w:w="3340" w:type="dxa"/>
            <w:vAlign w:val="bottom"/>
            <w:shd w:val="clear" w:color="auto" w:fill="CCEEFF"/>
          </w:tcPr>
          <w:p>
            <w:pPr>
              <w:spacing w:after="0"/>
              <w:rPr>
                <w:rFonts w:ascii="Arial" w:cs="Arial" w:eastAsia="Arial" w:hAnsi="Arial"/>
                <w:sz w:val="13"/>
                <w:szCs w:val="13"/>
                <w:color w:val="0000FF"/>
              </w:rPr>
            </w:pPr>
            <w:hyperlink w:anchor="page80">
              <w:r>
                <w:rPr>
                  <w:rFonts w:ascii="Arial" w:cs="Arial" w:eastAsia="Arial" w:hAnsi="Arial"/>
                  <w:sz w:val="13"/>
                  <w:szCs w:val="13"/>
                  <w:color w:val="0000FF"/>
                </w:rPr>
                <w:t>Consolidated Statements of Stockholders’ Equity (Deficit)</w:t>
              </w:r>
            </w:hyperlink>
          </w:p>
        </w:tc>
        <w:tc>
          <w:tcPr>
            <w:tcW w:w="7920" w:type="dxa"/>
            <w:vAlign w:val="bottom"/>
            <w:gridSpan w:val="2"/>
            <w:shd w:val="clear" w:color="auto" w:fill="CCEEFF"/>
          </w:tcPr>
          <w:p>
            <w:pPr>
              <w:jc w:val="center"/>
              <w:ind w:left="6874"/>
              <w:spacing w:after="0"/>
              <w:rPr>
                <w:rFonts w:ascii="Arial" w:cs="Arial" w:eastAsia="Arial" w:hAnsi="Arial"/>
                <w:sz w:val="13"/>
                <w:szCs w:val="13"/>
                <w:color w:val="0000FF"/>
                <w:w w:val="96"/>
              </w:rPr>
            </w:pPr>
            <w:hyperlink w:anchor="page80">
              <w:r>
                <w:rPr>
                  <w:rFonts w:ascii="Arial" w:cs="Arial" w:eastAsia="Arial" w:hAnsi="Arial"/>
                  <w:sz w:val="13"/>
                  <w:szCs w:val="13"/>
                  <w:color w:val="0000FF"/>
                  <w:w w:val="96"/>
                </w:rPr>
                <w:t>81</w:t>
              </w:r>
            </w:hyperlink>
          </w:p>
        </w:tc>
      </w:tr>
      <w:tr>
        <w:trPr>
          <w:trHeight w:val="170"/>
        </w:trPr>
        <w:tc>
          <w:tcPr>
            <w:tcW w:w="3340" w:type="dxa"/>
            <w:vAlign w:val="bottom"/>
          </w:tcPr>
          <w:p>
            <w:pPr>
              <w:spacing w:after="0"/>
              <w:rPr>
                <w:rFonts w:ascii="Arial" w:cs="Arial" w:eastAsia="Arial" w:hAnsi="Arial"/>
                <w:sz w:val="13"/>
                <w:szCs w:val="13"/>
                <w:color w:val="0000FF"/>
              </w:rPr>
            </w:pPr>
            <w:hyperlink w:anchor="page82">
              <w:r>
                <w:rPr>
                  <w:rFonts w:ascii="Arial" w:cs="Arial" w:eastAsia="Arial" w:hAnsi="Arial"/>
                  <w:sz w:val="13"/>
                  <w:szCs w:val="13"/>
                  <w:color w:val="0000FF"/>
                </w:rPr>
                <w:t>Consolidated Statements of Cash Flows</w:t>
              </w:r>
            </w:hyperlink>
          </w:p>
        </w:tc>
        <w:tc>
          <w:tcPr>
            <w:tcW w:w="7920" w:type="dxa"/>
            <w:vAlign w:val="bottom"/>
            <w:gridSpan w:val="2"/>
          </w:tcPr>
          <w:p>
            <w:pPr>
              <w:jc w:val="center"/>
              <w:ind w:left="6874"/>
              <w:spacing w:after="0"/>
              <w:rPr>
                <w:rFonts w:ascii="Arial" w:cs="Arial" w:eastAsia="Arial" w:hAnsi="Arial"/>
                <w:sz w:val="13"/>
                <w:szCs w:val="13"/>
                <w:color w:val="0000FF"/>
                <w:w w:val="96"/>
              </w:rPr>
            </w:pPr>
            <w:hyperlink w:anchor="page82">
              <w:r>
                <w:rPr>
                  <w:rFonts w:ascii="Arial" w:cs="Arial" w:eastAsia="Arial" w:hAnsi="Arial"/>
                  <w:sz w:val="13"/>
                  <w:szCs w:val="13"/>
                  <w:color w:val="0000FF"/>
                  <w:w w:val="96"/>
                </w:rPr>
                <w:t>83</w:t>
              </w:r>
            </w:hyperlink>
          </w:p>
        </w:tc>
      </w:tr>
      <w:tr>
        <w:trPr>
          <w:trHeight w:val="170"/>
        </w:trPr>
        <w:tc>
          <w:tcPr>
            <w:tcW w:w="3340" w:type="dxa"/>
            <w:vAlign w:val="bottom"/>
            <w:shd w:val="clear" w:color="auto" w:fill="CCEEFF"/>
          </w:tcPr>
          <w:p>
            <w:pPr>
              <w:spacing w:after="0"/>
              <w:rPr>
                <w:rFonts w:ascii="Arial" w:cs="Arial" w:eastAsia="Arial" w:hAnsi="Arial"/>
                <w:sz w:val="13"/>
                <w:szCs w:val="13"/>
                <w:color w:val="0000FF"/>
              </w:rPr>
            </w:pPr>
            <w:hyperlink w:anchor="page84">
              <w:r>
                <w:rPr>
                  <w:rFonts w:ascii="Arial" w:cs="Arial" w:eastAsia="Arial" w:hAnsi="Arial"/>
                  <w:sz w:val="13"/>
                  <w:szCs w:val="13"/>
                  <w:color w:val="0000FF"/>
                </w:rPr>
                <w:t>Notes to Consolidated Financial Statements</w:t>
              </w:r>
            </w:hyperlink>
          </w:p>
        </w:tc>
        <w:tc>
          <w:tcPr>
            <w:tcW w:w="7920" w:type="dxa"/>
            <w:vAlign w:val="bottom"/>
            <w:gridSpan w:val="2"/>
            <w:shd w:val="clear" w:color="auto" w:fill="CCEEFF"/>
          </w:tcPr>
          <w:p>
            <w:pPr>
              <w:jc w:val="center"/>
              <w:ind w:left="6874"/>
              <w:spacing w:after="0"/>
              <w:rPr>
                <w:rFonts w:ascii="Arial" w:cs="Arial" w:eastAsia="Arial" w:hAnsi="Arial"/>
                <w:sz w:val="13"/>
                <w:szCs w:val="13"/>
                <w:color w:val="0000FF"/>
                <w:w w:val="96"/>
              </w:rPr>
            </w:pPr>
            <w:hyperlink w:anchor="page84">
              <w:r>
                <w:rPr>
                  <w:rFonts w:ascii="Arial" w:cs="Arial" w:eastAsia="Arial" w:hAnsi="Arial"/>
                  <w:sz w:val="13"/>
                  <w:szCs w:val="13"/>
                  <w:color w:val="0000FF"/>
                  <w:w w:val="96"/>
                </w:rPr>
                <w:t>85</w:t>
              </w:r>
            </w:hyperlink>
          </w:p>
        </w:tc>
      </w:tr>
      <w:tr>
        <w:trPr>
          <w:trHeight w:val="171"/>
        </w:trPr>
        <w:tc>
          <w:tcPr>
            <w:tcW w:w="3340" w:type="dxa"/>
            <w:vAlign w:val="bottom"/>
          </w:tcPr>
          <w:p>
            <w:pPr>
              <w:spacing w:after="0"/>
              <w:rPr>
                <w:rFonts w:ascii="Arial" w:cs="Arial" w:eastAsia="Arial" w:hAnsi="Arial"/>
                <w:sz w:val="13"/>
                <w:szCs w:val="13"/>
                <w:color w:val="0000FF"/>
              </w:rPr>
            </w:pPr>
            <w:hyperlink w:anchor="page127">
              <w:r>
                <w:rPr>
                  <w:rFonts w:ascii="Arial" w:cs="Arial" w:eastAsia="Arial" w:hAnsi="Arial"/>
                  <w:sz w:val="13"/>
                  <w:szCs w:val="13"/>
                  <w:color w:val="0000FF"/>
                </w:rPr>
                <w:t>Selected Unaudited Quarterly Financial Information</w:t>
              </w:r>
            </w:hyperlink>
          </w:p>
        </w:tc>
        <w:tc>
          <w:tcPr>
            <w:tcW w:w="7920" w:type="dxa"/>
            <w:vAlign w:val="bottom"/>
            <w:gridSpan w:val="2"/>
          </w:tcPr>
          <w:p>
            <w:pPr>
              <w:jc w:val="center"/>
              <w:ind w:left="6874"/>
              <w:spacing w:after="0"/>
              <w:rPr>
                <w:rFonts w:ascii="Arial" w:cs="Arial" w:eastAsia="Arial" w:hAnsi="Arial"/>
                <w:sz w:val="13"/>
                <w:szCs w:val="13"/>
                <w:color w:val="0000FF"/>
              </w:rPr>
            </w:pPr>
            <w:hyperlink w:anchor="page127">
              <w:r>
                <w:rPr>
                  <w:rFonts w:ascii="Arial" w:cs="Arial" w:eastAsia="Arial" w:hAnsi="Arial"/>
                  <w:sz w:val="13"/>
                  <w:szCs w:val="13"/>
                  <w:color w:val="0000FF"/>
                </w:rPr>
                <w:t>128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625475</wp:posOffset>
            </wp:positionV>
            <wp:extent cx="695960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3" w:name="page74"/>
    <w:bookmarkEnd w:id="7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Enphase Energy, Inc.</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have audited the accompanying consolidated balance sheets of Enphase Energy, Inc. and subsidiaries (the "Company") as of December 31, 2020 and 2019, the related consolidated statements of operations, comprehensive income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12, 2021, expressed an unqualified opinion on the Company's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Warranty Obligations – Microinverters - Refer to Notes 2, 8 and 9 to the consolidated financial statements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Critical Audit Matter Description</w:t>
      </w:r>
    </w:p>
    <w:p>
      <w:pPr>
        <w:spacing w:after="0" w:line="92" w:lineRule="exact"/>
        <w:rPr>
          <w:sz w:val="20"/>
          <w:szCs w:val="20"/>
          <w:color w:val="auto"/>
        </w:rPr>
      </w:pPr>
    </w:p>
    <w:p>
      <w:pPr>
        <w:jc w:val="both"/>
        <w:ind w:firstLine="382"/>
        <w:spacing w:after="0" w:line="266" w:lineRule="auto"/>
        <w:rPr>
          <w:sz w:val="20"/>
          <w:szCs w:val="20"/>
          <w:color w:val="auto"/>
        </w:rPr>
      </w:pPr>
      <w:r>
        <w:rPr>
          <w:rFonts w:ascii="Arial" w:cs="Arial" w:eastAsia="Arial" w:hAnsi="Arial"/>
          <w:sz w:val="14"/>
          <w:szCs w:val="14"/>
          <w:color w:val="auto"/>
        </w:rPr>
        <w:t>The Company’s warranty obligation provides for the replacement of microinverter units that fail during the product’s warranty term of 15 to 25 years. The estimated warranty liability is developed for each generation of product and requires management to estimate, among other factors, (1) the number of units expected to fail over time (i.e., failure rate);</w:t>
      </w:r>
    </w:p>
    <w:p>
      <w:pPr>
        <w:spacing w:after="0" w:line="1" w:lineRule="exact"/>
        <w:rPr>
          <w:sz w:val="20"/>
          <w:szCs w:val="20"/>
          <w:color w:val="auto"/>
        </w:rPr>
      </w:pPr>
    </w:p>
    <w:p>
      <w:pPr>
        <w:jc w:val="both"/>
        <w:ind w:firstLine="5"/>
        <w:spacing w:after="0" w:line="258" w:lineRule="auto"/>
        <w:tabs>
          <w:tab w:leader="none" w:pos="22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number of failed units expected to result in warranty claims over time (i.e., claim rate); and (3) the per unit cost of replacement units (i.e., replacement cost), all of which consider historical results, trends and the most current data available when the financial statements are available to be issued. The Company’s warranty liability for all microinverter units sold after January 1, 2014 is measured at fair value by applying both of the following to the liability that results from the 3 factors discussed above: (1) compensation comprised of a profit element and risk premium required for a market participant to assume the obligation and (2) a discount rate based on the Company’s credit adjusted risk 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504190</wp:posOffset>
            </wp:positionV>
            <wp:extent cx="69596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4" w:name="page75"/>
    <w:bookmarkEnd w:id="7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Given the subjectivity of estimating the projected failure rates and warranty claims, performing audit procedures to evaluate whether the expected failure rates were appropriately determined as of December 31, 2020, required a high degree of auditor judgment and an increased extent of effort.</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audit procedures related to the estimated failure rates used in determining the warranty obligation included the following, among others:</w:t>
      </w:r>
    </w:p>
    <w:p>
      <w:pPr>
        <w:spacing w:after="0" w:line="94"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tested the effectiveness of controls utilized in the review of the warranty obligation calculation, including controls over the determination of estimated failure rates.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evaluated the methods and assumptions used by management to estimate the failure rates used as part of the calculation of the warranty obligation by:</w:t>
      </w:r>
    </w:p>
    <w:p>
      <w:pPr>
        <w:spacing w:after="0" w:line="93" w:lineRule="exact"/>
        <w:rPr>
          <w:rFonts w:ascii="Arial" w:cs="Arial" w:eastAsia="Arial" w:hAnsi="Arial"/>
          <w:sz w:val="14"/>
          <w:szCs w:val="14"/>
          <w:color w:val="auto"/>
        </w:rPr>
      </w:pPr>
    </w:p>
    <w:p>
      <w:pPr>
        <w:ind w:left="1020" w:hanging="255"/>
        <w:spacing w:after="0" w:line="296" w:lineRule="auto"/>
        <w:rPr>
          <w:rFonts w:ascii="Arial" w:cs="Arial" w:eastAsia="Arial" w:hAnsi="Arial"/>
          <w:sz w:val="14"/>
          <w:szCs w:val="14"/>
          <w:color w:val="auto"/>
        </w:rPr>
      </w:pPr>
      <w:r>
        <w:rPr>
          <w:rFonts w:ascii="Arial" w:cs="Arial" w:eastAsia="Arial" w:hAnsi="Arial"/>
          <w:sz w:val="14"/>
          <w:szCs w:val="14"/>
          <w:color w:val="auto"/>
        </w:rPr>
        <w:t>– Testing the underlying data that served as the basis for the Company’s failure rate analysis, which include historical claims and historical product sales, in order to evaluate the various assumptions and historical data consisting of failure of individual components contained in its microinverters.</w:t>
      </w:r>
    </w:p>
    <w:p>
      <w:pPr>
        <w:spacing w:after="0" w:line="27"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  Reviewing third party data compiled on similar products in order to challenge management’s assumptions and identify supporting or contradictory evidence.</w:t>
      </w:r>
    </w:p>
    <w:p>
      <w:pPr>
        <w:spacing w:after="0" w:line="93" w:lineRule="exact"/>
        <w:rPr>
          <w:rFonts w:ascii="Arial" w:cs="Arial" w:eastAsia="Arial" w:hAnsi="Arial"/>
          <w:sz w:val="14"/>
          <w:szCs w:val="14"/>
          <w:color w:val="auto"/>
        </w:rPr>
      </w:pPr>
    </w:p>
    <w:p>
      <w:pPr>
        <w:ind w:left="1020" w:hanging="255"/>
        <w:spacing w:after="0" w:line="296" w:lineRule="auto"/>
        <w:rPr>
          <w:rFonts w:ascii="Arial" w:cs="Arial" w:eastAsia="Arial" w:hAnsi="Arial"/>
          <w:sz w:val="14"/>
          <w:szCs w:val="14"/>
          <w:color w:val="auto"/>
        </w:rPr>
      </w:pPr>
      <w:r>
        <w:rPr>
          <w:rFonts w:ascii="Arial" w:cs="Arial" w:eastAsia="Arial" w:hAnsi="Arial"/>
          <w:sz w:val="14"/>
          <w:szCs w:val="14"/>
          <w:color w:val="auto"/>
        </w:rPr>
        <w:t>– Comparing management’s prior-year assumptions of expected failures to actual warranty claims received during the current year to identify potential bias in the determination of the failure rate estimates used in the warranty obligation recorded.</w:t>
      </w:r>
    </w:p>
    <w:p>
      <w:pPr>
        <w:spacing w:after="0" w:line="27"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  Developing independent estimates of the future failure rates for product families by utilizing data analytics and compared them to management assumptions.</w:t>
      </w:r>
    </w:p>
    <w:p>
      <w:pPr>
        <w:spacing w:after="0" w:line="95" w:lineRule="exact"/>
        <w:rPr>
          <w:rFonts w:ascii="Arial" w:cs="Arial" w:eastAsia="Arial" w:hAnsi="Arial"/>
          <w:sz w:val="14"/>
          <w:szCs w:val="14"/>
          <w:color w:val="auto"/>
        </w:rPr>
      </w:pPr>
    </w:p>
    <w:p>
      <w:pPr>
        <w:ind w:left="380" w:right="3520" w:hanging="382"/>
        <w:spacing w:after="0" w:line="378" w:lineRule="auto"/>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Valuation of Convertible note embedded derivative, Convertible notes hedge and Warrants – Refer to Note 9 and 11. </w:t>
      </w:r>
      <w:r>
        <w:rPr>
          <w:rFonts w:ascii="Arial" w:cs="Arial" w:eastAsia="Arial" w:hAnsi="Arial"/>
          <w:sz w:val="14"/>
          <w:szCs w:val="14"/>
          <w:i w:val="1"/>
          <w:iCs w:val="1"/>
          <w:color w:val="auto"/>
        </w:rPr>
        <w:t>Critical Audit Matter Description</w:t>
      </w:r>
    </w:p>
    <w:p>
      <w:pPr>
        <w:jc w:val="both"/>
        <w:ind w:firstLine="382"/>
        <w:spacing w:after="0" w:line="261" w:lineRule="auto"/>
        <w:rPr>
          <w:sz w:val="20"/>
          <w:szCs w:val="20"/>
          <w:color w:val="auto"/>
        </w:rPr>
      </w:pPr>
      <w:r>
        <w:rPr>
          <w:rFonts w:ascii="Arial" w:cs="Arial" w:eastAsia="Arial" w:hAnsi="Arial"/>
          <w:sz w:val="14"/>
          <w:szCs w:val="14"/>
          <w:color w:val="auto"/>
        </w:rPr>
        <w:t>On March 9, 2020, the Company issued $320 million aggregate principal amount of 0.25% convertible senior notes due 2025 (the “Notes”). Concurrently, the Company entered into privately-negotiated convertible notes hedge and warrant transactions which in combination were intended to mitigate potential dilutive effects from the conversion of the Notes. Upon initial recognition of the Notes, the convertible notes embedded derivative, convertible note hedge and warrants met the classification criteria for derivative accounting, and as a result, derivative financial instruments are mark-to-market at each reporting period or until they no longer meet the classification criteria for derivative accounting. Complex models incorporating observable and unobservable inputs were utilized to value the derivatives. The fair value of the convertible note embedded derivative is estimated using a Binomial Lattice model and the fair value of convertible notes hedge and warrants are estimated using Black-Scholes-Merton model.</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Unlike the fair value of other financial instruments that are readily observable and therefore more easily independently corroborated, the valuation of the three derivatives is inherently subjective and involves the use of complex modeling tools. Auditing the fair values requires a high degree of auditor judgment and an increased extent of effort. This includes involving our fair value specialists who possess significant quantitative and modeling expertise needed to evaluate the appropriateness of these models and inputs.</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audit procedures related to the valuation of the convertible notes embedded derivative, convertible notes hedge and warrants included the following, among others:</w:t>
      </w:r>
    </w:p>
    <w:p>
      <w:pPr>
        <w:spacing w:after="0" w:line="94"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tested the effectiveness of controls over management’s valuation of the convertible note embedded derivative, convertible notes hedge and warrants.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evaluated management’s methodology and whether management’s assumptions were reasonable.</w:t>
      </w:r>
    </w:p>
    <w:p>
      <w:pPr>
        <w:spacing w:after="0" w:line="93" w:lineRule="exact"/>
        <w:rPr>
          <w:rFonts w:ascii="Arial" w:cs="Arial" w:eastAsia="Arial" w:hAnsi="Arial"/>
          <w:sz w:val="14"/>
          <w:szCs w:val="14"/>
          <w:color w:val="auto"/>
        </w:rPr>
      </w:pPr>
    </w:p>
    <w:p>
      <w:pPr>
        <w:ind w:left="520" w:hanging="260"/>
        <w:spacing w:after="0" w:line="296"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evaluated the competency and objectivity of management’s expert engaged by the Company to perform the valuation of the convertible note embedded derivative, convertible notes hedge and warrants.</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With the assistance of our fair value specialists, we developed independent fair value estimates and compared our estimates to the Company’s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5" w:name="page76"/>
    <w:bookmarkEnd w:id="7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tested the underlying inputs used in valuation of the convertible note embedded derivative, convertible notes hedge and warrants for accuracy and completeness.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evaluated the additional accounting and reporting disclosures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February 12, 2021</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394970</wp:posOffset>
            </wp:positionV>
            <wp:extent cx="695960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8"/>
          <w:szCs w:val="8"/>
          <w:color w:val="828282"/>
        </w:rPr>
        <w:t>Enphase Energy, Inc. | 2020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840"/>
          </w:cols>
          <w:pgMar w:left="300" w:top="250" w:right="759" w:bottom="1440" w:gutter="0" w:footer="0" w:header="0"/>
        </w:sectPr>
      </w:pPr>
    </w:p>
    <w:bookmarkStart w:id="76" w:name="page77"/>
    <w:bookmarkEnd w:id="7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Enphase Energy, Inc.</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have audited the internal control over financial reporting of Enphase Energy, Inc. and subsidiaries (the “Company”) as of December 31,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Internal Control — Integrated Framework (2013) issued by COSO.</w:t>
      </w:r>
    </w:p>
    <w:p>
      <w:pPr>
        <w:spacing w:after="0" w:line="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2020, of the Company and our report dated February 12, 2021 expressed as an unqualified opinion on those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firstLine="5"/>
        <w:spacing w:after="0" w:line="269" w:lineRule="auto"/>
        <w:tabs>
          <w:tab w:leader="none" w:pos="217"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45"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356235</wp:posOffset>
            </wp:positionV>
            <wp:extent cx="69596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7" w:name="page78"/>
    <w:bookmarkEnd w:id="7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ENPHASE ENERGY, INC.</w:t>
      </w:r>
    </w:p>
    <w:p>
      <w:pPr>
        <w:spacing w:after="0" w:line="51"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As of</w:t>
            </w: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ind w:left="140"/>
              <w:spacing w:after="0" w:line="107"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9"/>
                <w:szCs w:val="9"/>
                <w:color w:val="auto"/>
              </w:rPr>
            </w:pPr>
          </w:p>
        </w:tc>
        <w:tc>
          <w:tcPr>
            <w:tcW w:w="1200" w:type="dxa"/>
            <w:vAlign w:val="bottom"/>
          </w:tcPr>
          <w:p>
            <w:pPr>
              <w:jc w:val="right"/>
              <w:ind w:right="277"/>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83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50"/>
        </w:trPr>
        <w:tc>
          <w:tcPr>
            <w:tcW w:w="8320" w:type="dxa"/>
            <w:vAlign w:val="bottom"/>
            <w:shd w:val="clear" w:color="auto" w:fill="CCEEFF"/>
          </w:tcPr>
          <w:p>
            <w:pPr>
              <w:ind w:left="390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3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679,379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251,409</w:t>
            </w: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Restricted cash</w:t>
            </w:r>
          </w:p>
        </w:tc>
        <w:tc>
          <w:tcPr>
            <w:tcW w:w="22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44,700</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 net of allowances of $462 and $564 at December 31, 2020 and December 31, 2019, respectively</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182,165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145,413</w:t>
            </w: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Inventory</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41,764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32,056</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assets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29,756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26,079</w:t>
            </w:r>
          </w:p>
        </w:tc>
        <w:tc>
          <w:tcPr>
            <w:tcW w:w="0" w:type="dxa"/>
            <w:vAlign w:val="bottom"/>
          </w:tcPr>
          <w:p>
            <w:pPr>
              <w:spacing w:after="0"/>
              <w:rPr>
                <w:sz w:val="1"/>
                <w:szCs w:val="1"/>
                <w:color w:val="auto"/>
              </w:rPr>
            </w:pPr>
          </w:p>
        </w:tc>
      </w:tr>
      <w:tr>
        <w:trPr>
          <w:trHeight w:val="160"/>
        </w:trPr>
        <w:tc>
          <w:tcPr>
            <w:tcW w:w="8320" w:type="dxa"/>
            <w:vAlign w:val="bottom"/>
          </w:tcPr>
          <w:p>
            <w:pPr>
              <w:ind w:left="520"/>
              <w:spacing w:after="0"/>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933,064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499,657</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28,936</w:t>
            </w:r>
          </w:p>
        </w:tc>
        <w:tc>
          <w:tcPr>
            <w:tcW w:w="0" w:type="dxa"/>
            <w:vAlign w:val="bottom"/>
          </w:tcPr>
          <w:p>
            <w:pPr>
              <w:spacing w:after="0"/>
              <w:rPr>
                <w:sz w:val="1"/>
                <w:szCs w:val="1"/>
                <w:color w:val="auto"/>
              </w:rPr>
            </w:pPr>
          </w:p>
        </w:tc>
      </w:tr>
      <w:tr>
        <w:trPr>
          <w:trHeight w:val="170"/>
        </w:trPr>
        <w:tc>
          <w:tcPr>
            <w:tcW w:w="8320" w:type="dxa"/>
            <w:vAlign w:val="bottom"/>
          </w:tcPr>
          <w:p>
            <w:pPr>
              <w:ind w:left="20"/>
              <w:spacing w:after="0"/>
              <w:rPr>
                <w:sz w:val="20"/>
                <w:szCs w:val="20"/>
                <w:color w:val="auto"/>
              </w:rPr>
            </w:pPr>
            <w:r>
              <w:rPr>
                <w:rFonts w:ascii="Arial" w:cs="Arial" w:eastAsia="Arial" w:hAnsi="Arial"/>
                <w:sz w:val="13"/>
                <w:szCs w:val="13"/>
                <w:color w:val="auto"/>
              </w:rPr>
              <w:t>Operating lease, right of use asset, net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17,683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10,117</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30,579</w:t>
            </w:r>
          </w:p>
        </w:tc>
        <w:tc>
          <w:tcPr>
            <w:tcW w:w="0" w:type="dxa"/>
            <w:vAlign w:val="bottom"/>
          </w:tcPr>
          <w:p>
            <w:pPr>
              <w:spacing w:after="0"/>
              <w:rPr>
                <w:sz w:val="1"/>
                <w:szCs w:val="1"/>
                <w:color w:val="auto"/>
              </w:rPr>
            </w:pPr>
          </w:p>
        </w:tc>
      </w:tr>
      <w:tr>
        <w:trPr>
          <w:trHeight w:val="170"/>
        </w:trPr>
        <w:tc>
          <w:tcPr>
            <w:tcW w:w="8320" w:type="dxa"/>
            <w:vAlign w:val="bottom"/>
          </w:tcPr>
          <w:p>
            <w:pPr>
              <w:ind w:left="20"/>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24,783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24,783</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44,620</w:t>
            </w:r>
          </w:p>
        </w:tc>
        <w:tc>
          <w:tcPr>
            <w:tcW w:w="0" w:type="dxa"/>
            <w:vAlign w:val="bottom"/>
          </w:tcPr>
          <w:p>
            <w:pPr>
              <w:spacing w:after="0"/>
              <w:rPr>
                <w:sz w:val="1"/>
                <w:szCs w:val="1"/>
                <w:color w:val="auto"/>
              </w:rPr>
            </w:pPr>
          </w:p>
        </w:tc>
      </w:tr>
      <w:tr>
        <w:trPr>
          <w:trHeight w:val="17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tax assets, net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74,531</w:t>
            </w:r>
          </w:p>
        </w:tc>
        <w:tc>
          <w:tcPr>
            <w:tcW w:w="0" w:type="dxa"/>
            <w:vAlign w:val="bottom"/>
          </w:tcPr>
          <w:p>
            <w:pPr>
              <w:spacing w:after="0"/>
              <w:rPr>
                <w:sz w:val="1"/>
                <w:szCs w:val="1"/>
                <w:color w:val="auto"/>
              </w:rPr>
            </w:pPr>
          </w:p>
        </w:tc>
      </w:tr>
      <w:tr>
        <w:trPr>
          <w:trHeight w:val="185"/>
        </w:trPr>
        <w:tc>
          <w:tcPr>
            <w:tcW w:w="8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1,200,102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713,223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82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Accounts payable</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72,609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57,474</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liabilities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47,092</w:t>
            </w: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Deferred revenues, current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47,665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81,783</w:t>
            </w:r>
          </w:p>
        </w:tc>
        <w:tc>
          <w:tcPr>
            <w:tcW w:w="0" w:type="dxa"/>
            <w:vAlign w:val="bottom"/>
          </w:tcPr>
          <w:p>
            <w:pPr>
              <w:spacing w:after="0"/>
              <w:rPr>
                <w:sz w:val="1"/>
                <w:szCs w:val="1"/>
                <w:color w:val="auto"/>
              </w:rPr>
            </w:pPr>
          </w:p>
        </w:tc>
      </w:tr>
      <w:tr>
        <w:trPr>
          <w:trHeight w:val="127"/>
        </w:trPr>
        <w:tc>
          <w:tcPr>
            <w:tcW w:w="832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Warranty obligations, current (includes $8,267 and $6,794 measured at fair value at December 31, 2020 and December 31, 2019,</w:t>
            </w:r>
          </w:p>
        </w:tc>
        <w:tc>
          <w:tcPr>
            <w:tcW w:w="2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11,260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10,078</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respectively)</w:t>
            </w:r>
          </w:p>
        </w:tc>
        <w:tc>
          <w:tcPr>
            <w:tcW w:w="2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Debt, current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325,967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2,884</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534,043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199,311</w:t>
            </w:r>
          </w:p>
        </w:tc>
        <w:tc>
          <w:tcPr>
            <w:tcW w:w="0" w:type="dxa"/>
            <w:vAlign w:val="bottom"/>
          </w:tcPr>
          <w:p>
            <w:pPr>
              <w:spacing w:after="0"/>
              <w:rPr>
                <w:sz w:val="1"/>
                <w:szCs w:val="1"/>
                <w:color w:val="auto"/>
              </w:rPr>
            </w:pPr>
          </w:p>
        </w:tc>
      </w:tr>
      <w:tr>
        <w:trPr>
          <w:trHeight w:val="170"/>
        </w:trPr>
        <w:tc>
          <w:tcPr>
            <w:tcW w:w="8320" w:type="dxa"/>
            <w:vAlign w:val="bottom"/>
          </w:tcPr>
          <w:p>
            <w:pPr>
              <w:ind w:left="20"/>
              <w:spacing w:after="0"/>
              <w:rPr>
                <w:sz w:val="20"/>
                <w:szCs w:val="20"/>
                <w:color w:val="auto"/>
              </w:rPr>
            </w:pPr>
            <w:r>
              <w:rPr>
                <w:rFonts w:ascii="Arial" w:cs="Arial" w:eastAsia="Arial" w:hAnsi="Arial"/>
                <w:sz w:val="13"/>
                <w:szCs w:val="13"/>
                <w:color w:val="auto"/>
              </w:rPr>
              <w:t>Long-term liabilities: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revenues, noncurrent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100,204</w:t>
            </w:r>
          </w:p>
        </w:tc>
        <w:tc>
          <w:tcPr>
            <w:tcW w:w="0" w:type="dxa"/>
            <w:vAlign w:val="bottom"/>
          </w:tcPr>
          <w:p>
            <w:pPr>
              <w:spacing w:after="0"/>
              <w:rPr>
                <w:sz w:val="1"/>
                <w:szCs w:val="1"/>
                <w:color w:val="auto"/>
              </w:rPr>
            </w:pPr>
          </w:p>
        </w:tc>
      </w:tr>
      <w:tr>
        <w:trPr>
          <w:trHeight w:val="127"/>
        </w:trPr>
        <w:tc>
          <w:tcPr>
            <w:tcW w:w="8320" w:type="dxa"/>
            <w:vAlign w:val="bottom"/>
          </w:tcPr>
          <w:p>
            <w:pPr>
              <w:ind w:left="280"/>
              <w:spacing w:after="0" w:line="128" w:lineRule="exact"/>
              <w:rPr>
                <w:sz w:val="20"/>
                <w:szCs w:val="20"/>
                <w:color w:val="auto"/>
              </w:rPr>
            </w:pPr>
            <w:r>
              <w:rPr>
                <w:rFonts w:ascii="Arial" w:cs="Arial" w:eastAsia="Arial" w:hAnsi="Arial"/>
                <w:sz w:val="13"/>
                <w:szCs w:val="13"/>
                <w:color w:val="auto"/>
              </w:rPr>
              <w:t>Warranty obligations, noncurrent (includes $20,469 and $13,012 measured at fair value at December 31, 2020 and December 31, 2019,</w:t>
            </w:r>
          </w:p>
        </w:tc>
        <w:tc>
          <w:tcPr>
            <w:tcW w:w="2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34,653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27,020</w:t>
            </w: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respectively)</w:t>
            </w: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11,817</w:t>
            </w:r>
          </w:p>
        </w:tc>
        <w:tc>
          <w:tcPr>
            <w:tcW w:w="0" w:type="dxa"/>
            <w:vAlign w:val="bottom"/>
          </w:tcPr>
          <w:p>
            <w:pPr>
              <w:spacing w:after="0"/>
              <w:rPr>
                <w:sz w:val="1"/>
                <w:szCs w:val="1"/>
                <w:color w:val="auto"/>
              </w:rPr>
            </w:pPr>
          </w:p>
        </w:tc>
      </w:tr>
      <w:tr>
        <w:trPr>
          <w:trHeight w:val="17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Debt, noncurrent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102,659</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716,109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441,011</w:t>
            </w:r>
          </w:p>
        </w:tc>
        <w:tc>
          <w:tcPr>
            <w:tcW w:w="0" w:type="dxa"/>
            <w:vAlign w:val="bottom"/>
          </w:tcPr>
          <w:p>
            <w:pPr>
              <w:spacing w:after="0"/>
              <w:rPr>
                <w:sz w:val="1"/>
                <w:szCs w:val="1"/>
                <w:color w:val="auto"/>
              </w:rPr>
            </w:pPr>
          </w:p>
        </w:tc>
      </w:tr>
      <w:tr>
        <w:trPr>
          <w:trHeight w:val="150"/>
        </w:trPr>
        <w:tc>
          <w:tcPr>
            <w:tcW w:w="8320" w:type="dxa"/>
            <w:vAlign w:val="bottom"/>
          </w:tcPr>
          <w:p>
            <w:pPr>
              <w:ind w:left="20"/>
              <w:spacing w:after="0"/>
              <w:rPr>
                <w:sz w:val="20"/>
                <w:szCs w:val="20"/>
                <w:color w:val="auto"/>
              </w:rPr>
            </w:pPr>
            <w:r>
              <w:rPr>
                <w:rFonts w:ascii="Arial" w:cs="Arial" w:eastAsia="Arial" w:hAnsi="Arial"/>
                <w:sz w:val="13"/>
                <w:szCs w:val="13"/>
                <w:color w:val="auto"/>
              </w:rPr>
              <w:t>Commitments and contingencies (Note 12)</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320" w:type="dxa"/>
            <w:vAlign w:val="bottom"/>
          </w:tcPr>
          <w:p>
            <w:pPr>
              <w:ind w:left="280"/>
              <w:spacing w:after="0" w:line="128" w:lineRule="exact"/>
              <w:rPr>
                <w:sz w:val="20"/>
                <w:szCs w:val="20"/>
                <w:color w:val="auto"/>
              </w:rPr>
            </w:pPr>
            <w:r>
              <w:rPr>
                <w:rFonts w:ascii="Arial" w:cs="Arial" w:eastAsia="Arial" w:hAnsi="Arial"/>
                <w:sz w:val="13"/>
                <w:szCs w:val="13"/>
                <w:color w:val="auto"/>
              </w:rPr>
              <w:t>Common stock, $0.00001 par value, 200,000 shares and 150,000 shares authorized; and 128,962 shares and 123,109 shares issued and</w:t>
            </w:r>
          </w:p>
        </w:tc>
        <w:tc>
          <w:tcPr>
            <w:tcW w:w="22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outstanding at December 31, 2020 and December 31, 2019, respectively</w:t>
            </w: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534,744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458,315</w:t>
            </w:r>
          </w:p>
        </w:tc>
        <w:tc>
          <w:tcPr>
            <w:tcW w:w="0" w:type="dxa"/>
            <w:vAlign w:val="bottom"/>
          </w:tcPr>
          <w:p>
            <w:pPr>
              <w:spacing w:after="0"/>
              <w:rPr>
                <w:sz w:val="1"/>
                <w:szCs w:val="1"/>
                <w:color w:val="auto"/>
              </w:rPr>
            </w:pPr>
          </w:p>
        </w:tc>
      </w:tr>
      <w:tr>
        <w:trPr>
          <w:trHeight w:val="170"/>
        </w:trPr>
        <w:tc>
          <w:tcPr>
            <w:tcW w:w="8320" w:type="dxa"/>
            <w:vAlign w:val="bottom"/>
          </w:tcPr>
          <w:p>
            <w:pPr>
              <w:ind w:left="280"/>
              <w:spacing w:after="0"/>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(51,186)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(185,181)</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 (loss)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w:t>
            </w:r>
          </w:p>
        </w:tc>
        <w:tc>
          <w:tcPr>
            <w:tcW w:w="0" w:type="dxa"/>
            <w:vAlign w:val="bottom"/>
          </w:tcPr>
          <w:p>
            <w:pPr>
              <w:spacing w:after="0"/>
              <w:rPr>
                <w:sz w:val="1"/>
                <w:szCs w:val="1"/>
                <w:color w:val="auto"/>
              </w:rPr>
            </w:pPr>
          </w:p>
        </w:tc>
      </w:tr>
      <w:tr>
        <w:trPr>
          <w:trHeight w:val="160"/>
        </w:trPr>
        <w:tc>
          <w:tcPr>
            <w:tcW w:w="83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483,993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272,212</w:t>
            </w:r>
          </w:p>
        </w:tc>
        <w:tc>
          <w:tcPr>
            <w:tcW w:w="0" w:type="dxa"/>
            <w:vAlign w:val="bottom"/>
          </w:tcPr>
          <w:p>
            <w:pPr>
              <w:spacing w:after="0"/>
              <w:rPr>
                <w:sz w:val="1"/>
                <w:szCs w:val="1"/>
                <w:color w:val="auto"/>
              </w:rPr>
            </w:pPr>
          </w:p>
        </w:tc>
      </w:tr>
      <w:tr>
        <w:trPr>
          <w:trHeight w:val="18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1,200,102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713,223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8" w:name="page79"/>
    <w:bookmarkEnd w:id="7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ENPHASE ENERGY, INC.</w:t>
      </w:r>
    </w:p>
    <w:p>
      <w:pPr>
        <w:spacing w:after="0" w:line="51"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Years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3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60"/>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980" w:type="dxa"/>
            <w:vAlign w:val="bottom"/>
            <w:shd w:val="clear" w:color="auto" w:fill="CCEEFF"/>
          </w:tcPr>
          <w:p>
            <w:pPr>
              <w:jc w:val="right"/>
              <w:ind w:right="83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774,425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624,333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316,159</w:t>
            </w:r>
          </w:p>
        </w:tc>
        <w:tc>
          <w:tcPr>
            <w:tcW w:w="0" w:type="dxa"/>
            <w:vAlign w:val="bottom"/>
          </w:tcPr>
          <w:p>
            <w:pPr>
              <w:spacing w:after="0"/>
              <w:rPr>
                <w:sz w:val="1"/>
                <w:szCs w:val="1"/>
                <w:color w:val="auto"/>
              </w:rPr>
            </w:pPr>
          </w:p>
        </w:tc>
      </w:tr>
      <w:tr>
        <w:trPr>
          <w:trHeight w:val="17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428,444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403,088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221,714</w:t>
            </w:r>
          </w:p>
        </w:tc>
        <w:tc>
          <w:tcPr>
            <w:tcW w:w="0" w:type="dxa"/>
            <w:vAlign w:val="bottom"/>
          </w:tcPr>
          <w:p>
            <w:pPr>
              <w:spacing w:after="0"/>
              <w:rPr>
                <w:sz w:val="1"/>
                <w:szCs w:val="1"/>
                <w:color w:val="auto"/>
              </w:rPr>
            </w:pPr>
          </w:p>
        </w:tc>
      </w:tr>
      <w:tr>
        <w:trPr>
          <w:trHeight w:val="160"/>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9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345,981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221,245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94,445</w:t>
            </w:r>
          </w:p>
        </w:tc>
        <w:tc>
          <w:tcPr>
            <w:tcW w:w="0" w:type="dxa"/>
            <w:vAlign w:val="bottom"/>
          </w:tcPr>
          <w:p>
            <w:pPr>
              <w:spacing w:after="0"/>
              <w:rPr>
                <w:sz w:val="1"/>
                <w:szCs w:val="1"/>
                <w:color w:val="auto"/>
              </w:rPr>
            </w:pPr>
          </w:p>
        </w:tc>
      </w:tr>
      <w:tr>
        <w:trPr>
          <w:trHeight w:val="150"/>
        </w:trPr>
        <w:tc>
          <w:tcPr>
            <w:tcW w:w="63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32,587</w:t>
            </w:r>
          </w:p>
        </w:tc>
        <w:tc>
          <w:tcPr>
            <w:tcW w:w="0" w:type="dxa"/>
            <w:vAlign w:val="bottom"/>
          </w:tcPr>
          <w:p>
            <w:pPr>
              <w:spacing w:after="0"/>
              <w:rPr>
                <w:sz w:val="1"/>
                <w:szCs w:val="1"/>
                <w:color w:val="auto"/>
              </w:rPr>
            </w:pPr>
          </w:p>
        </w:tc>
      </w:tr>
      <w:tr>
        <w:trPr>
          <w:trHeight w:val="170"/>
        </w:trPr>
        <w:tc>
          <w:tcPr>
            <w:tcW w:w="6380" w:type="dxa"/>
            <w:vAlign w:val="bottom"/>
          </w:tcPr>
          <w:p>
            <w:pPr>
              <w:ind w:left="280"/>
              <w:spacing w:after="0"/>
              <w:rPr>
                <w:sz w:val="20"/>
                <w:szCs w:val="20"/>
                <w:color w:val="auto"/>
              </w:rPr>
            </w:pPr>
            <w:r>
              <w:rPr>
                <w:rFonts w:ascii="Arial" w:cs="Arial" w:eastAsia="Arial" w:hAnsi="Arial"/>
                <w:sz w:val="13"/>
                <w:szCs w:val="13"/>
                <w:color w:val="auto"/>
              </w:rPr>
              <w:t>Sales and marketing</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52,927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36,728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27,047</w:t>
            </w:r>
          </w:p>
        </w:tc>
        <w:tc>
          <w:tcPr>
            <w:tcW w:w="0" w:type="dxa"/>
            <w:vAlign w:val="bottom"/>
          </w:tcPr>
          <w:p>
            <w:pPr>
              <w:spacing w:after="0"/>
              <w:rPr>
                <w:sz w:val="1"/>
                <w:szCs w:val="1"/>
                <w:color w:val="auto"/>
              </w:rPr>
            </w:pPr>
          </w:p>
        </w:tc>
      </w:tr>
      <w:tr>
        <w:trPr>
          <w:trHeight w:val="170"/>
        </w:trPr>
        <w:tc>
          <w:tcPr>
            <w:tcW w:w="6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29,086</w:t>
            </w:r>
          </w:p>
        </w:tc>
        <w:tc>
          <w:tcPr>
            <w:tcW w:w="0" w:type="dxa"/>
            <w:vAlign w:val="bottom"/>
          </w:tcPr>
          <w:p>
            <w:pPr>
              <w:spacing w:after="0"/>
              <w:rPr>
                <w:sz w:val="1"/>
                <w:szCs w:val="1"/>
                <w:color w:val="auto"/>
              </w:rPr>
            </w:pPr>
          </w:p>
        </w:tc>
      </w:tr>
      <w:tr>
        <w:trPr>
          <w:trHeight w:val="170"/>
        </w:trPr>
        <w:tc>
          <w:tcPr>
            <w:tcW w:w="6380" w:type="dxa"/>
            <w:vAlign w:val="bottom"/>
          </w:tcPr>
          <w:p>
            <w:pPr>
              <w:ind w:left="280"/>
              <w:spacing w:after="0"/>
              <w:rPr>
                <w:sz w:val="20"/>
                <w:szCs w:val="20"/>
                <w:color w:val="auto"/>
              </w:rPr>
            </w:pPr>
            <w:r>
              <w:rPr>
                <w:rFonts w:ascii="Arial" w:cs="Arial" w:eastAsia="Arial" w:hAnsi="Arial"/>
                <w:sz w:val="13"/>
                <w:szCs w:val="13"/>
                <w:color w:val="auto"/>
              </w:rPr>
              <w:t>Restructuring charges</w:t>
            </w: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2,599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4,129</w:t>
            </w:r>
          </w:p>
        </w:tc>
        <w:tc>
          <w:tcPr>
            <w:tcW w:w="0" w:type="dxa"/>
            <w:vAlign w:val="bottom"/>
          </w:tcPr>
          <w:p>
            <w:pPr>
              <w:spacing w:after="0"/>
              <w:rPr>
                <w:sz w:val="1"/>
                <w:szCs w:val="1"/>
                <w:color w:val="auto"/>
              </w:rPr>
            </w:pPr>
          </w:p>
        </w:tc>
      </w:tr>
      <w:tr>
        <w:trPr>
          <w:trHeight w:val="160"/>
        </w:trPr>
        <w:tc>
          <w:tcPr>
            <w:tcW w:w="63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159,542</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118,516</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92,849</w:t>
            </w:r>
          </w:p>
        </w:tc>
        <w:tc>
          <w:tcPr>
            <w:tcW w:w="0" w:type="dxa"/>
            <w:vAlign w:val="bottom"/>
          </w:tcPr>
          <w:p>
            <w:pPr>
              <w:spacing w:after="0"/>
              <w:rPr>
                <w:sz w:val="1"/>
                <w:szCs w:val="1"/>
                <w:color w:val="auto"/>
              </w:rPr>
            </w:pPr>
          </w:p>
        </w:tc>
      </w:tr>
      <w:tr>
        <w:trPr>
          <w:trHeight w:val="160"/>
        </w:trPr>
        <w:tc>
          <w:tcPr>
            <w:tcW w:w="6380" w:type="dxa"/>
            <w:vAlign w:val="bottom"/>
          </w:tcPr>
          <w:p>
            <w:pPr>
              <w:ind w:left="20"/>
              <w:spacing w:after="0"/>
              <w:rPr>
                <w:sz w:val="20"/>
                <w:szCs w:val="20"/>
                <w:color w:val="auto"/>
              </w:rPr>
            </w:pPr>
            <w:r>
              <w:rPr>
                <w:rFonts w:ascii="Arial" w:cs="Arial" w:eastAsia="Arial" w:hAnsi="Arial"/>
                <w:sz w:val="13"/>
                <w:szCs w:val="13"/>
                <w:color w:val="auto"/>
              </w:rPr>
              <w:t>Income from operations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186,439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102,729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1,596</w:t>
            </w:r>
          </w:p>
        </w:tc>
        <w:tc>
          <w:tcPr>
            <w:tcW w:w="0" w:type="dxa"/>
            <w:vAlign w:val="bottom"/>
          </w:tcPr>
          <w:p>
            <w:pPr>
              <w:spacing w:after="0"/>
              <w:rPr>
                <w:sz w:val="1"/>
                <w:szCs w:val="1"/>
                <w:color w:val="auto"/>
              </w:rPr>
            </w:pPr>
          </w:p>
        </w:tc>
      </w:tr>
      <w:tr>
        <w:trPr>
          <w:trHeight w:val="170"/>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8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2,156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2,513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70"/>
        </w:trPr>
        <w:tc>
          <w:tcPr>
            <w:tcW w:w="6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(10,693)</w:t>
            </w:r>
          </w:p>
        </w:tc>
        <w:tc>
          <w:tcPr>
            <w:tcW w:w="0" w:type="dxa"/>
            <w:vAlign w:val="bottom"/>
          </w:tcPr>
          <w:p>
            <w:pPr>
              <w:spacing w:after="0"/>
              <w:rPr>
                <w:sz w:val="1"/>
                <w:szCs w:val="1"/>
                <w:color w:val="auto"/>
              </w:rPr>
            </w:pPr>
          </w:p>
        </w:tc>
      </w:tr>
      <w:tr>
        <w:trPr>
          <w:trHeight w:val="170"/>
        </w:trPr>
        <w:tc>
          <w:tcPr>
            <w:tcW w:w="6380" w:type="dxa"/>
            <w:vAlign w:val="bottom"/>
          </w:tcPr>
          <w:p>
            <w:pPr>
              <w:ind w:left="280"/>
              <w:spacing w:after="0"/>
              <w:rPr>
                <w:sz w:val="20"/>
                <w:szCs w:val="20"/>
                <w:color w:val="auto"/>
              </w:rPr>
            </w:pPr>
            <w:r>
              <w:rPr>
                <w:rFonts w:ascii="Arial" w:cs="Arial" w:eastAsia="Arial" w:hAnsi="Arial"/>
                <w:sz w:val="13"/>
                <w:szCs w:val="13"/>
                <w:color w:val="auto"/>
              </w:rPr>
              <w:t>Other expense, net</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(5,437)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170"/>
        </w:trPr>
        <w:tc>
          <w:tcPr>
            <w:tcW w:w="6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fair value of derivatives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(44,348)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3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other expense, net</w:t>
            </w:r>
          </w:p>
        </w:tc>
        <w:tc>
          <w:tcPr>
            <w:tcW w:w="9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(67,029)</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(12,615)</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(11,825)</w:t>
            </w:r>
          </w:p>
        </w:tc>
        <w:tc>
          <w:tcPr>
            <w:tcW w:w="0" w:type="dxa"/>
            <w:vAlign w:val="bottom"/>
          </w:tcPr>
          <w:p>
            <w:pPr>
              <w:spacing w:after="0"/>
              <w:rPr>
                <w:sz w:val="1"/>
                <w:szCs w:val="1"/>
                <w:color w:val="auto"/>
              </w:rPr>
            </w:pPr>
          </w:p>
        </w:tc>
      </w:tr>
      <w:tr>
        <w:trPr>
          <w:trHeight w:val="160"/>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90,114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(10,229)</w:t>
            </w:r>
          </w:p>
        </w:tc>
        <w:tc>
          <w:tcPr>
            <w:tcW w:w="0" w:type="dxa"/>
            <w:vAlign w:val="bottom"/>
          </w:tcPr>
          <w:p>
            <w:pPr>
              <w:spacing w:after="0"/>
              <w:rPr>
                <w:sz w:val="1"/>
                <w:szCs w:val="1"/>
                <w:color w:val="auto"/>
              </w:rPr>
            </w:pPr>
          </w:p>
        </w:tc>
      </w:tr>
      <w:tr>
        <w:trPr>
          <w:trHeight w:val="17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(provision)</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14,585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71,034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0" w:type="dxa"/>
            <w:vAlign w:val="bottom"/>
          </w:tcPr>
          <w:p>
            <w:pPr>
              <w:spacing w:after="0"/>
              <w:rPr>
                <w:sz w:val="1"/>
                <w:szCs w:val="1"/>
                <w:color w:val="auto"/>
              </w:rPr>
            </w:pPr>
          </w:p>
        </w:tc>
      </w:tr>
      <w:tr>
        <w:trPr>
          <w:trHeight w:val="18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133,995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161,148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income (loss)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3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98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380" w:type="dxa"/>
            <w:vAlign w:val="bottom"/>
          </w:tcPr>
          <w:p>
            <w:pPr>
              <w:ind w:left="280"/>
              <w:spacing w:after="0" w:line="133" w:lineRule="exact"/>
              <w:rPr>
                <w:sz w:val="20"/>
                <w:szCs w:val="20"/>
                <w:color w:val="auto"/>
              </w:rPr>
            </w:pPr>
            <w:r>
              <w:rPr>
                <w:rFonts w:ascii="Arial" w:cs="Arial" w:eastAsia="Arial" w:hAnsi="Arial"/>
                <w:sz w:val="13"/>
                <w:szCs w:val="13"/>
                <w:color w:val="auto"/>
              </w:rPr>
              <w:t>Diluted</w:t>
            </w:r>
          </w:p>
        </w:tc>
        <w:tc>
          <w:tcPr>
            <w:tcW w:w="980" w:type="dxa"/>
            <w:vAlign w:val="bottom"/>
            <w:tcBorders>
              <w:bottom w:val="single" w:sz="8" w:color="auto"/>
            </w:tcBorders>
          </w:tcPr>
          <w:p>
            <w:pPr>
              <w:jc w:val="right"/>
              <w:ind w:right="838"/>
              <w:spacing w:after="0" w:line="133"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0.95</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38"/>
              <w:spacing w:after="0" w:line="133" w:lineRule="exact"/>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1.23</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(0.12)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per share calculation:</w:t>
            </w:r>
          </w:p>
        </w:tc>
        <w:tc>
          <w:tcPr>
            <w:tcW w:w="9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380" w:type="dxa"/>
            <w:vAlign w:val="bottom"/>
          </w:tcPr>
          <w:p>
            <w:pPr>
              <w:ind w:left="280"/>
              <w:spacing w:after="0"/>
              <w:rPr>
                <w:sz w:val="20"/>
                <w:szCs w:val="20"/>
                <w:color w:val="auto"/>
              </w:rPr>
            </w:pPr>
            <w:r>
              <w:rPr>
                <w:rFonts w:ascii="Arial" w:cs="Arial" w:eastAsia="Arial" w:hAnsi="Arial"/>
                <w:sz w:val="13"/>
                <w:szCs w:val="13"/>
                <w:color w:val="auto"/>
              </w:rPr>
              <w:t>Basic</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125,561</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116,713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99,619</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141,918</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131,644</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99,619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79" w:name="page80"/>
    <w:bookmarkEnd w:id="7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income (loss):</w:t>
      </w:r>
    </w:p>
    <w:p>
      <w:pPr>
        <w:spacing w:after="0" w:line="22" w:lineRule="exact"/>
        <w:rPr>
          <w:sz w:val="20"/>
          <w:szCs w:val="20"/>
          <w:color w:val="auto"/>
        </w:rPr>
      </w:pPr>
    </w:p>
    <w:p>
      <w:pPr>
        <w:ind w:left="20" w:firstLine="255"/>
        <w:spacing w:after="0" w:line="305" w:lineRule="auto"/>
        <w:rPr>
          <w:sz w:val="20"/>
          <w:szCs w:val="20"/>
          <w:color w:val="auto"/>
        </w:rPr>
      </w:pPr>
      <w:r>
        <w:rPr>
          <w:rFonts w:ascii="Arial" w:cs="Arial" w:eastAsia="Arial" w:hAnsi="Arial"/>
          <w:sz w:val="13"/>
          <w:szCs w:val="13"/>
          <w:color w:val="auto"/>
        </w:rPr>
        <w:t>Foreign currency translation adjustments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ENPHASE ENERGY, INC.</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2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p>
      <w:pPr>
        <w:ind w:left="4820"/>
        <w:spacing w:after="0"/>
        <w:rPr>
          <w:sz w:val="20"/>
          <w:szCs w:val="20"/>
          <w:color w:val="auto"/>
        </w:rPr>
      </w:pPr>
      <w:r>
        <w:rPr>
          <w:rFonts w:ascii="Arial" w:cs="Arial" w:eastAsia="Arial" w:hAnsi="Arial"/>
          <w:sz w:val="11"/>
          <w:szCs w:val="11"/>
          <w:b w:val="1"/>
          <w:bCs w:val="1"/>
          <w:color w:val="auto"/>
        </w:rPr>
        <w:t>Years Ended December 31,</w:t>
      </w:r>
    </w:p>
    <w:p>
      <w:pPr>
        <w:spacing w:after="0" w:line="24" w:lineRule="exact"/>
        <w:rPr>
          <w:sz w:val="20"/>
          <w:szCs w:val="20"/>
          <w:color w:val="auto"/>
        </w:rPr>
      </w:pPr>
    </w:p>
    <w:tbl>
      <w:tblPr>
        <w:tblLayout w:type="fixed"/>
        <w:tblInd w:w="3060" w:type="dxa"/>
        <w:tblCellMar>
          <w:top w:w="0" w:type="dxa"/>
          <w:left w:w="0" w:type="dxa"/>
          <w:bottom w:w="0" w:type="dxa"/>
          <w:right w:w="0" w:type="dxa"/>
        </w:tblCellMar>
      </w:tblPr>
      <w:tr>
        <w:trPr>
          <w:trHeight w:val="139"/>
        </w:trPr>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2018</w:t>
            </w:r>
          </w:p>
        </w:tc>
      </w:tr>
      <w:tr>
        <w:trPr>
          <w:trHeight w:val="162"/>
        </w:trPr>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133,995</w:t>
            </w:r>
          </w:p>
        </w:tc>
        <w:tc>
          <w:tcPr>
            <w:tcW w:w="80" w:type="dxa"/>
            <w:vAlign w:val="bottom"/>
          </w:tcPr>
          <w:p>
            <w:pPr>
              <w:spacing w:after="0"/>
              <w:rPr>
                <w:sz w:val="14"/>
                <w:szCs w:val="14"/>
                <w:color w:val="auto"/>
              </w:rPr>
            </w:pPr>
          </w:p>
        </w:tc>
        <w:tc>
          <w:tcPr>
            <w:tcW w:w="3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161,148</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(11,627)</w:t>
            </w:r>
          </w:p>
        </w:tc>
      </w:tr>
      <w:tr>
        <w:trPr>
          <w:trHeight w:val="337"/>
        </w:trPr>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r>
      <w:tr>
        <w:trPr>
          <w:trHeight w:val="162"/>
        </w:trPr>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135,352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159,483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(10,229)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-471170</wp:posOffset>
            </wp:positionV>
            <wp:extent cx="7161530" cy="114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-248920</wp:posOffset>
            </wp:positionV>
            <wp:extent cx="7161530" cy="1079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421640</wp:posOffset>
            </wp:positionV>
            <wp:extent cx="69596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00"/>
            <w:col w:w="8000"/>
          </w:cols>
          <w:pgMar w:left="300" w:top="250" w:right="3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80" w:name="page81"/>
    <w:bookmarkEnd w:id="8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80"/>
          </w:cols>
          <w:pgMar w:left="300" w:top="250" w:right="319" w:bottom="1440" w:gutter="0" w:footer="0" w:header="0"/>
        </w:sect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192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00" w:type="dxa"/>
            <w:vAlign w:val="bottom"/>
            <w:vMerge w:val="restart"/>
          </w:tcPr>
          <w:p>
            <w:pPr>
              <w:spacing w:after="0"/>
              <w:rPr>
                <w:sz w:val="20"/>
                <w:szCs w:val="20"/>
                <w:color w:val="auto"/>
              </w:rPr>
            </w:pPr>
            <w:r>
              <w:rPr>
                <w:rFonts w:ascii="Arial" w:cs="Arial" w:eastAsia="Arial" w:hAnsi="Arial"/>
                <w:sz w:val="13"/>
                <w:szCs w:val="13"/>
                <w:color w:val="auto"/>
              </w:rPr>
              <w:t>Balance at December 31, 2017</w:t>
            </w:r>
          </w:p>
        </w:tc>
        <w:tc>
          <w:tcPr>
            <w:tcW w:w="10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3"/>
                <w:szCs w:val="13"/>
                <w:color w:val="auto"/>
              </w:rPr>
            </w:pPr>
          </w:p>
        </w:tc>
        <w:tc>
          <w:tcPr>
            <w:tcW w:w="700" w:type="dxa"/>
            <w:vAlign w:val="bottom"/>
          </w:tcPr>
          <w:p>
            <w:pPr>
              <w:jc w:val="right"/>
              <w:ind w:right="157"/>
              <w:spacing w:after="0"/>
              <w:rPr>
                <w:sz w:val="20"/>
                <w:szCs w:val="20"/>
                <w:color w:val="auto"/>
              </w:rPr>
            </w:pPr>
            <w:r>
              <w:rPr>
                <w:rFonts w:ascii="Arial" w:cs="Arial" w:eastAsia="Arial" w:hAnsi="Arial"/>
                <w:sz w:val="11"/>
                <w:szCs w:val="11"/>
                <w:b w:val="1"/>
                <w:bCs w:val="1"/>
                <w:color w:val="auto"/>
              </w:rPr>
              <w:t>Amount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85,914</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60"/>
              <w:spacing w:after="0" w:line="131" w:lineRule="exact"/>
              <w:rPr>
                <w:sz w:val="20"/>
                <w:szCs w:val="20"/>
                <w:color w:val="auto"/>
              </w:rPr>
            </w:pPr>
            <w:r>
              <w:rPr>
                <w:rFonts w:ascii="Arial" w:cs="Arial" w:eastAsia="Arial" w:hAnsi="Arial"/>
                <w:sz w:val="13"/>
                <w:szCs w:val="13"/>
                <w:color w:val="auto"/>
              </w:rPr>
              <w:t>Cumulative-effect adjustment to accumulated deficit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20"/>
              <w:spacing w:after="0"/>
              <w:rPr>
                <w:sz w:val="20"/>
                <w:szCs w:val="20"/>
                <w:color w:val="auto"/>
              </w:rPr>
            </w:pPr>
            <w:r>
              <w:rPr>
                <w:rFonts w:ascii="Arial" w:cs="Arial" w:eastAsia="Arial" w:hAnsi="Arial"/>
                <w:sz w:val="13"/>
                <w:szCs w:val="13"/>
                <w:color w:val="auto"/>
              </w:rPr>
              <w:t>related to the adoption of ASC 606</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60"/>
              <w:spacing w:after="0" w:line="131" w:lineRule="exact"/>
              <w:rPr>
                <w:sz w:val="20"/>
                <w:szCs w:val="20"/>
                <w:color w:val="auto"/>
              </w:rPr>
            </w:pPr>
            <w:r>
              <w:rPr>
                <w:rFonts w:ascii="Arial" w:cs="Arial" w:eastAsia="Arial" w:hAnsi="Arial"/>
                <w:sz w:val="13"/>
                <w:szCs w:val="13"/>
                <w:color w:val="auto"/>
                <w:w w:val="99"/>
              </w:rPr>
              <w:t>Issuance of common stock from exercise of equity awards</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3,185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20"/>
              <w:spacing w:after="0"/>
              <w:rPr>
                <w:sz w:val="20"/>
                <w:szCs w:val="20"/>
                <w:color w:val="auto"/>
              </w:rPr>
            </w:pPr>
            <w:r>
              <w:rPr>
                <w:rFonts w:ascii="Arial" w:cs="Arial" w:eastAsia="Arial" w:hAnsi="Arial"/>
                <w:sz w:val="13"/>
                <w:szCs w:val="13"/>
                <w:color w:val="auto"/>
              </w:rPr>
              <w:t>and employee stock purchase plan</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Issuance of common stock, net of offering costs</w:t>
            </w:r>
          </w:p>
        </w:tc>
        <w:tc>
          <w:tcPr>
            <w:tcW w:w="960" w:type="dxa"/>
            <w:vAlign w:val="bottom"/>
          </w:tcPr>
          <w:p>
            <w:pPr>
              <w:jc w:val="right"/>
              <w:spacing w:after="0"/>
              <w:rPr>
                <w:sz w:val="20"/>
                <w:szCs w:val="20"/>
                <w:color w:val="auto"/>
              </w:rPr>
            </w:pPr>
            <w:r>
              <w:rPr>
                <w:rFonts w:ascii="Arial" w:cs="Arial" w:eastAsia="Arial" w:hAnsi="Arial"/>
                <w:sz w:val="13"/>
                <w:szCs w:val="13"/>
                <w:color w:val="auto"/>
              </w:rPr>
              <w:t>9,524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Issuance of common stock related to acquisition</w:t>
            </w:r>
          </w:p>
        </w:tc>
        <w:tc>
          <w:tcPr>
            <w:tcW w:w="960" w:type="dxa"/>
            <w:vAlign w:val="bottom"/>
          </w:tcPr>
          <w:p>
            <w:pPr>
              <w:jc w:val="right"/>
              <w:spacing w:after="0"/>
              <w:rPr>
                <w:sz w:val="20"/>
                <w:szCs w:val="20"/>
                <w:color w:val="auto"/>
              </w:rPr>
            </w:pPr>
            <w:r>
              <w:rPr>
                <w:rFonts w:ascii="Arial" w:cs="Arial" w:eastAsia="Arial" w:hAnsi="Arial"/>
                <w:sz w:val="13"/>
                <w:szCs w:val="13"/>
                <w:color w:val="auto"/>
              </w:rPr>
              <w:t>7,500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Exercise of warrants</w:t>
            </w:r>
          </w:p>
        </w:tc>
        <w:tc>
          <w:tcPr>
            <w:tcW w:w="960" w:type="dxa"/>
            <w:vAlign w:val="bottom"/>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Arial" w:cs="Arial" w:eastAsia="Arial" w:hAnsi="Arial"/>
                <w:sz w:val="13"/>
                <w:szCs w:val="13"/>
                <w:color w:val="auto"/>
              </w:rPr>
              <w:t>Foreign currency translation adjustment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107,035</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3500" w:type="dxa"/>
            <w:vAlign w:val="bottom"/>
          </w:tcPr>
          <w:p>
            <w:pPr>
              <w:ind w:left="160"/>
              <w:spacing w:after="0" w:line="131" w:lineRule="exact"/>
              <w:rPr>
                <w:sz w:val="20"/>
                <w:szCs w:val="20"/>
                <w:color w:val="auto"/>
              </w:rPr>
            </w:pPr>
            <w:r>
              <w:rPr>
                <w:rFonts w:ascii="Arial" w:cs="Arial" w:eastAsia="Arial" w:hAnsi="Arial"/>
                <w:sz w:val="13"/>
                <w:szCs w:val="13"/>
                <w:color w:val="auto"/>
              </w:rPr>
              <w:t>Cumulative-effect adjustment to accumulated deficit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20"/>
              <w:spacing w:after="0"/>
              <w:rPr>
                <w:sz w:val="20"/>
                <w:szCs w:val="20"/>
                <w:color w:val="auto"/>
              </w:rPr>
            </w:pPr>
            <w:r>
              <w:rPr>
                <w:rFonts w:ascii="Arial" w:cs="Arial" w:eastAsia="Arial" w:hAnsi="Arial"/>
                <w:sz w:val="13"/>
                <w:szCs w:val="13"/>
                <w:color w:val="auto"/>
              </w:rPr>
              <w:t>related to the adoption of ASU 2018-07</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60"/>
              <w:spacing w:after="0" w:line="131" w:lineRule="exact"/>
              <w:rPr>
                <w:sz w:val="20"/>
                <w:szCs w:val="20"/>
                <w:color w:val="auto"/>
              </w:rPr>
            </w:pPr>
            <w:r>
              <w:rPr>
                <w:rFonts w:ascii="Arial" w:cs="Arial" w:eastAsia="Arial" w:hAnsi="Arial"/>
                <w:sz w:val="13"/>
                <w:szCs w:val="13"/>
                <w:color w:val="auto"/>
                <w:w w:val="99"/>
              </w:rPr>
              <w:t>Issuance of common stock from exercise of equity awards</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5,273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20"/>
              <w:spacing w:after="0"/>
              <w:rPr>
                <w:sz w:val="20"/>
                <w:szCs w:val="20"/>
                <w:color w:val="auto"/>
              </w:rPr>
            </w:pPr>
            <w:r>
              <w:rPr>
                <w:rFonts w:ascii="Arial" w:cs="Arial" w:eastAsia="Arial" w:hAnsi="Arial"/>
                <w:sz w:val="13"/>
                <w:szCs w:val="13"/>
                <w:color w:val="auto"/>
              </w:rPr>
              <w:t>and employee stock purchase plan</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60"/>
              <w:spacing w:after="0" w:line="131" w:lineRule="exact"/>
              <w:rPr>
                <w:sz w:val="20"/>
                <w:szCs w:val="20"/>
                <w:color w:val="auto"/>
              </w:rPr>
            </w:pPr>
            <w:r>
              <w:rPr>
                <w:rFonts w:ascii="Arial" w:cs="Arial" w:eastAsia="Arial" w:hAnsi="Arial"/>
                <w:sz w:val="13"/>
                <w:szCs w:val="13"/>
                <w:color w:val="auto"/>
              </w:rPr>
              <w:t>Payment of withholding taxes related to net share</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20"/>
              <w:spacing w:after="0"/>
              <w:rPr>
                <w:sz w:val="20"/>
                <w:szCs w:val="20"/>
                <w:color w:val="auto"/>
              </w:rPr>
            </w:pPr>
            <w:r>
              <w:rPr>
                <w:rFonts w:ascii="Arial" w:cs="Arial" w:eastAsia="Arial" w:hAnsi="Arial"/>
                <w:sz w:val="13"/>
                <w:szCs w:val="13"/>
                <w:color w:val="auto"/>
              </w:rPr>
              <w:t>settlement of equity awards</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Conversion of convertible notes due 2023, net</w:t>
            </w:r>
          </w:p>
        </w:tc>
        <w:tc>
          <w:tcPr>
            <w:tcW w:w="960" w:type="dxa"/>
            <w:vAlign w:val="bottom"/>
          </w:tcPr>
          <w:p>
            <w:pPr>
              <w:jc w:val="right"/>
              <w:spacing w:after="0"/>
              <w:rPr>
                <w:sz w:val="20"/>
                <w:szCs w:val="20"/>
                <w:color w:val="auto"/>
              </w:rPr>
            </w:pPr>
            <w:r>
              <w:rPr>
                <w:rFonts w:ascii="Arial" w:cs="Arial" w:eastAsia="Arial" w:hAnsi="Arial"/>
                <w:sz w:val="13"/>
                <w:szCs w:val="13"/>
                <w:color w:val="auto"/>
              </w:rPr>
              <w:t>10,801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Equity component of convertible notes due 2024, net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60"/>
              <w:spacing w:after="0" w:line="131" w:lineRule="exact"/>
              <w:rPr>
                <w:sz w:val="20"/>
                <w:szCs w:val="20"/>
                <w:color w:val="auto"/>
              </w:rPr>
            </w:pPr>
            <w:r>
              <w:rPr>
                <w:rFonts w:ascii="Arial" w:cs="Arial" w:eastAsia="Arial" w:hAnsi="Arial"/>
                <w:sz w:val="13"/>
                <w:szCs w:val="13"/>
                <w:color w:val="auto"/>
              </w:rPr>
              <w:t>Cost of convertible notes hedge related to the convertible</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20"/>
              <w:spacing w:after="0"/>
              <w:rPr>
                <w:sz w:val="20"/>
                <w:szCs w:val="20"/>
                <w:color w:val="auto"/>
              </w:rPr>
            </w:pPr>
            <w:r>
              <w:rPr>
                <w:rFonts w:ascii="Arial" w:cs="Arial" w:eastAsia="Arial" w:hAnsi="Arial"/>
                <w:sz w:val="13"/>
                <w:szCs w:val="13"/>
                <w:color w:val="auto"/>
              </w:rPr>
              <w:t>notes due 2024</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w w:val="99"/>
              </w:rPr>
              <w:t>Sale of warrants related to the convertible notes due 2024</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Arial" w:cs="Arial" w:eastAsia="Arial" w:hAnsi="Arial"/>
                <w:sz w:val="13"/>
                <w:szCs w:val="13"/>
                <w:color w:val="auto"/>
              </w:rPr>
              <w:t>Foreign currency translation adjustment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Arial" w:cs="Arial" w:eastAsia="Arial" w:hAnsi="Arial"/>
                <w:sz w:val="13"/>
                <w:szCs w:val="13"/>
                <w:color w:val="auto"/>
              </w:rPr>
              <w:t>Balance at December 31, 2019</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123,109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w:t>
            </w:r>
          </w:p>
        </w:tc>
        <w:tc>
          <w:tcPr>
            <w:tcW w:w="1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Issuance of common stock from exercise of equity awards</w:t>
            </w: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500" w:type="dxa"/>
            <w:vAlign w:val="bottom"/>
            <w:vMerge w:val="continue"/>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4,002</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0"/>
              <w:spacing w:after="0"/>
              <w:rPr>
                <w:sz w:val="20"/>
                <w:szCs w:val="20"/>
                <w:color w:val="auto"/>
              </w:rPr>
            </w:pPr>
            <w:r>
              <w:rPr>
                <w:rFonts w:ascii="Arial" w:cs="Arial" w:eastAsia="Arial" w:hAnsi="Arial"/>
                <w:sz w:val="13"/>
                <w:szCs w:val="13"/>
                <w:color w:val="auto"/>
              </w:rPr>
              <w:t>and employee stock purchase plan</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20"/>
              <w:spacing w:after="0" w:line="131" w:lineRule="exact"/>
              <w:rPr>
                <w:sz w:val="20"/>
                <w:szCs w:val="20"/>
                <w:color w:val="auto"/>
              </w:rPr>
            </w:pPr>
            <w:r>
              <w:rPr>
                <w:rFonts w:ascii="Arial" w:cs="Arial" w:eastAsia="Arial" w:hAnsi="Arial"/>
                <w:sz w:val="13"/>
                <w:szCs w:val="13"/>
                <w:color w:val="auto"/>
              </w:rPr>
              <w:t>Payment of withholding taxes related to net share</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0"/>
              <w:spacing w:after="0"/>
              <w:rPr>
                <w:sz w:val="20"/>
                <w:szCs w:val="20"/>
                <w:color w:val="auto"/>
              </w:rPr>
            </w:pPr>
            <w:r>
              <w:rPr>
                <w:rFonts w:ascii="Arial" w:cs="Arial" w:eastAsia="Arial" w:hAnsi="Arial"/>
                <w:sz w:val="13"/>
                <w:szCs w:val="13"/>
                <w:color w:val="auto"/>
              </w:rPr>
              <w:t>settlement of equity awards</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Equity component of convertible notes due 2025, net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500" w:type="dxa"/>
            <w:vAlign w:val="bottom"/>
          </w:tcPr>
          <w:p>
            <w:pPr>
              <w:ind w:left="120"/>
              <w:spacing w:after="0" w:line="131" w:lineRule="exact"/>
              <w:rPr>
                <w:sz w:val="20"/>
                <w:szCs w:val="20"/>
                <w:color w:val="auto"/>
              </w:rPr>
            </w:pPr>
            <w:r>
              <w:rPr>
                <w:rFonts w:ascii="Arial" w:cs="Arial" w:eastAsia="Arial" w:hAnsi="Arial"/>
                <w:sz w:val="13"/>
                <w:szCs w:val="13"/>
                <w:color w:val="auto"/>
              </w:rPr>
              <w:t>Cost of convertible notes hedge related to the convertible</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0"/>
              <w:spacing w:after="0"/>
              <w:rPr>
                <w:sz w:val="20"/>
                <w:szCs w:val="20"/>
                <w:color w:val="auto"/>
              </w:rPr>
            </w:pPr>
            <w:r>
              <w:rPr>
                <w:rFonts w:ascii="Arial" w:cs="Arial" w:eastAsia="Arial" w:hAnsi="Arial"/>
                <w:sz w:val="13"/>
                <w:szCs w:val="13"/>
                <w:color w:val="auto"/>
              </w:rPr>
              <w:t>notes due 2025</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120"/>
              <w:spacing w:after="0"/>
              <w:rPr>
                <w:sz w:val="20"/>
                <w:szCs w:val="20"/>
                <w:color w:val="auto"/>
              </w:rPr>
            </w:pPr>
            <w:r>
              <w:rPr>
                <w:rFonts w:ascii="Arial" w:cs="Arial" w:eastAsia="Arial" w:hAnsi="Arial"/>
                <w:sz w:val="13"/>
                <w:szCs w:val="13"/>
                <w:color w:val="auto"/>
              </w:rPr>
              <w:t>Sale of warrants related to the convertible notes due 2025</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-3244850</wp:posOffset>
            </wp:positionV>
            <wp:extent cx="716153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-2948940</wp:posOffset>
            </wp:positionV>
            <wp:extent cx="7161530" cy="1079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-2733040</wp:posOffset>
            </wp:positionV>
            <wp:extent cx="7161530" cy="1079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-2517775</wp:posOffset>
            </wp:positionV>
            <wp:extent cx="7161530" cy="1079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716153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-1917700</wp:posOffset>
            </wp:positionV>
            <wp:extent cx="716153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-1621790</wp:posOffset>
            </wp:positionV>
            <wp:extent cx="7161530" cy="107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-1325245</wp:posOffset>
            </wp:positionV>
            <wp:extent cx="7161530" cy="1079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-1109345</wp:posOffset>
            </wp:positionV>
            <wp:extent cx="7161530" cy="1079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-590550</wp:posOffset>
            </wp:positionV>
            <wp:extent cx="716153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-294005</wp:posOffset>
            </wp:positionV>
            <wp:extent cx="716153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-894080</wp:posOffset>
            </wp:positionV>
            <wp:extent cx="7161530" cy="114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-3548380</wp:posOffset>
            </wp:positionV>
            <wp:extent cx="7161530" cy="1143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398780</wp:posOffset>
            </wp:positionV>
            <wp:extent cx="69596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40" w:type="dxa"/>
            <w:vAlign w:val="bottom"/>
            <w:vMerge w:val="restart"/>
          </w:tcPr>
          <w:p>
            <w:pPr>
              <w:jc w:val="right"/>
              <w:ind w:right="337"/>
              <w:spacing w:after="0"/>
              <w:rPr>
                <w:sz w:val="20"/>
                <w:szCs w:val="20"/>
                <w:color w:val="auto"/>
              </w:rPr>
            </w:pPr>
            <w:r>
              <w:rPr>
                <w:rFonts w:ascii="Arial" w:cs="Arial" w:eastAsia="Arial" w:hAnsi="Arial"/>
                <w:sz w:val="11"/>
                <w:szCs w:val="11"/>
                <w:b w:val="1"/>
                <w:bCs w:val="1"/>
                <w:color w:val="auto"/>
                <w:w w:val="96"/>
              </w:rPr>
              <w:t>Additional</w:t>
            </w: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0"/>
                <w:szCs w:val="10"/>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9"/>
                <w:szCs w:val="9"/>
                <w:color w:val="auto"/>
              </w:rPr>
            </w:pPr>
          </w:p>
        </w:tc>
        <w:tc>
          <w:tcPr>
            <w:tcW w:w="1400" w:type="dxa"/>
            <w:vAlign w:val="bottom"/>
            <w:gridSpan w:val="2"/>
          </w:tcPr>
          <w:p>
            <w:pPr>
              <w:jc w:val="center"/>
              <w:ind w:right="300"/>
              <w:spacing w:after="0" w:line="106" w:lineRule="exact"/>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40" w:type="dxa"/>
            <w:vAlign w:val="bottom"/>
          </w:tcPr>
          <w:p>
            <w:pPr>
              <w:jc w:val="right"/>
              <w:ind w:right="437"/>
              <w:spacing w:after="0" w:line="106"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right="300"/>
              <w:spacing w:after="0" w:line="106" w:lineRule="exact"/>
              <w:rPr>
                <w:sz w:val="20"/>
                <w:szCs w:val="20"/>
                <w:color w:val="auto"/>
              </w:rPr>
            </w:pPr>
            <w:r>
              <w:rPr>
                <w:rFonts w:ascii="Arial" w:cs="Arial" w:eastAsia="Arial" w:hAnsi="Arial"/>
                <w:sz w:val="11"/>
                <w:szCs w:val="11"/>
                <w:b w:val="1"/>
                <w:bCs w:val="1"/>
                <w:color w:val="auto"/>
              </w:rPr>
              <w:t>Comprehensive</w:t>
            </w:r>
          </w:p>
        </w:tc>
        <w:tc>
          <w:tcPr>
            <w:tcW w:w="220" w:type="dxa"/>
            <w:vAlign w:val="bottom"/>
          </w:tcPr>
          <w:p>
            <w:pPr>
              <w:spacing w:after="0"/>
              <w:rPr>
                <w:sz w:val="9"/>
                <w:szCs w:val="9"/>
                <w:color w:val="auto"/>
              </w:rPr>
            </w:pPr>
          </w:p>
        </w:tc>
        <w:tc>
          <w:tcPr>
            <w:tcW w:w="1240" w:type="dxa"/>
            <w:vAlign w:val="bottom"/>
          </w:tcPr>
          <w:p>
            <w:pPr>
              <w:jc w:val="center"/>
              <w:ind w:right="137"/>
              <w:spacing w:after="0" w:line="10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8"/>
        </w:trPr>
        <w:tc>
          <w:tcPr>
            <w:tcW w:w="940" w:type="dxa"/>
            <w:vAlign w:val="bottom"/>
          </w:tcPr>
          <w:p>
            <w:pPr>
              <w:jc w:val="right"/>
              <w:ind w:right="417"/>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Income (Deficit)</w:t>
            </w:r>
          </w:p>
        </w:tc>
        <w:tc>
          <w:tcPr>
            <w:tcW w:w="22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Income (Loss)</w:t>
            </w:r>
          </w:p>
        </w:tc>
        <w:tc>
          <w:tcPr>
            <w:tcW w:w="220" w:type="dxa"/>
            <w:vAlign w:val="bottom"/>
          </w:tcPr>
          <w:p>
            <w:pPr>
              <w:spacing w:after="0"/>
              <w:rPr>
                <w:sz w:val="11"/>
                <w:szCs w:val="11"/>
                <w:color w:val="auto"/>
              </w:rPr>
            </w:pPr>
          </w:p>
        </w:tc>
        <w:tc>
          <w:tcPr>
            <w:tcW w:w="1240" w:type="dxa"/>
            <w:vAlign w:val="bottom"/>
          </w:tcPr>
          <w:p>
            <w:pPr>
              <w:jc w:val="center"/>
              <w:ind w:right="137"/>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162"/>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287,256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(295,727)</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(9,126)</w:t>
            </w:r>
          </w:p>
        </w:tc>
        <w:tc>
          <w:tcPr>
            <w:tcW w:w="0" w:type="dxa"/>
            <w:vAlign w:val="bottom"/>
          </w:tcPr>
          <w:p>
            <w:pPr>
              <w:spacing w:after="0"/>
              <w:rPr>
                <w:sz w:val="1"/>
                <w:szCs w:val="1"/>
                <w:color w:val="auto"/>
              </w:rPr>
            </w:pPr>
          </w:p>
        </w:tc>
      </w:tr>
      <w:tr>
        <w:trPr>
          <w:trHeight w:val="293"/>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(38,948)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(38,948)</w:t>
            </w:r>
          </w:p>
        </w:tc>
        <w:tc>
          <w:tcPr>
            <w:tcW w:w="0" w:type="dxa"/>
            <w:vAlign w:val="bottom"/>
          </w:tcPr>
          <w:p>
            <w:pPr>
              <w:spacing w:after="0"/>
              <w:rPr>
                <w:sz w:val="1"/>
                <w:szCs w:val="1"/>
                <w:color w:val="auto"/>
              </w:rPr>
            </w:pPr>
          </w:p>
        </w:tc>
      </w:tr>
      <w:tr>
        <w:trPr>
          <w:trHeight w:val="296"/>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2,806</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2,806</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19,766</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19,766</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32,319</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32,319</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11,188</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11,188</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(11,627)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(11,627)</w:t>
            </w:r>
          </w:p>
        </w:tc>
        <w:tc>
          <w:tcPr>
            <w:tcW w:w="0" w:type="dxa"/>
            <w:vAlign w:val="bottom"/>
          </w:tcPr>
          <w:p>
            <w:pPr>
              <w:spacing w:after="0"/>
              <w:rPr>
                <w:sz w:val="1"/>
                <w:szCs w:val="1"/>
                <w:color w:val="auto"/>
              </w:rPr>
            </w:pPr>
          </w:p>
        </w:tc>
      </w:tr>
      <w:tr>
        <w:trPr>
          <w:trHeight w:val="171"/>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1,398</w:t>
            </w:r>
          </w:p>
        </w:tc>
        <w:tc>
          <w:tcPr>
            <w:tcW w:w="0" w:type="dxa"/>
            <w:vAlign w:val="bottom"/>
          </w:tcPr>
          <w:p>
            <w:pPr>
              <w:spacing w:after="0"/>
              <w:rPr>
                <w:sz w:val="1"/>
                <w:szCs w:val="1"/>
                <w:color w:val="auto"/>
              </w:rPr>
            </w:pPr>
          </w:p>
        </w:tc>
      </w:tr>
      <w:tr>
        <w:trPr>
          <w:trHeight w:val="164"/>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353,335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(346,302)</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742</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7,776</w:t>
            </w:r>
          </w:p>
        </w:tc>
        <w:tc>
          <w:tcPr>
            <w:tcW w:w="0" w:type="dxa"/>
            <w:vAlign w:val="bottom"/>
          </w:tcPr>
          <w:p>
            <w:pPr>
              <w:spacing w:after="0"/>
              <w:rPr>
                <w:sz w:val="1"/>
                <w:szCs w:val="1"/>
                <w:color w:val="auto"/>
              </w:rPr>
            </w:pPr>
          </w:p>
        </w:tc>
      </w:tr>
      <w:tr>
        <w:trPr>
          <w:trHeight w:val="293"/>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4,985</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4,985</w:t>
            </w:r>
          </w:p>
        </w:tc>
        <w:tc>
          <w:tcPr>
            <w:tcW w:w="0" w:type="dxa"/>
            <w:vAlign w:val="bottom"/>
          </w:tcPr>
          <w:p>
            <w:pPr>
              <w:spacing w:after="0"/>
              <w:rPr>
                <w:sz w:val="1"/>
                <w:szCs w:val="1"/>
                <w:color w:val="auto"/>
              </w:rPr>
            </w:pPr>
          </w:p>
        </w:tc>
      </w:tr>
      <w:tr>
        <w:trPr>
          <w:trHeight w:val="296"/>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(8,198)</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(8,198)</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58,857</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58,857</w:t>
            </w:r>
          </w:p>
        </w:tc>
        <w:tc>
          <w:tcPr>
            <w:tcW w:w="0" w:type="dxa"/>
            <w:vAlign w:val="bottom"/>
          </w:tcPr>
          <w:p>
            <w:pPr>
              <w:spacing w:after="0"/>
              <w:rPr>
                <w:sz w:val="1"/>
                <w:szCs w:val="1"/>
                <w:color w:val="auto"/>
              </w:rPr>
            </w:pPr>
          </w:p>
        </w:tc>
      </w:tr>
      <w:tr>
        <w:trPr>
          <w:trHeight w:val="171"/>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35,387</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35,387</w:t>
            </w:r>
          </w:p>
        </w:tc>
        <w:tc>
          <w:tcPr>
            <w:tcW w:w="0" w:type="dxa"/>
            <w:vAlign w:val="bottom"/>
          </w:tcPr>
          <w:p>
            <w:pPr>
              <w:spacing w:after="0"/>
              <w:rPr>
                <w:sz w:val="1"/>
                <w:szCs w:val="1"/>
                <w:color w:val="auto"/>
              </w:rPr>
            </w:pPr>
          </w:p>
        </w:tc>
      </w:tr>
      <w:tr>
        <w:trPr>
          <w:trHeight w:val="296"/>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(36,313)</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(36,313)</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29,818</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29,818</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20,417</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20,417</w:t>
            </w:r>
          </w:p>
        </w:tc>
        <w:tc>
          <w:tcPr>
            <w:tcW w:w="0" w:type="dxa"/>
            <w:vAlign w:val="bottom"/>
          </w:tcPr>
          <w:p>
            <w:pPr>
              <w:spacing w:after="0"/>
              <w:rPr>
                <w:sz w:val="1"/>
                <w:szCs w:val="1"/>
                <w:color w:val="auto"/>
              </w:rPr>
            </w:pPr>
          </w:p>
        </w:tc>
      </w:tr>
      <w:tr>
        <w:trPr>
          <w:trHeight w:val="170"/>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161,148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161,148</w:t>
            </w:r>
          </w:p>
        </w:tc>
        <w:tc>
          <w:tcPr>
            <w:tcW w:w="0" w:type="dxa"/>
            <w:vAlign w:val="bottom"/>
          </w:tcPr>
          <w:p>
            <w:pPr>
              <w:spacing w:after="0"/>
              <w:rPr>
                <w:sz w:val="1"/>
                <w:szCs w:val="1"/>
                <w:color w:val="auto"/>
              </w:rPr>
            </w:pPr>
          </w:p>
        </w:tc>
      </w:tr>
      <w:tr>
        <w:trPr>
          <w:trHeight w:val="171"/>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(1,665)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(1,665)</w:t>
            </w:r>
          </w:p>
        </w:tc>
        <w:tc>
          <w:tcPr>
            <w:tcW w:w="0" w:type="dxa"/>
            <w:vAlign w:val="bottom"/>
          </w:tcPr>
          <w:p>
            <w:pPr>
              <w:spacing w:after="0"/>
              <w:rPr>
                <w:sz w:val="1"/>
                <w:szCs w:val="1"/>
                <w:color w:val="auto"/>
              </w:rPr>
            </w:pPr>
          </w:p>
        </w:tc>
      </w:tr>
      <w:tr>
        <w:trPr>
          <w:trHeight w:val="142"/>
        </w:trPr>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458,315</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(185,181)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(923)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272,212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8,395</w:t>
            </w:r>
          </w:p>
        </w:tc>
        <w:tc>
          <w:tcPr>
            <w:tcW w:w="16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8,395</w:t>
            </w:r>
          </w:p>
        </w:tc>
        <w:tc>
          <w:tcPr>
            <w:tcW w:w="0" w:type="dxa"/>
            <w:vAlign w:val="bottom"/>
          </w:tcPr>
          <w:p>
            <w:pPr>
              <w:spacing w:after="0"/>
              <w:rPr>
                <w:sz w:val="1"/>
                <w:szCs w:val="1"/>
                <w:color w:val="auto"/>
              </w:rPr>
            </w:pPr>
          </w:p>
        </w:tc>
      </w:tr>
      <w:tr>
        <w:trPr>
          <w:trHeight w:val="296"/>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(68,330)</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(68,330)</w:t>
            </w:r>
          </w:p>
        </w:tc>
        <w:tc>
          <w:tcPr>
            <w:tcW w:w="0" w:type="dxa"/>
            <w:vAlign w:val="bottom"/>
          </w:tcPr>
          <w:p>
            <w:pPr>
              <w:spacing w:after="0"/>
              <w:rPr>
                <w:sz w:val="1"/>
                <w:szCs w:val="1"/>
                <w:color w:val="auto"/>
              </w:rPr>
            </w:pPr>
          </w:p>
        </w:tc>
      </w:tr>
      <w:tr>
        <w:trPr>
          <w:trHeight w:val="171"/>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116,502</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116,502</w:t>
            </w:r>
          </w:p>
        </w:tc>
        <w:tc>
          <w:tcPr>
            <w:tcW w:w="0" w:type="dxa"/>
            <w:vAlign w:val="bottom"/>
          </w:tcPr>
          <w:p>
            <w:pPr>
              <w:spacing w:after="0"/>
              <w:rPr>
                <w:sz w:val="1"/>
                <w:szCs w:val="1"/>
                <w:color w:val="auto"/>
              </w:rPr>
            </w:pPr>
          </w:p>
        </w:tc>
      </w:tr>
      <w:tr>
        <w:trPr>
          <w:trHeight w:val="296"/>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(117,108)</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(117,108)</w:t>
            </w:r>
          </w:p>
        </w:tc>
        <w:tc>
          <w:tcPr>
            <w:tcW w:w="0" w:type="dxa"/>
            <w:vAlign w:val="bottom"/>
          </w:tcPr>
          <w:p>
            <w:pPr>
              <w:spacing w:after="0"/>
              <w:rPr>
                <w:sz w:val="1"/>
                <w:szCs w:val="1"/>
                <w:color w:val="auto"/>
              </w:rPr>
            </w:pPr>
          </w:p>
        </w:tc>
      </w:tr>
      <w:tr>
        <w:trPr>
          <w:trHeight w:val="171"/>
        </w:trPr>
        <w:tc>
          <w:tcPr>
            <w:tcW w:w="940" w:type="dxa"/>
            <w:vAlign w:val="bottom"/>
          </w:tcPr>
          <w:p>
            <w:pPr>
              <w:jc w:val="right"/>
              <w:ind w:right="77"/>
              <w:spacing w:after="0"/>
              <w:rPr>
                <w:sz w:val="20"/>
                <w:szCs w:val="20"/>
                <w:color w:val="auto"/>
              </w:rPr>
            </w:pPr>
            <w:r>
              <w:rPr>
                <w:rFonts w:ascii="Arial" w:cs="Arial" w:eastAsia="Arial" w:hAnsi="Arial"/>
                <w:sz w:val="13"/>
                <w:szCs w:val="13"/>
                <w:color w:val="auto"/>
              </w:rPr>
              <w:t>96,351</w:t>
            </w:r>
          </w:p>
        </w:tc>
        <w:tc>
          <w:tcPr>
            <w:tcW w:w="1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96,351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-772795</wp:posOffset>
            </wp:positionV>
            <wp:extent cx="74104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1045" cy="69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-2409825</wp:posOffset>
            </wp:positionV>
            <wp:extent cx="74104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410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40"/>
            <w:col w:w="5420"/>
          </w:cols>
          <w:pgMar w:left="300" w:top="250" w:right="31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81" w:name="page82"/>
    <w:bookmarkEnd w:id="8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00" w:type="dxa"/>
            <w:vAlign w:val="bottom"/>
          </w:tcPr>
          <w:p>
            <w:pPr>
              <w:ind w:left="120"/>
              <w:spacing w:after="0"/>
              <w:rPr>
                <w:sz w:val="20"/>
                <w:szCs w:val="20"/>
                <w:color w:val="auto"/>
              </w:rPr>
            </w:pPr>
            <w:r>
              <w:rPr>
                <w:rFonts w:ascii="Arial" w:cs="Arial" w:eastAsia="Arial" w:hAnsi="Arial"/>
                <w:sz w:val="13"/>
                <w:szCs w:val="13"/>
                <w:color w:val="auto"/>
                <w:w w:val="99"/>
              </w:rPr>
              <w:t>Equity component of partial settlement of convertible notes</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0"/>
              <w:spacing w:after="0"/>
              <w:rPr>
                <w:sz w:val="20"/>
                <w:szCs w:val="20"/>
                <w:color w:val="auto"/>
              </w:rPr>
            </w:pPr>
            <w:r>
              <w:rPr>
                <w:rFonts w:ascii="Arial" w:cs="Arial" w:eastAsia="Arial" w:hAnsi="Arial"/>
                <w:sz w:val="13"/>
                <w:szCs w:val="13"/>
                <w:color w:val="auto"/>
              </w:rPr>
              <w:t>due 2024, net of tax</w:t>
            </w:r>
          </w:p>
        </w:tc>
        <w:tc>
          <w:tcPr>
            <w:tcW w:w="1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Partial settlement of convertible notes due 2024</w:t>
            </w:r>
          </w:p>
        </w:tc>
        <w:tc>
          <w:tcPr>
            <w:tcW w:w="960" w:type="dxa"/>
            <w:vAlign w:val="bottom"/>
          </w:tcPr>
          <w:p>
            <w:pPr>
              <w:jc w:val="right"/>
              <w:spacing w:after="0"/>
              <w:rPr>
                <w:sz w:val="20"/>
                <w:szCs w:val="20"/>
                <w:color w:val="auto"/>
              </w:rPr>
            </w:pPr>
            <w:r>
              <w:rPr>
                <w:rFonts w:ascii="Arial" w:cs="Arial" w:eastAsia="Arial" w:hAnsi="Arial"/>
                <w:sz w:val="13"/>
                <w:szCs w:val="13"/>
                <w:color w:val="auto"/>
              </w:rPr>
              <w:t>1,851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Exercise of convertible notes due 2024 Hedge</w:t>
            </w:r>
          </w:p>
        </w:tc>
        <w:tc>
          <w:tcPr>
            <w:tcW w:w="960" w:type="dxa"/>
            <w:vAlign w:val="bottom"/>
          </w:tcPr>
          <w:p>
            <w:pPr>
              <w:jc w:val="right"/>
              <w:spacing w:after="0"/>
              <w:rPr>
                <w:sz w:val="20"/>
                <w:szCs w:val="20"/>
                <w:color w:val="auto"/>
              </w:rPr>
            </w:pPr>
            <w:r>
              <w:rPr>
                <w:rFonts w:ascii="Arial" w:cs="Arial" w:eastAsia="Arial" w:hAnsi="Arial"/>
                <w:sz w:val="13"/>
                <w:szCs w:val="13"/>
                <w:color w:val="auto"/>
              </w:rPr>
              <w:t>(1,851)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Exercise of warrants</w:t>
            </w:r>
          </w:p>
        </w:tc>
        <w:tc>
          <w:tcPr>
            <w:tcW w:w="960" w:type="dxa"/>
            <w:vAlign w:val="bottom"/>
          </w:tcPr>
          <w:p>
            <w:pPr>
              <w:jc w:val="right"/>
              <w:spacing w:after="0"/>
              <w:rPr>
                <w:sz w:val="20"/>
                <w:szCs w:val="20"/>
                <w:color w:val="auto"/>
              </w:rPr>
            </w:pPr>
            <w:r>
              <w:rPr>
                <w:rFonts w:ascii="Arial" w:cs="Arial" w:eastAsia="Arial" w:hAnsi="Arial"/>
                <w:sz w:val="13"/>
                <w:szCs w:val="13"/>
                <w:color w:val="auto"/>
              </w:rPr>
              <w:t>1,851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w w:val="98"/>
              </w:rPr>
              <w:t>Change in fair value of common stock related to acquisition</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120"/>
              <w:spacing w:after="0"/>
              <w:rPr>
                <w:sz w:val="20"/>
                <w:szCs w:val="20"/>
                <w:color w:val="auto"/>
              </w:rPr>
            </w:pPr>
            <w:r>
              <w:rPr>
                <w:rFonts w:ascii="Arial" w:cs="Arial" w:eastAsia="Arial" w:hAnsi="Arial"/>
                <w:sz w:val="13"/>
                <w:szCs w:val="13"/>
                <w:color w:val="auto"/>
              </w:rPr>
              <w:t>Foreign currency translation adjustment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0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128,962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-1083945</wp:posOffset>
            </wp:positionV>
            <wp:extent cx="716153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-787400</wp:posOffset>
            </wp:positionV>
            <wp:extent cx="7161530" cy="107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-572135</wp:posOffset>
            </wp:positionV>
            <wp:extent cx="7161530" cy="1079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wp:posOffset>
            </wp:positionV>
            <wp:extent cx="7161530" cy="1079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128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jc w:val="right"/>
              <w:ind w:right="56"/>
              <w:spacing w:after="0"/>
              <w:rPr>
                <w:sz w:val="20"/>
                <w:szCs w:val="20"/>
                <w:color w:val="auto"/>
              </w:rPr>
            </w:pPr>
            <w:r>
              <w:rPr>
                <w:rFonts w:ascii="Arial" w:cs="Arial" w:eastAsia="Arial" w:hAnsi="Arial"/>
                <w:sz w:val="13"/>
                <w:szCs w:val="13"/>
                <w:color w:val="auto"/>
                <w:w w:val="93"/>
              </w:rPr>
              <w:t>(306,220)</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(306,220)</w:t>
            </w:r>
          </w:p>
        </w:tc>
      </w:tr>
      <w:tr>
        <w:trPr>
          <w:trHeight w:val="170"/>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301,015</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301,015</w:t>
            </w:r>
          </w:p>
        </w:tc>
      </w:tr>
      <w:tr>
        <w:trPr>
          <w:trHeight w:val="170"/>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3,321</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3,321</w:t>
            </w:r>
          </w:p>
        </w:tc>
      </w:tr>
      <w:tr>
        <w:trPr>
          <w:trHeight w:val="170"/>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42,503</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42,503</w:t>
            </w:r>
          </w:p>
        </w:tc>
      </w:tr>
      <w:tr>
        <w:trPr>
          <w:trHeight w:val="170"/>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133,995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133,995</w:t>
            </w:r>
          </w:p>
        </w:tc>
      </w:tr>
      <w:tr>
        <w:trPr>
          <w:trHeight w:val="171"/>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1,357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1,357</w:t>
            </w:r>
          </w:p>
        </w:tc>
      </w:tr>
      <w:tr>
        <w:trPr>
          <w:trHeight w:val="163"/>
        </w:trPr>
        <w:tc>
          <w:tcPr>
            <w:tcW w:w="660" w:type="dxa"/>
            <w:vAlign w:val="bottom"/>
          </w:tcPr>
          <w:p>
            <w:pPr>
              <w:jc w:val="right"/>
              <w:ind w:right="76"/>
              <w:spacing w:after="0"/>
              <w:rPr>
                <w:sz w:val="20"/>
                <w:szCs w:val="20"/>
                <w:color w:val="auto"/>
              </w:rPr>
            </w:pPr>
            <w:r>
              <w:rPr>
                <w:rFonts w:ascii="Arial" w:cs="Arial" w:eastAsia="Arial" w:hAnsi="Arial"/>
                <w:sz w:val="13"/>
                <w:szCs w:val="13"/>
                <w:color w:val="auto"/>
              </w:rPr>
              <w:t>534,744</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(51,186)</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483,993</w:t>
            </w:r>
          </w:p>
        </w:tc>
      </w:tr>
      <w:tr>
        <w:trPr>
          <w:trHeight w:val="20"/>
        </w:trPr>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-6350</wp:posOffset>
            </wp:positionV>
            <wp:extent cx="74104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4104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520"/>
            <w:col w:w="5140"/>
          </w:cols>
          <w:pgMar w:left="300" w:top="250" w:right="31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82" w:name="page83"/>
    <w:bookmarkEnd w:id="8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ENPHASE ENERGY, INC.</w:t>
      </w:r>
    </w:p>
    <w:p>
      <w:pPr>
        <w:spacing w:after="0" w:line="51"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60"/>
        </w:trPr>
        <w:tc>
          <w:tcPr>
            <w:tcW w:w="65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133,995</w:t>
            </w:r>
          </w:p>
        </w:tc>
        <w:tc>
          <w:tcPr>
            <w:tcW w:w="480" w:type="dxa"/>
            <w:vAlign w:val="bottom"/>
            <w:gridSpan w:val="3"/>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161,148</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(11,627)</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18,103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14,119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9,667</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doubtful accounts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Asset impairment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1,601</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partial repurchase of convertibles notes due 2024</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Deemed repayment of convertible notes due 2024 attributable to accreted debt discount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interest expense</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2,701</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Financing fees on extinguishment of debt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Fees paid for repurchase and exchange of convertible notes due 2023</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42,503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20,176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11,432</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fair value of derivatives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44,348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Deferred income taxes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(73,375)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50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(34,321)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(68,745)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(13,515)</w:t>
            </w:r>
          </w:p>
        </w:tc>
      </w:tr>
      <w:tr>
        <w:trPr>
          <w:trHeight w:val="170"/>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Inventory</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9,732</w:t>
            </w:r>
          </w:p>
        </w:tc>
      </w:tr>
      <w:tr>
        <w:trPr>
          <w:trHeight w:val="170"/>
        </w:trPr>
        <w:tc>
          <w:tcPr>
            <w:tcW w:w="6500" w:type="dxa"/>
            <w:vAlign w:val="bottom"/>
          </w:tcPr>
          <w:p>
            <w:pPr>
              <w:ind w:left="280"/>
              <w:spacing w:after="0"/>
              <w:rPr>
                <w:sz w:val="20"/>
                <w:szCs w:val="20"/>
                <w:color w:val="auto"/>
              </w:rPr>
            </w:pPr>
            <w:r>
              <w:rPr>
                <w:rFonts w:ascii="Arial" w:cs="Arial" w:eastAsia="Arial" w:hAnsi="Arial"/>
                <w:sz w:val="13"/>
                <w:szCs w:val="13"/>
                <w:color w:val="auto"/>
              </w:rPr>
              <w:t>Prepaid expenses and other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(14,636)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(14,293)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(3,130)</w:t>
            </w:r>
          </w:p>
        </w:tc>
      </w:tr>
      <w:tr>
        <w:trPr>
          <w:trHeight w:val="170"/>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Intangible assets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r>
      <w:tr>
        <w:trPr>
          <w:trHeight w:val="170"/>
        </w:trPr>
        <w:tc>
          <w:tcPr>
            <w:tcW w:w="6500" w:type="dxa"/>
            <w:vAlign w:val="bottom"/>
          </w:tcPr>
          <w:p>
            <w:pPr>
              <w:ind w:left="280"/>
              <w:spacing w:after="0"/>
              <w:rPr>
                <w:sz w:val="20"/>
                <w:szCs w:val="20"/>
                <w:color w:val="auto"/>
              </w:rPr>
            </w:pPr>
            <w:r>
              <w:rPr>
                <w:rFonts w:ascii="Arial" w:cs="Arial" w:eastAsia="Arial" w:hAnsi="Arial"/>
                <w:sz w:val="13"/>
                <w:szCs w:val="13"/>
                <w:color w:val="auto"/>
              </w:rPr>
              <w:t>Accounts payable, accrued and other liabilities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35,695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22,200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23,082</w:t>
            </w:r>
          </w:p>
        </w:tc>
      </w:tr>
      <w:tr>
        <w:trPr>
          <w:trHeight w:val="170"/>
        </w:trPr>
        <w:tc>
          <w:tcPr>
            <w:tcW w:w="6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Warranty obligations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w:t>
            </w:r>
          </w:p>
        </w:tc>
      </w:tr>
      <w:tr>
        <w:trPr>
          <w:trHeight w:val="170"/>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Deferred revenues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72,248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(6,123)</w:t>
            </w:r>
          </w:p>
        </w:tc>
      </w:tr>
      <w:tr>
        <w:trPr>
          <w:trHeight w:val="160"/>
        </w:trPr>
        <w:tc>
          <w:tcPr>
            <w:tcW w:w="65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216,334</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139,067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16,132</w:t>
            </w:r>
          </w:p>
        </w:tc>
      </w:tr>
      <w:tr>
        <w:trPr>
          <w:trHeight w:val="150"/>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property and equipment</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(4,151)</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Purchase of investment in private company</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r>
      <w:tr>
        <w:trPr>
          <w:trHeight w:val="160"/>
        </w:trPr>
        <w:tc>
          <w:tcPr>
            <w:tcW w:w="650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Net cash used in investing activities</w:t>
            </w:r>
          </w:p>
        </w:tc>
        <w:tc>
          <w:tcPr>
            <w:tcW w:w="10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(25,568)</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(14,788)</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(19,151)</w:t>
            </w:r>
          </w:p>
        </w:tc>
      </w:t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Issuance of convertible notes, net of issuance costs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312,420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127,413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convertible note hedges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(89,056)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Sale of warrants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71,552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29,818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Fees paid for repurchase and exchange of convertible notes due 2023</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Principal payments and financing fees on debt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(45,855)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(9,976)</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issuance of common stock, net of issuance costs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19,766</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Proceeds from debt, net of issuance costs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68,024</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Partial repurchase of convertible notes due 2024</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(40,728)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Proceeds from exercise of equity awards and employee stock purchase plan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4,985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2,800</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 of withholding taxes related to net share settlement of equity awards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(68,330)</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cash provided by financing activities</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191,678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65,850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80,614</w:t>
            </w:r>
          </w:p>
        </w:tc>
      </w:tr>
      <w:tr>
        <w:trPr>
          <w:trHeight w:val="160"/>
        </w:trPr>
        <w:tc>
          <w:tcPr>
            <w:tcW w:w="6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r>
      <w:tr>
        <w:trPr>
          <w:trHeight w:val="160"/>
        </w:trPr>
        <w:tc>
          <w:tcPr>
            <w:tcW w:w="6500" w:type="dxa"/>
            <w:vAlign w:val="bottom"/>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383,270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189,872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77,093</w:t>
            </w: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296,109</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106,237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29,144</w:t>
            </w:r>
          </w:p>
        </w:tc>
      </w:tr>
      <w:tr>
        <w:trPr>
          <w:trHeight w:val="160"/>
        </w:trPr>
        <w:tc>
          <w:tcPr>
            <w:tcW w:w="65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cash—End of period</w:t>
            </w:r>
          </w:p>
        </w:tc>
        <w:tc>
          <w:tcPr>
            <w:tcW w:w="1000" w:type="dxa"/>
            <w:vAlign w:val="bottom"/>
            <w:tcBorders>
              <w:bottom w:val="single" w:sz="8" w:color="auto"/>
            </w:tcBorders>
          </w:tcPr>
          <w:p>
            <w:pPr>
              <w:jc w:val="right"/>
              <w:ind w:right="85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679,379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296,109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106,237</w:t>
            </w:r>
          </w:p>
        </w:tc>
      </w:tr>
      <w:tr>
        <w:trPr>
          <w:trHeight w:val="20"/>
        </w:trPr>
        <w:tc>
          <w:tcPr>
            <w:tcW w:w="6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397510</wp:posOffset>
            </wp:positionV>
            <wp:extent cx="695960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3" w:name="page84"/>
    <w:bookmarkEnd w:id="83"/>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60"/>
        </w:trPr>
        <w:tc>
          <w:tcPr>
            <w:tcW w:w="65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5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Reconciliation of cash, cash equivalents, and restricted cash to the consolidated balance sheets</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70"/>
        </w:trPr>
        <w:tc>
          <w:tcPr>
            <w:tcW w:w="65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679,379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251,409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106,237</w:t>
            </w: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500" w:type="dxa"/>
            <w:vAlign w:val="bottom"/>
          </w:tcPr>
          <w:p>
            <w:pPr>
              <w:ind w:left="360"/>
              <w:spacing w:after="0"/>
              <w:rPr>
                <w:sz w:val="20"/>
                <w:szCs w:val="20"/>
                <w:color w:val="auto"/>
              </w:rPr>
            </w:pPr>
            <w:r>
              <w:rPr>
                <w:rFonts w:ascii="Arial" w:cs="Arial" w:eastAsia="Arial" w:hAnsi="Arial"/>
                <w:sz w:val="13"/>
                <w:szCs w:val="13"/>
                <w:color w:val="auto"/>
              </w:rPr>
              <w:t>Total cash, cash equivalents, and restricted cash</w:t>
            </w:r>
          </w:p>
        </w:tc>
        <w:tc>
          <w:tcPr>
            <w:tcW w:w="1000" w:type="dxa"/>
            <w:vAlign w:val="bottom"/>
            <w:tcBorders>
              <w:bottom w:val="single" w:sz="8" w:color="auto"/>
            </w:tcBorders>
          </w:tcPr>
          <w:p>
            <w:pPr>
              <w:jc w:val="right"/>
              <w:ind w:right="85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679,379</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296,109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106,237</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5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70"/>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Supplemental cash flow disclosure:</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paid for interest</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500" w:type="dxa"/>
            <w:vAlign w:val="bottom"/>
            <w:gridSpan w:val="3"/>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Cash paid for income taxes</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3,452</w:t>
            </w:r>
          </w:p>
        </w:tc>
        <w:tc>
          <w:tcPr>
            <w:tcW w:w="500" w:type="dxa"/>
            <w:vAlign w:val="bottom"/>
            <w:gridSpan w:val="3"/>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1,755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775</w:t>
            </w:r>
          </w:p>
        </w:tc>
      </w:tr>
      <w:tr>
        <w:trPr>
          <w:trHeight w:val="202"/>
        </w:trPr>
        <w:tc>
          <w:tcPr>
            <w:tcW w:w="6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0"/>
        </w:trPr>
        <w:tc>
          <w:tcPr>
            <w:tcW w:w="6500" w:type="dxa"/>
            <w:vAlign w:val="bottom"/>
          </w:tcPr>
          <w:p>
            <w:pPr>
              <w:ind w:left="20"/>
              <w:spacing w:after="0"/>
              <w:rPr>
                <w:sz w:val="20"/>
                <w:szCs w:val="20"/>
                <w:color w:val="auto"/>
              </w:rPr>
            </w:pPr>
            <w:r>
              <w:rPr>
                <w:rFonts w:ascii="Arial" w:cs="Arial" w:eastAsia="Arial" w:hAnsi="Arial"/>
                <w:sz w:val="13"/>
                <w:szCs w:val="13"/>
                <w:color w:val="auto"/>
              </w:rPr>
              <w:t>Supplemental disclosures of non-cash investing and financing activities: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 funded by issuance of common stock</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19,219</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Purchases of fixed assets included in accounts payable</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3,630</w:t>
            </w:r>
          </w:p>
        </w:tc>
        <w:tc>
          <w:tcPr>
            <w:tcW w:w="500" w:type="dxa"/>
            <w:vAlign w:val="bottom"/>
            <w:gridSpan w:val="3"/>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895</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interest payable unpaid upon exchange of convertible notes due 2023</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360680</wp:posOffset>
            </wp:positionV>
            <wp:extent cx="695960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4" w:name="page85"/>
    <w:bookmarkEnd w:id="8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36" w:lineRule="exact"/>
        <w:rPr>
          <w:sz w:val="20"/>
          <w:szCs w:val="20"/>
          <w:color w:val="auto"/>
        </w:rPr>
      </w:pPr>
    </w:p>
    <w:p>
      <w:pPr>
        <w:ind w:left="280" w:hanging="275"/>
        <w:spacing w:after="0"/>
        <w:tabs>
          <w:tab w:leader="none" w:pos="28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BASIS OF PRESENTATION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Business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Enphase Energy, Inc. (the “Company”) is a global energy technology company. The Company delivers smart, easy-to-use solutions that manage solar generation, storage and communication on one single platform. The Company revolutionized the solar industry with its microinverter technology and produces a fully integrated solar-plus-storage solution.</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accompanying consolidated financial statements are presented in accordance with accounting principles generally accepted in the United States (“U.S.”), or GAAP. The consolidated financial statements include the accounts of the Company and its wholly-owned subsidiaries. All intercompany balances and transactions have been eliminated in consolidation.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9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doubtful accounts, stock-based compensation, inventory valuation, accrued warranty obligations, fair value of debt derivatives and convertible notes, fair value of acquired intangible assets and goodwill, useful lives of acquired intangible assets and property and equipment, incremental borrowing rate for right-of-use assets and lease liability, probable loss recovery of tariff refunds, legal contingencies, and tax valuation allowance. These estimates are based on information available as of the date of the financial statements; therefore, actual results could differ materially from management’s estimates using different assumptions or under different conditions.</w:t>
      </w:r>
    </w:p>
    <w:p>
      <w:pPr>
        <w:spacing w:after="0" w:line="5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worldwide spread of the COVID-19 virus has resulted in a global slowdown of economic activity which decreased demand for a broad variety of goods and services, including from our customers, while also disrupting sales channels and marketing activities for an unknown period of time and may continue to create significant uncertainty in future operational and financial performance. The Company expects this to have negative impact on its sales and its results of operations. In preparing the Company’s consolidated financial statements in accordance with GAAP, the Company is required to make estimates, assumptions and judgments that affect the amounts reported in its financial statements and the accompanying disclosures.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96" w:lineRule="exact"/>
        <w:rPr>
          <w:sz w:val="20"/>
          <w:szCs w:val="20"/>
          <w:color w:val="auto"/>
        </w:rPr>
      </w:pPr>
    </w:p>
    <w:p>
      <w:pPr>
        <w:ind w:left="280" w:hanging="275"/>
        <w:spacing w:after="0"/>
        <w:tabs>
          <w:tab w:leader="none" w:pos="28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2"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The Company generates revenue from sales of its solutions, which include microinverter units and related accessories, an Envoy communications gateway, the cloud-based Enlighten monitoring service, and storage solutions to distributors, large installers, original equipment manufacturers (“OEMs”) and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298450</wp:posOffset>
            </wp:positionV>
            <wp:extent cx="695960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January 1, 2018, the Company adopted Accounting Standards Codification (“ASC”) No. 606, “Revenue Recognition” (“ASC 606” or “Topic 606”) and applied the modified retrospective method to all contracts that were not completed as of January 1, 2018. The most significant impacts upon adoption of Topic 606 were how the Company accounts for revenue related to its Envoy™ communications device and related Enphase Enlighten Software™, or Enlighten, service and the timing of when certain sales incentives are recognized. The full consideration for these products represents a single performance obligation and is deferred and recognized over the estimated service period.</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43" w:lineRule="exact"/>
        <w:rPr>
          <w:sz w:val="20"/>
          <w:szCs w:val="20"/>
          <w:color w:val="auto"/>
        </w:rPr>
      </w:pPr>
    </w:p>
    <w:p>
      <w:pPr>
        <w:jc w:val="both"/>
        <w:ind w:left="640" w:hanging="253"/>
        <w:spacing w:after="0" w:line="263" w:lineRule="auto"/>
        <w:tabs>
          <w:tab w:leader="none" w:pos="636"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Products Delivered at a Point in Time. </w:t>
      </w:r>
      <w:r>
        <w:rPr>
          <w:rFonts w:ascii="Arial" w:cs="Arial" w:eastAsia="Arial" w:hAnsi="Arial"/>
          <w:sz w:val="14"/>
          <w:szCs w:val="14"/>
          <w:color w:val="auto"/>
        </w:rPr>
        <w:t>The Company sells its products to customers in accordance with the terms of the related customer contracts.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generates revenues from sales of its solutions, which include microinverter units and related accessories, an Envoy communications gateway and Enlighten service, communications accessories and storage solutions to distributors, large installers, OEMs and strategic partners. Microinverter units, microinverter accessories, and storage solutions are delivered to customers at a point in time, and the Company recognizes revenue for these products when the Company transfers control of the product to the customer, which is generally upon shipment.</w:t>
      </w:r>
    </w:p>
    <w:p>
      <w:pPr>
        <w:spacing w:after="0" w:line="51" w:lineRule="exact"/>
        <w:rPr>
          <w:rFonts w:ascii="Arial" w:cs="Arial" w:eastAsia="Arial" w:hAnsi="Arial"/>
          <w:sz w:val="14"/>
          <w:szCs w:val="14"/>
          <w:i w:val="1"/>
          <w:iCs w:val="1"/>
          <w:color w:val="auto"/>
        </w:rPr>
      </w:pPr>
    </w:p>
    <w:p>
      <w:pPr>
        <w:jc w:val="both"/>
        <w:ind w:left="640" w:hanging="253"/>
        <w:spacing w:after="0" w:line="267" w:lineRule="auto"/>
        <w:tabs>
          <w:tab w:leader="none" w:pos="636"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Products Delivered Over Time. </w:t>
      </w:r>
      <w:r>
        <w:rPr>
          <w:rFonts w:ascii="Arial" w:cs="Arial" w:eastAsia="Arial" w:hAnsi="Arial"/>
          <w:sz w:val="14"/>
          <w:szCs w:val="14"/>
          <w:color w:val="auto"/>
        </w:rPr>
        <w:t>The sale of an Envoy communications gateway includes the Company’s Enlighten cloud-based monitoring service. The full consideration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these products represents a single performance obligation and is deferred at the sale date and recognized over the estimated service period of 6 years. The Company also sells certain communication accessories that contain a service performance obligation to be delivered over time. The revenue from these products is recognized over the related service period, which is typically 5 or 12 years.</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When the Company sells a product with more than one performance obligation, such as the IQ Combiner which includes both hardware and Envoy, the total consideration is allocated to these performance obligations based on their relative standalone selling prices. The Company previously sold its Envoy communications device to certain customers under a long-term financing arrangement. Under this financing arrangement, the Company nets the unbilled receivables against deferred revenue.</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records certain contra revenue promotions as variable consideration and recognizes these promotions at the time the related revenue is recorded.</w:t>
      </w:r>
    </w:p>
    <w:p>
      <w:pPr>
        <w:spacing w:after="0" w:line="94"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records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6 years.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3. “Revenue Recognition,” for additional information related to revenue recognition.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 A description of principal activities from which the Company recognizes cost of revenue is as follows.</w:t>
      </w:r>
    </w:p>
    <w:p>
      <w:pPr>
        <w:spacing w:after="0" w:line="43" w:lineRule="exact"/>
        <w:rPr>
          <w:sz w:val="20"/>
          <w:szCs w:val="20"/>
          <w:color w:val="auto"/>
        </w:rPr>
      </w:pPr>
    </w:p>
    <w:p>
      <w:pPr>
        <w:ind w:left="640" w:hanging="380"/>
        <w:spacing w:after="0" w:line="296" w:lineRule="auto"/>
        <w:tabs>
          <w:tab w:leader="none" w:pos="357"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Products Delivered at a Point in Time. </w:t>
      </w:r>
      <w:r>
        <w:rPr>
          <w:rFonts w:ascii="Arial" w:cs="Arial" w:eastAsia="Arial" w:hAnsi="Arial"/>
          <w:sz w:val="14"/>
          <w:szCs w:val="14"/>
          <w:color w:val="auto"/>
        </w:rPr>
        <w:t>Cost of revenue from these products is recognized when the Company transfers control of the product to the customer, which is</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upon shipment.</w:t>
      </w:r>
    </w:p>
    <w:p>
      <w:pPr>
        <w:spacing w:after="0" w:line="27" w:lineRule="exact"/>
        <w:rPr>
          <w:rFonts w:ascii="Arial" w:cs="Arial" w:eastAsia="Arial" w:hAnsi="Arial"/>
          <w:sz w:val="14"/>
          <w:szCs w:val="14"/>
          <w:i w:val="1"/>
          <w:iCs w:val="1"/>
          <w:color w:val="auto"/>
        </w:rPr>
      </w:pPr>
    </w:p>
    <w:p>
      <w:pPr>
        <w:ind w:left="640" w:hanging="253"/>
        <w:spacing w:after="0"/>
        <w:tabs>
          <w:tab w:leader="none" w:pos="640" w:val="left"/>
        </w:tabs>
        <w:numPr>
          <w:ilvl w:val="1"/>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Products Delivered Over Time. </w:t>
      </w:r>
      <w:r>
        <w:rPr>
          <w:rFonts w:ascii="Arial" w:cs="Arial" w:eastAsia="Arial" w:hAnsi="Arial"/>
          <w:sz w:val="14"/>
          <w:szCs w:val="14"/>
          <w:color w:val="auto"/>
        </w:rPr>
        <w:t>Cost of revenue from these products is recognized over the related service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340995</wp:posOffset>
            </wp:positionV>
            <wp:extent cx="695960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considers all highly liquid investments, such as certificates of deposit and money market instruments with maturities of three months or less at the time of acquisition to be cash equivalents. For all periods presented, its cash balances consist of amounts held in non-interest-bearing and interest-bearing deposits and money market accounts.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Cash</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Restricted cash represents cash held as certificate of deposit collateralized under a letter of credit issued to a customer. The letter of credit was required as a performance security in a face amount equal to the aggregate purchase price of the executed sales agreement. The letter of credit was issued per the terms of the executed sales agreement with a customer for safe harbor prepayment and the Company had collateralized a certificate of deposit under this letter of credit in an amount of $44.7 million, which was reflected as restricted cash on the Company’s consolidated balance sheet as of December 31, 2019. As of December 31, 2020, the Company does not have restricted cash balance.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fair value of a financial instrument is the price that would be received to sell an asset or paid to transfer a liability in an orderly transaction between market participants at the measurement date. The carrying amounts of the Company’s cash, cash equivalents and restricted cash, accounts receivable, accounts payable and accrued liabilities approximate fair value because of the short maturity of those instruments. Equity investments with readily determinable fair value are carried at fair value based on quoted market prices or estimated based on market conditions and risks existing at each balance sheet date. Equity investments without readily determinable fair value are measured at cost less impairment, and are adjusted for observable price changes in orderly transactions for an identical or similar investment of the same issuer.</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 Derivatives</w:t>
      </w:r>
    </w:p>
    <w:p>
      <w:pPr>
        <w:spacing w:after="0" w:line="92"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In March 2020, the Company issued $320 million aggregate principal amount of 0.25% convertible notes due 2025. Concurrently with the issuance of Notes due 2025, the Company entered into privately-negotiated convertible note hedge and warrant transactions which in combination are intended to reduce the potential dilution from the conversion of the Notes due 2025. The Company could not elect to issue the shares of common stock upon settlement of Notes due 2025 or convertible note hedge or warrant transactions due to insufficient authorized share capital. As a result, the embedded conversion option and warrants were accounted for as a derivative liabilities and convertible notes hedge as derivative asset and a gain (or loss) was reported in other expense, net in the consolidated statement of operations to the extent the valuation changed from the date of issuance of Notes due 2025. On May 20, 2020, at the Company’s annual meeting of stockholders, the stockholders approved an amendment to its certificate of incorporation to increase the number of authorized shares of the Company’s common stock. As a result, the Company is now be able to settle the Notes due 2025, convertible notes hedge and warrants through payment or delivery, as the case may be, of cash, shares of its common stock or a combination thereof, at the Company’s election. Accordingly, on May 20, 2020, the embedded derivative liability, convertible notes hedge and warrants liability were remeasured at a fair value and were then reclassified to additional paid-in-capital in the condensed consolidated balance sheet in the second quarter of 2020 and are no longer remeasured as long as they continue to meet the conditions for equity classification. As of December 31, 2020, the Company does not have any convertible note derivatives. See Note 11. “Debt” for additional information related to these transactions.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Receivables and Contract Assets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298450</wp:posOffset>
            </wp:positionV>
            <wp:extent cx="695960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Doubtful Accounts</w:t>
      </w:r>
    </w:p>
    <w:p>
      <w:pPr>
        <w:spacing w:after="0" w:line="92" w:lineRule="exact"/>
        <w:rPr>
          <w:sz w:val="20"/>
          <w:szCs w:val="20"/>
          <w:color w:val="auto"/>
        </w:rPr>
      </w:pPr>
    </w:p>
    <w:p>
      <w:pPr>
        <w:jc w:val="both"/>
        <w:ind w:firstLine="382"/>
        <w:spacing w:after="0" w:line="270" w:lineRule="auto"/>
        <w:rPr>
          <w:sz w:val="20"/>
          <w:szCs w:val="20"/>
          <w:color w:val="auto"/>
        </w:rPr>
      </w:pPr>
      <w:r>
        <w:rPr>
          <w:rFonts w:ascii="Arial" w:cs="Arial" w:eastAsia="Arial" w:hAnsi="Arial"/>
          <w:sz w:val="14"/>
          <w:szCs w:val="14"/>
          <w:color w:val="auto"/>
        </w:rPr>
        <w:t>The Company maintains allowances for doubtful accounts for uncollectible accounts receivable. Management estimates anticipated credit losses from doubtful accounts based on days past due, customer specific experience, collection history, the financial health of customers including from the impacts of the COVID-19 pandemic, among other factors. Accounts receivable are recorded net of allowance for doubtful accounts. The following table sets forth activities in the allowance for doubtful accounts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39"/>
        </w:trPr>
        <w:tc>
          <w:tcPr>
            <w:tcW w:w="6820" w:type="dxa"/>
            <w:vAlign w:val="bottom"/>
          </w:tcPr>
          <w:p>
            <w:pPr>
              <w:spacing w:after="0"/>
              <w:rPr>
                <w:sz w:val="12"/>
                <w:szCs w:val="1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2018</w:t>
            </w:r>
          </w:p>
        </w:tc>
      </w:tr>
      <w:tr>
        <w:trPr>
          <w:trHeight w:val="139"/>
        </w:trPr>
        <w:tc>
          <w:tcPr>
            <w:tcW w:w="6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ind w:left="76"/>
              <w:spacing w:after="0"/>
              <w:rPr>
                <w:sz w:val="20"/>
                <w:szCs w:val="20"/>
                <w:color w:val="auto"/>
              </w:rPr>
            </w:pPr>
            <w:r>
              <w:rPr>
                <w:rFonts w:ascii="Arial" w:cs="Arial" w:eastAsia="Arial" w:hAnsi="Arial"/>
                <w:sz w:val="13"/>
                <w:szCs w:val="13"/>
                <w:color w:val="auto"/>
              </w:rPr>
              <w:t>564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w:t>
            </w:r>
          </w:p>
        </w:tc>
      </w:tr>
      <w:tr>
        <w:trPr>
          <w:trHeight w:val="170"/>
        </w:trPr>
        <w:tc>
          <w:tcPr>
            <w:tcW w:w="6820" w:type="dxa"/>
            <w:vAlign w:val="bottom"/>
          </w:tcPr>
          <w:p>
            <w:pPr>
              <w:ind w:left="180"/>
              <w:spacing w:after="0"/>
              <w:rPr>
                <w:sz w:val="20"/>
                <w:szCs w:val="20"/>
                <w:color w:val="auto"/>
              </w:rPr>
            </w:pPr>
            <w:r>
              <w:rPr>
                <w:rFonts w:ascii="Arial" w:cs="Arial" w:eastAsia="Arial" w:hAnsi="Arial"/>
                <w:sz w:val="13"/>
                <w:szCs w:val="13"/>
                <w:color w:val="auto"/>
              </w:rPr>
              <w:t>Net charges to expenses</w:t>
            </w:r>
          </w:p>
        </w:tc>
        <w:tc>
          <w:tcPr>
            <w:tcW w:w="980" w:type="dxa"/>
            <w:vAlign w:val="bottom"/>
          </w:tcPr>
          <w:p>
            <w:pPr>
              <w:spacing w:after="0"/>
              <w:rPr>
                <w:sz w:val="14"/>
                <w:szCs w:val="14"/>
                <w:color w:val="auto"/>
              </w:rPr>
            </w:pPr>
          </w:p>
        </w:tc>
        <w:tc>
          <w:tcPr>
            <w:tcW w:w="440" w:type="dxa"/>
            <w:vAlign w:val="bottom"/>
          </w:tcPr>
          <w:p>
            <w:pPr>
              <w:jc w:val="center"/>
              <w:ind w:left="76"/>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711</w:t>
            </w:r>
          </w:p>
        </w:tc>
      </w:tr>
      <w:tr>
        <w:trPr>
          <w:trHeight w:val="170"/>
        </w:trPr>
        <w:tc>
          <w:tcPr>
            <w:tcW w:w="6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Write-offs, net of recoveries</w:t>
            </w:r>
          </w:p>
        </w:tc>
        <w:tc>
          <w:tcPr>
            <w:tcW w:w="9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center"/>
              <w:ind w:left="56"/>
              <w:spacing w:after="0"/>
              <w:rPr>
                <w:sz w:val="20"/>
                <w:szCs w:val="20"/>
                <w:color w:val="auto"/>
              </w:rPr>
            </w:pPr>
            <w:r>
              <w:rPr>
                <w:rFonts w:ascii="Arial" w:cs="Arial" w:eastAsia="Arial" w:hAnsi="Arial"/>
                <w:sz w:val="13"/>
                <w:szCs w:val="13"/>
                <w:color w:val="auto"/>
                <w:w w:val="92"/>
              </w:rPr>
              <w:t>(527)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w:t>
            </w:r>
          </w:p>
        </w:tc>
      </w:tr>
      <w:tr>
        <w:trPr>
          <w:trHeight w:val="160"/>
        </w:trPr>
        <w:tc>
          <w:tcPr>
            <w:tcW w:w="682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980" w:type="dxa"/>
            <w:vAlign w:val="bottom"/>
            <w:tcBorders>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center"/>
              <w:ind w:left="76"/>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w:t>
            </w:r>
          </w:p>
        </w:tc>
      </w:tr>
      <w:tr>
        <w:trPr>
          <w:trHeight w:val="20"/>
        </w:trPr>
        <w:tc>
          <w:tcPr>
            <w:tcW w:w="6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4"/>
          <w:szCs w:val="14"/>
          <w:i w:val="1"/>
          <w:iCs w:val="1"/>
          <w:color w:val="auto"/>
        </w:rPr>
        <w:t>i.e.</w:t>
      </w:r>
      <w:r>
        <w:rPr>
          <w:rFonts w:ascii="Arial" w:cs="Arial" w:eastAsia="Arial" w:hAnsi="Arial"/>
          <w:sz w:val="14"/>
          <w:szCs w:val="14"/>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are computed using the straight-line method over the estimated useful lives of the assets, which range from 3 to 10 years. Leasehold improvements are amortized over the shorter of the lease term or expected useful life of the improvements.</w:t>
      </w:r>
    </w:p>
    <w:p>
      <w:pPr>
        <w:spacing w:after="0" w:line="4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Internal-use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internal-use software requires judgment in determining when a project has reached the development stage and the period over which the Company expects to benefit from the use of that software.</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capitalizes implementation costs related to cloud computing (i.e. hosting) arrangements that are accounted for as a service contract that meets the accounting requirement for capitalization as such implementation costs were incurred to develop or utilize internal-use software hosted by a third party vendor. The capitalized implementation costs are recorded as part of “Other assets” on the consolidated balance sheet and is amortized over the length of the service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314960</wp:posOffset>
            </wp:positionV>
            <wp:extent cx="695960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Property, plant and equipment, including internal-use software, and capitalized implementation costs related to cloud computing arrangements,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recorded asset impairment charges for specific assets that were no longer in use of approximately zero, $1.1 million and $1.6 million for the years ended 2020, 2019 and 2018, respectively. There were no events or changes in circumstances that may indicate the carrying amount of remaining assets is not recoverable.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Goodwill results from the purchase consideration paid in excess of the fair value of the net assets recorded in connection with a business acquisition.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The Company first performs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Qualitative factors include industry and market consideration, overall financial performance, share price trends and market capitalization and Company-specific events. The Company determined, after performing a qualitative review of its reporting unit, that it is more likely than not that the fair value of our reporting unit exceeds its carrying value. Accordingly, there was no indication of impairment in the years ended 2020, 2019 and 2018 and no quantitative goodwill impairment test was performed.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Intangible assets include patents and other purchased intangible assets. Intangible assets with finite lives are amortized on a straight-line basis, with estimated useful lives ranging from 3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Liabilities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298450</wp:posOffset>
            </wp:positionV>
            <wp:extent cx="695960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Warranty Obligations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Microinverters and Other Products Sold Through December 31, 2013</w:t>
      </w:r>
    </w:p>
    <w:p>
      <w:pPr>
        <w:spacing w:after="0" w:line="9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Company’s warranty accrual provides for the replacement of microinverter units or other products that fail during the product’s warranty term (typically 15 years for first and second generation microinverters and up to 25 years for subsequent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w:t>
      </w:r>
      <w:r>
        <w:rPr>
          <w:rFonts w:ascii="Arial" w:cs="Arial" w:eastAsia="Arial" w:hAnsi="Arial"/>
          <w:sz w:val="14"/>
          <w:szCs w:val="14"/>
          <w:i w:val="1"/>
          <w:iCs w:val="1"/>
          <w:color w:val="auto"/>
        </w:rPr>
        <w:t>i.e.,</w:t>
      </w:r>
      <w:r>
        <w:rPr>
          <w:rFonts w:ascii="Arial" w:cs="Arial" w:eastAsia="Arial" w:hAnsi="Arial"/>
          <w:sz w:val="14"/>
          <w:szCs w:val="14"/>
          <w:color w:val="auto"/>
        </w:rPr>
        <w:t xml:space="preserve"> failure rate);</w:t>
      </w:r>
    </w:p>
    <w:p>
      <w:pPr>
        <w:spacing w:after="0" w:line="1" w:lineRule="exact"/>
        <w:rPr>
          <w:sz w:val="20"/>
          <w:szCs w:val="20"/>
          <w:color w:val="auto"/>
        </w:rPr>
      </w:pPr>
    </w:p>
    <w:p>
      <w:pPr>
        <w:ind w:firstLine="5"/>
        <w:spacing w:after="0" w:line="269" w:lineRule="auto"/>
        <w:tabs>
          <w:tab w:leader="none" w:pos="21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number of failed units expected to result in warranty claims over time (</w:t>
      </w:r>
      <w:r>
        <w:rPr>
          <w:rFonts w:ascii="Arial" w:cs="Arial" w:eastAsia="Arial" w:hAnsi="Arial"/>
          <w:sz w:val="14"/>
          <w:szCs w:val="14"/>
          <w:i w:val="1"/>
          <w:iCs w:val="1"/>
          <w:color w:val="auto"/>
        </w:rPr>
        <w:t>i.e.,</w:t>
      </w:r>
      <w:r>
        <w:rPr>
          <w:rFonts w:ascii="Arial" w:cs="Arial" w:eastAsia="Arial" w:hAnsi="Arial"/>
          <w:sz w:val="14"/>
          <w:szCs w:val="14"/>
          <w:color w:val="auto"/>
        </w:rPr>
        <w:t xml:space="preserve"> claim rate); and (3) the per unit cost of replacement units, including outbound shipping and limited labor costs, expected to be incurred to replace failed units over time (</w:t>
      </w:r>
      <w:r>
        <w:rPr>
          <w:rFonts w:ascii="Arial" w:cs="Arial" w:eastAsia="Arial" w:hAnsi="Arial"/>
          <w:sz w:val="14"/>
          <w:szCs w:val="14"/>
          <w:i w:val="1"/>
          <w:iCs w:val="1"/>
          <w:color w:val="auto"/>
        </w:rPr>
        <w:t>i.e.,</w:t>
      </w:r>
      <w:r>
        <w:rPr>
          <w:rFonts w:ascii="Arial" w:cs="Arial" w:eastAsia="Arial" w:hAnsi="Arial"/>
          <w:sz w:val="14"/>
          <w:szCs w:val="14"/>
          <w:color w:val="auto"/>
        </w:rPr>
        <w:t xml:space="preserve"> replacement cost).</w:t>
      </w:r>
    </w:p>
    <w:p>
      <w:pPr>
        <w:spacing w:after="0" w:line="45"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b w:val="1"/>
          <w:bCs w:val="1"/>
          <w:i w:val="1"/>
          <w:iCs w:val="1"/>
          <w:color w:val="auto"/>
        </w:rPr>
        <w:t xml:space="preserve">Estimated Failure Rates — </w:t>
      </w:r>
      <w:r>
        <w:rPr>
          <w:rFonts w:ascii="Arial" w:cs="Arial" w:eastAsia="Arial" w:hAnsi="Arial"/>
          <w:sz w:val="14"/>
          <w:szCs w:val="14"/>
          <w:color w:val="auto"/>
        </w:rPr>
        <w:t>The Company’s Quality and Reliability department has primary responsibility to determine the estimated failure rates for each generation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microinverter. To establish initial failure rate estimates for each generation of microinverter, the Company’s quality engineers use a combination of industry standard Mean Time Between Failure (“MTBF”)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through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5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Estimated Claim Rates — </w:t>
      </w:r>
      <w:r>
        <w:rPr>
          <w:rFonts w:ascii="Arial" w:cs="Arial" w:eastAsia="Arial" w:hAnsi="Arial"/>
          <w:sz w:val="14"/>
          <w:szCs w:val="14"/>
          <w:color w:val="auto"/>
        </w:rPr>
        <w:t>Warranty claim rate estimates are based upon observed historical trends and assumptions with respect to expected customer behavior over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warranty period. As the vast majority of the Company’s 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4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b w:val="1"/>
          <w:bCs w:val="1"/>
          <w:i w:val="1"/>
          <w:iCs w:val="1"/>
          <w:color w:val="auto"/>
        </w:rPr>
        <w:t xml:space="preserve">Estimated Replacement Costs — </w:t>
      </w:r>
      <w:r>
        <w:rPr>
          <w:rFonts w:ascii="Arial" w:cs="Arial" w:eastAsia="Arial" w:hAnsi="Arial"/>
          <w:sz w:val="14"/>
          <w:szCs w:val="14"/>
          <w:color w:val="auto"/>
        </w:rPr>
        <w:t>Three factors are considered in the Company’s analysis of estimated replacement cost: (1) the estimated cost of replacement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5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failure rates, claim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311785</wp:posOffset>
            </wp:positionV>
            <wp:extent cx="695960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Option for Microinverters and Other Products Sold Since January 1, 2014</w:t>
      </w:r>
    </w:p>
    <w:p>
      <w:pPr>
        <w:spacing w:after="0" w:line="9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Company’s warranty obligations related to microinverters sold since January 1, 2014 provide the Company the right, but not the requirement, to assign its warranty obligations to a third-party. Under ASC 825, “Financial Instruments” (also referred to as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5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See Note 9. “Fair Value Measurements,” for additional information.</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Warranty for Other Products</w:t>
      </w:r>
    </w:p>
    <w:p>
      <w:pPr>
        <w:spacing w:after="0" w:line="78" w:lineRule="exact"/>
        <w:rPr>
          <w:sz w:val="20"/>
          <w:szCs w:val="20"/>
          <w:color w:val="auto"/>
        </w:rPr>
      </w:pPr>
    </w:p>
    <w:p>
      <w:pPr>
        <w:jc w:val="both"/>
        <w:ind w:firstLine="382"/>
        <w:spacing w:after="0" w:line="182" w:lineRule="exact"/>
        <w:rPr>
          <w:sz w:val="20"/>
          <w:szCs w:val="20"/>
          <w:color w:val="auto"/>
        </w:rPr>
      </w:pPr>
      <w:r>
        <w:rPr>
          <w:rFonts w:ascii="Arial" w:cs="Arial" w:eastAsia="Arial" w:hAnsi="Arial"/>
          <w:sz w:val="14"/>
          <w:szCs w:val="14"/>
          <w:color w:val="auto"/>
        </w:rPr>
        <w:t>The Company offers a 5</w:t>
      </w:r>
      <w:r>
        <w:rPr>
          <w:rFonts w:ascii="MS PGothic" w:cs="MS PGothic" w:eastAsia="MS PGothic" w:hAnsi="MS PGothic"/>
          <w:sz w:val="14"/>
          <w:szCs w:val="14"/>
          <w:color w:val="auto"/>
        </w:rPr>
        <w:t>‑</w:t>
      </w:r>
      <w:r>
        <w:rPr>
          <w:rFonts w:ascii="Arial" w:cs="Arial" w:eastAsia="Arial" w:hAnsi="Arial"/>
          <w:sz w:val="14"/>
          <w:szCs w:val="14"/>
          <w:color w:val="auto"/>
        </w:rPr>
        <w:t>year warranty for its Envoy communications gateway and a 10</w:t>
      </w:r>
      <w:r>
        <w:rPr>
          <w:rFonts w:ascii="MS PGothic" w:cs="MS PGothic" w:eastAsia="MS PGothic" w:hAnsi="MS PGothic"/>
          <w:sz w:val="14"/>
          <w:szCs w:val="14"/>
          <w:color w:val="auto"/>
        </w:rPr>
        <w:t>‑</w:t>
      </w:r>
      <w:r>
        <w:rPr>
          <w:rFonts w:ascii="Arial" w:cs="Arial" w:eastAsia="Arial" w:hAnsi="Arial"/>
          <w:sz w:val="14"/>
          <w:szCs w:val="14"/>
          <w:color w:val="auto"/>
        </w:rPr>
        <w:t>year warranty on its AC Battery storage solution. The warranties provide the Company with the right, but not the obligation, to assign its warranty obligations to a third-party. As such, warranties for Envoy and AC Battery storage solution products are accounted for under the fair value method of accounting.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 and Contingencies</w:t>
      </w:r>
    </w:p>
    <w:p>
      <w:pPr>
        <w:spacing w:after="0" w:line="12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In the normal course of business, the Company is subject to loss contingencies and loss recoveries, such as legal proceedings and claims arising out of its business as well as tariff refunds. An accrual for a loss contingency or loss recovery is recognized when it is probable and the amount of loss or recovery can be reasonably estimated.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expenses research and development costs as incurred. Research and development expense consists primarily of product development personnel costs, including salaries and benefits, stock-based compensation, other professional costs and allocated facilities costs.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2" w:lineRule="exact"/>
        <w:rPr>
          <w:sz w:val="20"/>
          <w:szCs w:val="20"/>
          <w:color w:val="auto"/>
        </w:rPr>
      </w:pPr>
    </w:p>
    <w:p>
      <w:pPr>
        <w:jc w:val="both"/>
        <w:ind w:firstLine="382"/>
        <w:spacing w:after="0" w:line="176" w:lineRule="exact"/>
        <w:rPr>
          <w:sz w:val="20"/>
          <w:szCs w:val="20"/>
          <w:color w:val="auto"/>
        </w:rPr>
      </w:pPr>
      <w:r>
        <w:rPr>
          <w:rFonts w:ascii="Arial" w:cs="Arial" w:eastAsia="Arial" w:hAnsi="Arial"/>
          <w:sz w:val="14"/>
          <w:szCs w:val="14"/>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The fair value of non-market</w:t>
      </w:r>
      <w:r>
        <w:rPr>
          <w:rFonts w:ascii="MS PGothic" w:cs="MS PGothic" w:eastAsia="MS PGothic" w:hAnsi="MS PGothic"/>
          <w:sz w:val="14"/>
          <w:szCs w:val="14"/>
          <w:color w:val="auto"/>
        </w:rPr>
        <w:t>‑</w:t>
      </w:r>
      <w:r>
        <w:rPr>
          <w:rFonts w:ascii="Arial" w:cs="Arial" w:eastAsia="Arial" w:hAnsi="Arial"/>
          <w:sz w:val="14"/>
          <w:szCs w:val="14"/>
          <w:color w:val="auto"/>
        </w:rPr>
        <w:t>based performance stock units granted is determined based on the date of grant or when achievement of performance is probable. The fair value of market</w:t>
      </w:r>
      <w:r>
        <w:rPr>
          <w:rFonts w:ascii="MS PGothic" w:cs="MS PGothic" w:eastAsia="MS PGothic" w:hAnsi="MS PGothic"/>
          <w:sz w:val="14"/>
          <w:szCs w:val="14"/>
          <w:color w:val="auto"/>
        </w:rPr>
        <w:t>‑</w:t>
      </w:r>
      <w:r>
        <w:rPr>
          <w:rFonts w:ascii="Arial" w:cs="Arial" w:eastAsia="Arial" w:hAnsi="Arial"/>
          <w:sz w:val="14"/>
          <w:szCs w:val="14"/>
          <w:color w:val="auto"/>
        </w:rPr>
        <w:t>based performance stock units granted is determined using a Monte</w:t>
      </w:r>
      <w:r>
        <w:rPr>
          <w:rFonts w:ascii="MS PGothic" w:cs="MS PGothic" w:eastAsia="MS PGothic" w:hAnsi="MS PGothic"/>
          <w:sz w:val="14"/>
          <w:szCs w:val="14"/>
          <w:color w:val="auto"/>
        </w:rPr>
        <w:t>‑</w:t>
      </w:r>
      <w:r>
        <w:rPr>
          <w:rFonts w:ascii="Arial" w:cs="Arial" w:eastAsia="Arial" w:hAnsi="Arial"/>
          <w:sz w:val="14"/>
          <w:szCs w:val="14"/>
          <w:color w:val="auto"/>
        </w:rPr>
        <w:t>Carlo model based on the date of grant or when achievement of performance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314960</wp:posOffset>
            </wp:positionV>
            <wp:extent cx="695960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Stock-based compensation for stock options and restricted stock units (“RSUs”) is recognized on a straight-line basis over the requisite service period. Stock-based compensation for performance stock units (“PSUs”) without market conditions is recognized when the performance condition is probable of being achieved, and then on a graded basis over the requisite service period. Stock-based compensation for PSUs with market conditions is recognized on a straight-line basis over the requisite service period. Additionally, the Company estimates its forfeiture rate annually based on historical experience and revise the estimates of forfeiture in subsequent periods if actual forfeitures differ from those estimates.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9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combines the lease and non-lease components in determining the operating lease assets and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Company and most of its subsidiaries use their respective local currency as their functional currency. Accordingly, foreign currency assets and liabilities are translated using exchange rates in effect at the end of the period. Aggregate exchange gains and losses arising from the translation of foreign assets and liabilities are included in accumulated other comprehensive income (loss) in stockholders' equity. Foreign subsidiaries that use the U.S. dollar as their functional currency remeasure monetary assets and liabilities using exchange rates in effect at the end of the period. In addition, transactions that are denominated in non-functional currency are remeasured using exchange rates in effect at the end of the period. Exchange gains and losses arising from the remeasurement of monetary assets and liabilities are included in other income (expense), net in the consolidated statements of operations. Non-monetary assets and liabilities are carried at their historical values.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Income (Loss)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Comprehensive income (loss) consists of two components, net income (loss) and other comprehensive income (loss). Other comprehensive income (loss) refers to gains and losses that are recorded as an element of stockholders’ equity but are excluded from net income (loss). The Company’s other comprehensive income (loss) consists of foreign currency translation adjustments for all periods presented.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assesses the realizability of the deferred tax assets to determine release of valuation allowance as necessary. In the event the Company determines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311785</wp:posOffset>
            </wp:positionV>
            <wp:extent cx="69596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9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adopted the new standard effective January 1, 2020 on a prospective basis and the adoption of this guidance did not have a material impact on its consolidated financial statements.</w:t>
      </w:r>
    </w:p>
    <w:p>
      <w:pPr>
        <w:spacing w:after="0" w:line="5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 June 2016, the FASB issued ASU 2016 -13,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 current expected credit loss (CECL) model which will result in earlier recognition of credit losses. On January 1, 2020, the Company on a prospective basis adopted Topic 326, the measurement of expected credit losses under the CECL model is applicable to financial assets measured at amortized cost, including accounts receivable. The adoption of this guidance did not have a material impact on the Company’s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 Not Yet Effective</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August 2020, the FASB issued Account Standard Update (“ASU”) 2020-06, “Debt - Debt with Conversion and Other Options (subtopic 470-20) and Derivatives and Hedging</w:t>
      </w:r>
    </w:p>
    <w:p>
      <w:pPr>
        <w:spacing w:after="0" w:line="27" w:lineRule="exact"/>
        <w:rPr>
          <w:sz w:val="20"/>
          <w:szCs w:val="20"/>
          <w:color w:val="auto"/>
        </w:rPr>
      </w:pPr>
    </w:p>
    <w:p>
      <w:pPr>
        <w:jc w:val="both"/>
        <w:ind w:firstLine="5"/>
        <w:spacing w:after="0" w:line="256" w:lineRule="auto"/>
        <w:tabs>
          <w:tab w:leader="none" w:pos="95"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Contracts in Entity’s Own Equity (subtopic 815-40),” which reduces the number of accounting models in ASC 470-20 that require separate accounting for embedded conversion features. As a result, a convertible debt instrument will be accounted for as a single liability measured at its amortized cost as long as no other features require bifurcation and recognition as derivatives. By removing those separation models, the effective interest rate of convertible debt instruments will be closer to the coupon interest rate. Further, the diluted net income per share calculation for convertible instruments will require the Company to use the if-converted method. The treasury stock method should no longer be used to calculate diluted net income per share for convertible instruments. The amendment will be effective for the Company with annual periods beginning January 1, 2022 and early adoption is permitted. The Company is evaluating the accounting, transition and disclosure requirements of the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316230</wp:posOffset>
            </wp:positionV>
            <wp:extent cx="695960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3.</w:t>
        <w:tab/>
        <w:t>REVENUE RECOGNITION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Disaggregated Revenue</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has one business activity, which is the design, manufacture and sale of solutions for the solar photovoltaic (“PV”) industry. Disaggregated revenue by primary geographical market and timing of revenue recognition for the Company’s single product line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Borders>
              <w:bottom w:val="single" w:sz="8" w:color="auto"/>
            </w:tcBorders>
          </w:tcPr>
          <w:p>
            <w:pPr>
              <w:spacing w:after="0"/>
              <w:rPr>
                <w:sz w:val="13"/>
                <w:szCs w:val="13"/>
                <w:color w:val="auto"/>
              </w:rPr>
            </w:pPr>
          </w:p>
        </w:tc>
      </w:tr>
      <w:tr>
        <w:trPr>
          <w:trHeight w:val="139"/>
        </w:trPr>
        <w:tc>
          <w:tcPr>
            <w:tcW w:w="802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2"/>
                <w:szCs w:val="12"/>
                <w:color w:val="auto"/>
              </w:rPr>
            </w:pPr>
          </w:p>
        </w:tc>
      </w:tr>
      <w:tr>
        <w:trPr>
          <w:trHeight w:val="139"/>
        </w:trPr>
        <w:tc>
          <w:tcPr>
            <w:tcW w:w="8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gridSpan w:val="3"/>
          </w:tcPr>
          <w:p>
            <w:pPr>
              <w:jc w:val="right"/>
              <w:ind w:right="618"/>
              <w:spacing w:after="0"/>
              <w:rPr>
                <w:sz w:val="20"/>
                <w:szCs w:val="20"/>
                <w:color w:val="auto"/>
              </w:rPr>
            </w:pPr>
            <w:r>
              <w:rPr>
                <w:rFonts w:ascii="Arial" w:cs="Arial" w:eastAsia="Arial" w:hAnsi="Arial"/>
                <w:sz w:val="11"/>
                <w:szCs w:val="11"/>
                <w:i w:val="1"/>
                <w:iCs w:val="1"/>
                <w:color w:val="auto"/>
              </w:rPr>
              <w:t>(In thousands)</w:t>
            </w:r>
          </w:p>
        </w:tc>
        <w:tc>
          <w:tcPr>
            <w:tcW w:w="580" w:type="dxa"/>
            <w:vAlign w:val="bottom"/>
          </w:tcPr>
          <w:p>
            <w:pPr>
              <w:spacing w:after="0"/>
              <w:rPr>
                <w:sz w:val="12"/>
                <w:szCs w:val="12"/>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Primary geographical markets: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70"/>
        </w:trPr>
        <w:tc>
          <w:tcPr>
            <w:tcW w:w="8020" w:type="dxa"/>
            <w:vAlign w:val="bottom"/>
          </w:tcPr>
          <w:p>
            <w:pPr>
              <w:ind w:left="120"/>
              <w:spacing w:after="0"/>
              <w:rPr>
                <w:sz w:val="20"/>
                <w:szCs w:val="20"/>
                <w:color w:val="auto"/>
              </w:rPr>
            </w:pPr>
            <w:r>
              <w:rPr>
                <w:rFonts w:ascii="Arial" w:cs="Arial" w:eastAsia="Arial" w:hAnsi="Arial"/>
                <w:sz w:val="13"/>
                <w:szCs w:val="13"/>
                <w:color w:val="auto"/>
              </w:rPr>
              <w:t>U.S.</w:t>
            </w:r>
          </w:p>
        </w:tc>
        <w:tc>
          <w:tcPr>
            <w:tcW w:w="1000" w:type="dxa"/>
            <w:vAlign w:val="bottom"/>
          </w:tcPr>
          <w:p>
            <w:pPr>
              <w:jc w:val="right"/>
              <w:ind w:right="839"/>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637,879</w:t>
            </w:r>
          </w:p>
        </w:tc>
        <w:tc>
          <w:tcPr>
            <w:tcW w:w="100" w:type="dxa"/>
            <w:vAlign w:val="bottom"/>
          </w:tcPr>
          <w:p>
            <w:pPr>
              <w:spacing w:after="0"/>
              <w:rPr>
                <w:sz w:val="14"/>
                <w:szCs w:val="14"/>
                <w:color w:val="auto"/>
              </w:rPr>
            </w:pPr>
          </w:p>
        </w:tc>
        <w:tc>
          <w:tcPr>
            <w:tcW w:w="1000" w:type="dxa"/>
            <w:vAlign w:val="bottom"/>
          </w:tcPr>
          <w:p>
            <w:pPr>
              <w:jc w:val="right"/>
              <w:ind w:right="85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523,577</w:t>
            </w:r>
          </w:p>
        </w:tc>
      </w:tr>
      <w:tr>
        <w:trPr>
          <w:trHeight w:val="170"/>
        </w:trPr>
        <w:tc>
          <w:tcPr>
            <w:tcW w:w="8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International</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136,546</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100,756</w:t>
            </w:r>
          </w:p>
        </w:tc>
      </w:tr>
      <w:tr>
        <w:trPr>
          <w:trHeight w:val="160"/>
        </w:trPr>
        <w:tc>
          <w:tcPr>
            <w:tcW w:w="8020" w:type="dxa"/>
            <w:vAlign w:val="bottom"/>
          </w:tcPr>
          <w:p>
            <w:pPr>
              <w:ind w:left="180"/>
              <w:spacing w:after="0"/>
              <w:rPr>
                <w:sz w:val="20"/>
                <w:szCs w:val="20"/>
                <w:color w:val="auto"/>
              </w:rPr>
            </w:pPr>
            <w:r>
              <w:rPr>
                <w:rFonts w:ascii="Arial" w:cs="Arial" w:eastAsia="Arial" w:hAnsi="Arial"/>
                <w:sz w:val="13"/>
                <w:szCs w:val="13"/>
                <w:color w:val="auto"/>
              </w:rPr>
              <w:t>Total</w:t>
            </w: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774,425</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5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624,333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8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3"/>
                <w:szCs w:val="13"/>
                <w:color w:val="auto"/>
              </w:rPr>
              <w:t>Timing of revenue recognition:</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8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Products delivered at a point in time</w:t>
            </w:r>
          </w:p>
        </w:tc>
        <w:tc>
          <w:tcPr>
            <w:tcW w:w="100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728,254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584,556</w:t>
            </w:r>
          </w:p>
        </w:tc>
      </w:tr>
      <w:tr>
        <w:trPr>
          <w:trHeight w:val="17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Products and services delivered over time</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46,171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39,777</w:t>
            </w:r>
          </w:p>
        </w:tc>
      </w:tr>
      <w:tr>
        <w:trPr>
          <w:trHeight w:val="185"/>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10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774,425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624,333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Receivables, and contract assets and contract liabilities from contracts with customers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19"/>
              <w:spacing w:after="0"/>
              <w:rPr>
                <w:sz w:val="20"/>
                <w:szCs w:val="20"/>
                <w:color w:val="auto"/>
              </w:rPr>
            </w:pPr>
            <w:r>
              <w:rPr>
                <w:rFonts w:ascii="Arial" w:cs="Arial" w:eastAsia="Arial" w:hAnsi="Arial"/>
                <w:sz w:val="11"/>
                <w:szCs w:val="11"/>
                <w:b w:val="1"/>
                <w:bCs w:val="1"/>
                <w:color w:val="auto"/>
              </w:rPr>
              <w:t>December 31,</w:t>
            </w:r>
          </w:p>
        </w:tc>
        <w:tc>
          <w:tcPr>
            <w:tcW w:w="400" w:type="dxa"/>
            <w:vAlign w:val="bottom"/>
          </w:tcPr>
          <w:p>
            <w:pPr>
              <w:spacing w:after="0"/>
              <w:rPr>
                <w:sz w:val="10"/>
                <w:szCs w:val="10"/>
                <w:color w:val="auto"/>
              </w:rPr>
            </w:pPr>
          </w:p>
        </w:tc>
        <w:tc>
          <w:tcPr>
            <w:tcW w:w="1100" w:type="dxa"/>
            <w:vAlign w:val="bottom"/>
          </w:tcPr>
          <w:p>
            <w:pPr>
              <w:jc w:val="right"/>
              <w:ind w:right="278"/>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8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2020</w:t>
            </w: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2019</w:t>
            </w:r>
          </w:p>
        </w:tc>
      </w:tr>
      <w:tr>
        <w:trPr>
          <w:trHeight w:val="13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Pr>
          <w:p>
            <w:pPr>
              <w:spacing w:after="0"/>
              <w:rPr>
                <w:sz w:val="12"/>
                <w:szCs w:val="12"/>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182,165</w:t>
            </w: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145,413</w:t>
            </w:r>
          </w:p>
        </w:tc>
      </w:tr>
      <w:tr>
        <w:trPr>
          <w:trHeight w:val="170"/>
        </w:trPr>
        <w:tc>
          <w:tcPr>
            <w:tcW w:w="8320" w:type="dxa"/>
            <w:vAlign w:val="bottom"/>
          </w:tcPr>
          <w:p>
            <w:pPr>
              <w:ind w:left="20"/>
              <w:spacing w:after="0"/>
              <w:rPr>
                <w:sz w:val="20"/>
                <w:szCs w:val="20"/>
                <w:color w:val="auto"/>
              </w:rPr>
            </w:pPr>
            <w:r>
              <w:rPr>
                <w:rFonts w:ascii="Arial" w:cs="Arial" w:eastAsia="Arial" w:hAnsi="Arial"/>
                <w:sz w:val="13"/>
                <w:szCs w:val="13"/>
                <w:color w:val="auto"/>
              </w:rPr>
              <w:t>Short-term contract assets (Prepaid expenses and other assets)</w:t>
            </w:r>
          </w:p>
        </w:tc>
        <w:tc>
          <w:tcPr>
            <w:tcW w:w="220" w:type="dxa"/>
            <w:vAlign w:val="bottom"/>
          </w:tcPr>
          <w:p>
            <w:pPr>
              <w:spacing w:after="0"/>
              <w:rPr>
                <w:sz w:val="14"/>
                <w:szCs w:val="14"/>
                <w:color w:val="auto"/>
              </w:rPr>
            </w:pPr>
          </w:p>
        </w:tc>
        <w:tc>
          <w:tcPr>
            <w:tcW w:w="1240" w:type="dxa"/>
            <w:vAlign w:val="bottom"/>
          </w:tcPr>
          <w:p>
            <w:pPr>
              <w:jc w:val="right"/>
              <w:ind w:right="19"/>
              <w:spacing w:after="0"/>
              <w:rPr>
                <w:sz w:val="20"/>
                <w:szCs w:val="20"/>
                <w:color w:val="auto"/>
              </w:rPr>
            </w:pPr>
            <w:r>
              <w:rPr>
                <w:rFonts w:ascii="Arial" w:cs="Arial" w:eastAsia="Arial" w:hAnsi="Arial"/>
                <w:sz w:val="13"/>
                <w:szCs w:val="13"/>
                <w:color w:val="auto"/>
              </w:rPr>
              <w:t>17,879</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15,055</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contract assets (Other assets)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51,986</w:t>
            </w: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42,087</w:t>
            </w:r>
          </w:p>
        </w:tc>
      </w:tr>
      <w:tr>
        <w:trPr>
          <w:trHeight w:val="170"/>
        </w:trPr>
        <w:tc>
          <w:tcPr>
            <w:tcW w:w="8320" w:type="dxa"/>
            <w:vAlign w:val="bottom"/>
          </w:tcPr>
          <w:p>
            <w:pPr>
              <w:ind w:left="20"/>
              <w:spacing w:after="0"/>
              <w:rPr>
                <w:sz w:val="20"/>
                <w:szCs w:val="20"/>
                <w:color w:val="auto"/>
              </w:rPr>
            </w:pPr>
            <w:r>
              <w:rPr>
                <w:rFonts w:ascii="Arial" w:cs="Arial" w:eastAsia="Arial" w:hAnsi="Arial"/>
                <w:sz w:val="13"/>
                <w:szCs w:val="13"/>
                <w:color w:val="auto"/>
              </w:rPr>
              <w:t>Short-term contract liabilities (Deferred revenues)</w:t>
            </w:r>
          </w:p>
        </w:tc>
        <w:tc>
          <w:tcPr>
            <w:tcW w:w="220" w:type="dxa"/>
            <w:vAlign w:val="bottom"/>
          </w:tcPr>
          <w:p>
            <w:pPr>
              <w:spacing w:after="0"/>
              <w:rPr>
                <w:sz w:val="14"/>
                <w:szCs w:val="14"/>
                <w:color w:val="auto"/>
              </w:rPr>
            </w:pPr>
          </w:p>
        </w:tc>
        <w:tc>
          <w:tcPr>
            <w:tcW w:w="1240" w:type="dxa"/>
            <w:vAlign w:val="bottom"/>
          </w:tcPr>
          <w:p>
            <w:pPr>
              <w:jc w:val="right"/>
              <w:ind w:right="19"/>
              <w:spacing w:after="0"/>
              <w:rPr>
                <w:sz w:val="20"/>
                <w:szCs w:val="20"/>
                <w:color w:val="auto"/>
              </w:rPr>
            </w:pPr>
            <w:r>
              <w:rPr>
                <w:rFonts w:ascii="Arial" w:cs="Arial" w:eastAsia="Arial" w:hAnsi="Arial"/>
                <w:sz w:val="13"/>
                <w:szCs w:val="13"/>
                <w:color w:val="auto"/>
              </w:rPr>
              <w:t>47,665</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81,783</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contract liabilities (Deferred revenues)</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125,473</w:t>
            </w: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100,204</w:t>
            </w:r>
          </w:p>
        </w:tc>
      </w:tr>
    </w:tbl>
    <w:p>
      <w:pPr>
        <w:spacing w:after="0" w:line="140"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year ended December 31, 2020.</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Significant changes in the balances of contract assets (prepaid expenses and other assets) during the period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20" w:type="dxa"/>
            <w:vAlign w:val="bottom"/>
          </w:tcPr>
          <w:p>
            <w:pPr>
              <w:ind w:left="20"/>
              <w:spacing w:after="0"/>
              <w:rPr>
                <w:sz w:val="20"/>
                <w:szCs w:val="20"/>
                <w:color w:val="auto"/>
              </w:rPr>
            </w:pPr>
            <w:r>
              <w:rPr>
                <w:rFonts w:ascii="Arial" w:cs="Arial" w:eastAsia="Arial" w:hAnsi="Arial"/>
                <w:sz w:val="13"/>
                <w:szCs w:val="13"/>
                <w:b w:val="1"/>
                <w:bCs w:val="1"/>
                <w:color w:val="auto"/>
              </w:rPr>
              <w:t>Contract Assets</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0"/>
        </w:trPr>
        <w:tc>
          <w:tcPr>
            <w:tcW w:w="9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Balance on December 31, 2019</w:t>
            </w: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57,142</w:t>
            </w:r>
          </w:p>
        </w:tc>
      </w:tr>
      <w:tr>
        <w:trPr>
          <w:trHeight w:val="170"/>
        </w:trPr>
        <w:tc>
          <w:tcPr>
            <w:tcW w:w="9820" w:type="dxa"/>
            <w:vAlign w:val="bottom"/>
          </w:tcPr>
          <w:p>
            <w:pPr>
              <w:ind w:left="280"/>
              <w:spacing w:after="0"/>
              <w:rPr>
                <w:sz w:val="20"/>
                <w:szCs w:val="20"/>
                <w:color w:val="auto"/>
              </w:rPr>
            </w:pPr>
            <w:r>
              <w:rPr>
                <w:rFonts w:ascii="Arial" w:cs="Arial" w:eastAsia="Arial" w:hAnsi="Arial"/>
                <w:sz w:val="13"/>
                <w:szCs w:val="13"/>
                <w:color w:val="auto"/>
              </w:rPr>
              <w:t>Amount recognized</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(17,652)</w:t>
            </w:r>
          </w:p>
        </w:tc>
      </w:tr>
      <w:tr>
        <w:trPr>
          <w:trHeight w:val="170"/>
        </w:trPr>
        <w:tc>
          <w:tcPr>
            <w:tcW w:w="9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Increase</w:t>
            </w:r>
          </w:p>
        </w:tc>
        <w:tc>
          <w:tcPr>
            <w:tcW w:w="5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30,375</w:t>
            </w:r>
          </w:p>
        </w:tc>
      </w:tr>
      <w:tr>
        <w:trPr>
          <w:trHeight w:val="160"/>
        </w:trPr>
        <w:tc>
          <w:tcPr>
            <w:tcW w:w="9820" w:type="dxa"/>
            <w:vAlign w:val="bottom"/>
          </w:tcPr>
          <w:p>
            <w:pPr>
              <w:ind w:left="180"/>
              <w:spacing w:after="0"/>
              <w:rPr>
                <w:sz w:val="20"/>
                <w:szCs w:val="20"/>
                <w:color w:val="auto"/>
              </w:rPr>
            </w:pPr>
            <w:r>
              <w:rPr>
                <w:rFonts w:ascii="Arial" w:cs="Arial" w:eastAsia="Arial" w:hAnsi="Arial"/>
                <w:sz w:val="13"/>
                <w:szCs w:val="13"/>
                <w:color w:val="auto"/>
              </w:rPr>
              <w:t>Balance as of December 31, 2020</w:t>
            </w:r>
          </w:p>
        </w:tc>
        <w:tc>
          <w:tcPr>
            <w:tcW w:w="5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69,865</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305435</wp:posOffset>
            </wp:positionV>
            <wp:extent cx="69596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60" w:type="dxa"/>
            <w:vAlign w:val="bottom"/>
          </w:tcPr>
          <w:p>
            <w:pPr>
              <w:ind w:left="4820"/>
              <w:spacing w:after="0"/>
              <w:rPr>
                <w:sz w:val="20"/>
                <w:szCs w:val="20"/>
                <w:color w:val="auto"/>
              </w:rPr>
            </w:pPr>
            <w:r>
              <w:rPr>
                <w:rFonts w:ascii="Arial" w:cs="Arial" w:eastAsia="Arial" w:hAnsi="Arial"/>
                <w:sz w:val="14"/>
                <w:szCs w:val="14"/>
                <w:b w:val="1"/>
                <w:bCs w:val="1"/>
                <w:color w:val="auto"/>
              </w:rPr>
              <w:t>ENPHASE ENERGY, INC.</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5"/>
        </w:trPr>
        <w:tc>
          <w:tcPr>
            <w:tcW w:w="9860" w:type="dxa"/>
            <w:vAlign w:val="bottom"/>
          </w:tcPr>
          <w:p>
            <w:pPr>
              <w:ind w:left="3820"/>
              <w:spacing w:after="0"/>
              <w:rPr>
                <w:sz w:val="20"/>
                <w:szCs w:val="20"/>
                <w:color w:val="auto"/>
              </w:rPr>
            </w:pPr>
            <w:r>
              <w:rPr>
                <w:rFonts w:ascii="Arial" w:cs="Arial" w:eastAsia="Arial" w:hAnsi="Arial"/>
                <w:sz w:val="14"/>
                <w:szCs w:val="14"/>
                <w:b w:val="1"/>
                <w:bCs w:val="1"/>
                <w:color w:val="auto"/>
              </w:rPr>
              <w:t>NOTES TO CONSOLIDATED FINANCIAL STATEMENTS</w:t>
            </w: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798"/>
        </w:trPr>
        <w:tc>
          <w:tcPr>
            <w:tcW w:w="9860" w:type="dxa"/>
            <w:vAlign w:val="bottom"/>
          </w:tcPr>
          <w:p>
            <w:pPr>
              <w:ind w:left="380"/>
              <w:spacing w:after="0"/>
              <w:rPr>
                <w:sz w:val="20"/>
                <w:szCs w:val="20"/>
                <w:color w:val="auto"/>
              </w:rPr>
            </w:pPr>
            <w:r>
              <w:rPr>
                <w:rFonts w:ascii="Arial" w:cs="Arial" w:eastAsia="Arial" w:hAnsi="Arial"/>
                <w:sz w:val="14"/>
                <w:szCs w:val="14"/>
                <w:color w:val="auto"/>
              </w:rPr>
              <w:t>Significant changes in the balances of contract liabilities (deferred revenues) during the period are as follows (in thousands):</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Contract Liabilities</w:t>
            </w: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70"/>
        </w:trPr>
        <w:tc>
          <w:tcPr>
            <w:tcW w:w="9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Balance on December 31, 2019</w:t>
            </w: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181,987</w:t>
            </w:r>
          </w:p>
        </w:tc>
      </w:tr>
      <w:tr>
        <w:trPr>
          <w:trHeight w:val="170"/>
        </w:trPr>
        <w:tc>
          <w:tcPr>
            <w:tcW w:w="9860" w:type="dxa"/>
            <w:vAlign w:val="bottom"/>
          </w:tcPr>
          <w:p>
            <w:pPr>
              <w:ind w:left="280"/>
              <w:spacing w:after="0"/>
              <w:rPr>
                <w:sz w:val="20"/>
                <w:szCs w:val="20"/>
                <w:color w:val="auto"/>
              </w:rPr>
            </w:pPr>
            <w:r>
              <w:rPr>
                <w:rFonts w:ascii="Arial" w:cs="Arial" w:eastAsia="Arial" w:hAnsi="Arial"/>
                <w:sz w:val="13"/>
                <w:szCs w:val="13"/>
                <w:color w:val="auto"/>
              </w:rPr>
              <w:t>Revenue recognized</w:t>
            </w: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(87,555)</w:t>
            </w:r>
          </w:p>
        </w:tc>
      </w:tr>
      <w:tr>
        <w:trPr>
          <w:trHeight w:val="170"/>
        </w:trPr>
        <w:tc>
          <w:tcPr>
            <w:tcW w:w="9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Increase due to billings</w:t>
            </w: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78,706</w:t>
            </w:r>
          </w:p>
        </w:tc>
      </w:tr>
      <w:tr>
        <w:trPr>
          <w:trHeight w:val="160"/>
        </w:trPr>
        <w:tc>
          <w:tcPr>
            <w:tcW w:w="9860" w:type="dxa"/>
            <w:vAlign w:val="bottom"/>
          </w:tcPr>
          <w:p>
            <w:pPr>
              <w:ind w:left="180"/>
              <w:spacing w:after="0"/>
              <w:rPr>
                <w:sz w:val="20"/>
                <w:szCs w:val="20"/>
                <w:color w:val="auto"/>
              </w:rPr>
            </w:pPr>
            <w:r>
              <w:rPr>
                <w:rFonts w:ascii="Arial" w:cs="Arial" w:eastAsia="Arial" w:hAnsi="Arial"/>
                <w:sz w:val="13"/>
                <w:szCs w:val="13"/>
                <w:color w:val="auto"/>
              </w:rPr>
              <w:t>Balance as of December 31, 2020</w:t>
            </w: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173,138</w:t>
            </w: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Remaining Performance Obligations</w:t>
      </w:r>
    </w:p>
    <w:p>
      <w:pPr>
        <w:spacing w:after="0" w:line="96" w:lineRule="exact"/>
        <w:rPr>
          <w:sz w:val="20"/>
          <w:szCs w:val="20"/>
          <w:color w:val="auto"/>
        </w:rPr>
      </w:pPr>
    </w:p>
    <w:p>
      <w:pPr>
        <w:ind w:right="60" w:firstLine="382"/>
        <w:spacing w:after="0" w:line="296" w:lineRule="auto"/>
        <w:rPr>
          <w:sz w:val="20"/>
          <w:szCs w:val="20"/>
          <w:color w:val="auto"/>
        </w:rPr>
      </w:pPr>
      <w:r>
        <w:rPr>
          <w:rFonts w:ascii="Arial" w:cs="Arial" w:eastAsia="Arial" w:hAnsi="Arial"/>
          <w:sz w:val="14"/>
          <w:szCs w:val="14"/>
          <w:color w:val="auto"/>
        </w:rPr>
        <w:t>Estimated revenue expected to be recognized in future periods related to performance obligations that are unsatisfied or partially unsatisfied at the end of the reporting period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38"/>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98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rPr>
              <w:t>2020</w:t>
            </w:r>
          </w:p>
        </w:tc>
      </w:tr>
      <w:tr>
        <w:trPr>
          <w:trHeight w:val="139"/>
        </w:trPr>
        <w:tc>
          <w:tcPr>
            <w:tcW w:w="9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58"/>
              <w:spacing w:after="0"/>
              <w:rPr>
                <w:sz w:val="20"/>
                <w:szCs w:val="20"/>
                <w:color w:val="auto"/>
              </w:rPr>
            </w:pPr>
            <w:r>
              <w:rPr>
                <w:rFonts w:ascii="Arial" w:cs="Arial" w:eastAsia="Arial" w:hAnsi="Arial"/>
                <w:sz w:val="11"/>
                <w:szCs w:val="11"/>
                <w:i w:val="1"/>
                <w:iCs w:val="1"/>
                <w:color w:val="auto"/>
              </w:rPr>
              <w:t>(In thousands)</w:t>
            </w:r>
          </w:p>
        </w:tc>
      </w:t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year:</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9860" w:type="dxa"/>
            <w:vAlign w:val="bottom"/>
          </w:tcPr>
          <w:p>
            <w:pPr>
              <w:ind w:left="120"/>
              <w:spacing w:after="0"/>
              <w:rPr>
                <w:sz w:val="20"/>
                <w:szCs w:val="20"/>
                <w:color w:val="auto"/>
              </w:rPr>
            </w:pPr>
            <w:r>
              <w:rPr>
                <w:rFonts w:ascii="Arial" w:cs="Arial" w:eastAsia="Arial" w:hAnsi="Arial"/>
                <w:sz w:val="13"/>
                <w:szCs w:val="13"/>
                <w:color w:val="auto"/>
              </w:rPr>
              <w:t>2021</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47,665</w:t>
            </w:r>
          </w:p>
        </w:tc>
      </w:tr>
      <w:tr>
        <w:trPr>
          <w:trHeight w:val="170"/>
        </w:trPr>
        <w:tc>
          <w:tcPr>
            <w:tcW w:w="9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2022</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38,402</w:t>
            </w:r>
          </w:p>
        </w:tc>
      </w:tr>
      <w:tr>
        <w:trPr>
          <w:trHeight w:val="170"/>
        </w:trPr>
        <w:tc>
          <w:tcPr>
            <w:tcW w:w="9860" w:type="dxa"/>
            <w:vAlign w:val="bottom"/>
          </w:tcPr>
          <w:p>
            <w:pPr>
              <w:ind w:left="120"/>
              <w:spacing w:after="0"/>
              <w:rPr>
                <w:sz w:val="20"/>
                <w:szCs w:val="20"/>
                <w:color w:val="auto"/>
              </w:rPr>
            </w:pPr>
            <w:r>
              <w:rPr>
                <w:rFonts w:ascii="Arial" w:cs="Arial" w:eastAsia="Arial" w:hAnsi="Arial"/>
                <w:sz w:val="13"/>
                <w:szCs w:val="13"/>
                <w:color w:val="auto"/>
              </w:rPr>
              <w:t>2023</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32,569</w:t>
            </w:r>
          </w:p>
        </w:tc>
      </w:tr>
      <w:tr>
        <w:trPr>
          <w:trHeight w:val="170"/>
        </w:trPr>
        <w:tc>
          <w:tcPr>
            <w:tcW w:w="9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27,311</w:t>
            </w:r>
          </w:p>
        </w:tc>
      </w:tr>
      <w:tr>
        <w:trPr>
          <w:trHeight w:val="170"/>
        </w:trPr>
        <w:tc>
          <w:tcPr>
            <w:tcW w:w="9860" w:type="dxa"/>
            <w:vAlign w:val="bottom"/>
          </w:tcPr>
          <w:p>
            <w:pPr>
              <w:ind w:left="120"/>
              <w:spacing w:after="0"/>
              <w:rPr>
                <w:sz w:val="20"/>
                <w:szCs w:val="20"/>
                <w:color w:val="auto"/>
              </w:rPr>
            </w:pPr>
            <w:r>
              <w:rPr>
                <w:rFonts w:ascii="Arial" w:cs="Arial" w:eastAsia="Arial" w:hAnsi="Arial"/>
                <w:sz w:val="13"/>
                <w:szCs w:val="13"/>
                <w:color w:val="auto"/>
              </w:rPr>
              <w:t>2025</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20,291</w:t>
            </w:r>
          </w:p>
        </w:tc>
      </w:tr>
      <w:tr>
        <w:trPr>
          <w:trHeight w:val="170"/>
        </w:trPr>
        <w:tc>
          <w:tcPr>
            <w:tcW w:w="9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Thereafter</w:t>
            </w: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6,900</w:t>
            </w:r>
          </w:p>
        </w:tc>
      </w:tr>
      <w:tr>
        <w:trPr>
          <w:trHeight w:val="160"/>
        </w:trPr>
        <w:tc>
          <w:tcPr>
            <w:tcW w:w="9860" w:type="dxa"/>
            <w:vAlign w:val="bottom"/>
          </w:tcPr>
          <w:p>
            <w:pPr>
              <w:ind w:left="18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173,138</w:t>
            </w:r>
          </w:p>
        </w:tc>
      </w:tr>
      <w:tr>
        <w:trPr>
          <w:trHeight w:val="20"/>
        </w:trPr>
        <w:tc>
          <w:tcPr>
            <w:tcW w:w="9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4.</w:t>
        <w:tab/>
        <w:t>INVENTORY</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Inventory consist of the following:</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340" w:type="dxa"/>
            <w:vAlign w:val="bottom"/>
          </w:tcPr>
          <w:p>
            <w:pPr>
              <w:spacing w:after="0"/>
              <w:rPr>
                <w:sz w:val="10"/>
                <w:szCs w:val="10"/>
                <w:color w:val="auto"/>
              </w:rPr>
            </w:pPr>
          </w:p>
        </w:tc>
        <w:tc>
          <w:tcPr>
            <w:tcW w:w="1100" w:type="dxa"/>
            <w:vAlign w:val="bottom"/>
          </w:tcPr>
          <w:p>
            <w:pPr>
              <w:jc w:val="right"/>
              <w:ind w:right="299"/>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8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2019</w:t>
            </w:r>
          </w:p>
        </w:tc>
      </w:tr>
      <w:tr>
        <w:trPr>
          <w:trHeight w:val="139"/>
        </w:trPr>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Pr>
          <w:p>
            <w:pPr>
              <w:spacing w:after="0"/>
              <w:rPr>
                <w:sz w:val="12"/>
                <w:szCs w:val="12"/>
                <w:color w:val="auto"/>
              </w:rPr>
            </w:pPr>
          </w:p>
        </w:tc>
      </w:tr>
      <w:tr>
        <w:trPr>
          <w:trHeight w:val="170"/>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4,197</w:t>
            </w:r>
          </w:p>
        </w:tc>
      </w:tr>
      <w:tr>
        <w:trPr>
          <w:trHeight w:val="170"/>
        </w:trPr>
        <w:tc>
          <w:tcPr>
            <w:tcW w:w="8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Finished goods</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27,859</w:t>
            </w:r>
          </w:p>
        </w:tc>
      </w:tr>
      <w:tr>
        <w:trPr>
          <w:trHeight w:val="185"/>
        </w:trPr>
        <w:tc>
          <w:tcPr>
            <w:tcW w:w="8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inventory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32,056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370840</wp:posOffset>
            </wp:positionV>
            <wp:extent cx="695960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hanging="275"/>
        <w:spacing w:after="0"/>
        <w:tabs>
          <w:tab w:leader="none" w:pos="2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and equipment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8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Estimated Useful</w:t>
            </w: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60" w:type="dxa"/>
            <w:vAlign w:val="bottom"/>
            <w:tcBorders>
              <w:bottom w:val="single" w:sz="8" w:color="auto"/>
            </w:tcBorders>
          </w:tcPr>
          <w:p>
            <w:pPr>
              <w:spacing w:after="0"/>
              <w:rPr>
                <w:sz w:val="13"/>
                <w:szCs w:val="13"/>
                <w:color w:val="auto"/>
              </w:rPr>
            </w:pPr>
          </w:p>
        </w:tc>
      </w:tr>
      <w:tr>
        <w:trPr>
          <w:trHeight w:val="150"/>
        </w:trPr>
        <w:tc>
          <w:tcPr>
            <w:tcW w:w="628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2019</w:t>
            </w:r>
          </w:p>
        </w:tc>
      </w:tr>
      <w:tr>
        <w:trPr>
          <w:trHeight w:val="139"/>
        </w:trPr>
        <w:tc>
          <w:tcPr>
            <w:tcW w:w="6280" w:type="dxa"/>
            <w:vAlign w:val="bottom"/>
          </w:tcPr>
          <w:p>
            <w:pPr>
              <w:spacing w:after="0"/>
              <w:rPr>
                <w:sz w:val="12"/>
                <w:szCs w:val="12"/>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1"/>
                <w:szCs w:val="11"/>
                <w:i w:val="1"/>
                <w:iCs w:val="1"/>
                <w:color w:val="auto"/>
                <w:w w:val="99"/>
              </w:rPr>
              <w:t>(Years)</w:t>
            </w:r>
          </w:p>
        </w:tc>
        <w:tc>
          <w:tcPr>
            <w:tcW w:w="380" w:type="dxa"/>
            <w:vAlign w:val="bottom"/>
          </w:tcPr>
          <w:p>
            <w:pPr>
              <w:spacing w:after="0"/>
              <w:rPr>
                <w:sz w:val="12"/>
                <w:szCs w:val="12"/>
                <w:color w:val="auto"/>
              </w:rPr>
            </w:pPr>
          </w:p>
        </w:tc>
        <w:tc>
          <w:tcPr>
            <w:tcW w:w="1760" w:type="dxa"/>
            <w:vAlign w:val="bottom"/>
            <w:gridSpan w:val="3"/>
          </w:tcPr>
          <w:p>
            <w:pPr>
              <w:jc w:val="right"/>
              <w:ind w:right="116"/>
              <w:spacing w:after="0"/>
              <w:rPr>
                <w:sz w:val="20"/>
                <w:szCs w:val="20"/>
                <w:color w:val="auto"/>
              </w:rPr>
            </w:pPr>
            <w:r>
              <w:rPr>
                <w:rFonts w:ascii="Arial" w:cs="Arial" w:eastAsia="Arial" w:hAnsi="Arial"/>
                <w:sz w:val="11"/>
                <w:szCs w:val="11"/>
                <w:i w:val="1"/>
                <w:iCs w:val="1"/>
                <w:color w:val="auto"/>
              </w:rPr>
              <w:t>(In thousands)</w:t>
            </w:r>
          </w:p>
        </w:tc>
        <w:tc>
          <w:tcPr>
            <w:tcW w:w="1060" w:type="dxa"/>
            <w:vAlign w:val="bottom"/>
          </w:tcPr>
          <w:p>
            <w:pPr>
              <w:spacing w:after="0"/>
              <w:rPr>
                <w:sz w:val="12"/>
                <w:szCs w:val="12"/>
                <w:color w:val="auto"/>
              </w:rPr>
            </w:pPr>
          </w:p>
        </w:tc>
      </w:tr>
      <w:tr>
        <w:trPr>
          <w:trHeight w:val="170"/>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and machinery</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63,411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48,114</w:t>
            </w:r>
          </w:p>
        </w:tc>
      </w:tr>
      <w:tr>
        <w:trPr>
          <w:trHeight w:val="170"/>
        </w:trPr>
        <w:tc>
          <w:tcPr>
            <w:tcW w:w="628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1720" w:type="dxa"/>
            <w:vAlign w:val="bottom"/>
          </w:tcPr>
          <w:p>
            <w:pPr>
              <w:jc w:val="center"/>
              <w:spacing w:after="0"/>
              <w:rPr>
                <w:sz w:val="20"/>
                <w:szCs w:val="20"/>
                <w:color w:val="auto"/>
              </w:rPr>
            </w:pPr>
            <w:r>
              <w:rPr>
                <w:rFonts w:ascii="Arial" w:cs="Arial" w:eastAsia="Arial" w:hAnsi="Arial"/>
                <w:sz w:val="13"/>
                <w:szCs w:val="13"/>
                <w:color w:val="auto"/>
                <w:w w:val="92"/>
              </w:rPr>
              <w:t>5-10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2,404</w:t>
            </w:r>
          </w:p>
        </w:tc>
      </w:tr>
      <w:tr>
        <w:trPr>
          <w:trHeight w:val="170"/>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r>
      <w:tr>
        <w:trPr>
          <w:trHeight w:val="170"/>
        </w:trPr>
        <w:tc>
          <w:tcPr>
            <w:tcW w:w="6280" w:type="dxa"/>
            <w:vAlign w:val="bottom"/>
          </w:tcPr>
          <w:p>
            <w:pPr>
              <w:ind w:left="20"/>
              <w:spacing w:after="0"/>
              <w:rPr>
                <w:sz w:val="20"/>
                <w:szCs w:val="20"/>
                <w:color w:val="auto"/>
              </w:rPr>
            </w:pPr>
            <w:r>
              <w:rPr>
                <w:rFonts w:ascii="Arial" w:cs="Arial" w:eastAsia="Arial" w:hAnsi="Arial"/>
                <w:sz w:val="13"/>
                <w:szCs w:val="13"/>
                <w:color w:val="auto"/>
              </w:rPr>
              <w:t>Capitalized software costs</w:t>
            </w:r>
          </w:p>
        </w:tc>
        <w:tc>
          <w:tcPr>
            <w:tcW w:w="1720" w:type="dxa"/>
            <w:vAlign w:val="bottom"/>
          </w:tcPr>
          <w:p>
            <w:pPr>
              <w:jc w:val="center"/>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17,004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11,656</w:t>
            </w:r>
          </w:p>
        </w:tc>
      </w:tr>
      <w:tr>
        <w:trPr>
          <w:trHeight w:val="170"/>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1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8,713</w:t>
            </w:r>
          </w:p>
        </w:tc>
      </w:tr>
      <w:tr>
        <w:trPr>
          <w:trHeight w:val="17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process</w:t>
            </w:r>
          </w:p>
        </w:tc>
        <w:tc>
          <w:tcPr>
            <w:tcW w:w="1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8,446</w:t>
            </w:r>
          </w:p>
        </w:tc>
      </w:tr>
      <w:tr>
        <w:trPr>
          <w:trHeight w:val="160"/>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104,687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81,031</w:t>
            </w:r>
          </w:p>
        </w:tc>
      </w:tr>
      <w:tr>
        <w:trPr>
          <w:trHeight w:val="170"/>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accumulated depreciation and amortization</w:t>
            </w:r>
          </w:p>
        </w:tc>
        <w:tc>
          <w:tcPr>
            <w:tcW w:w="1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(61,702)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(52,095)</w:t>
            </w:r>
          </w:p>
        </w:tc>
      </w:tr>
      <w:tr>
        <w:trPr>
          <w:trHeight w:val="18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1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42,985</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expense for property and equipment for the years ended December 31, 2020, 2019 and 2018 was $9.7 million, $7.3 million and $8.3 million, respectively.</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2020 and 2019, unamortized capitalized software costs were $4.8 million and $0.8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347345</wp:posOffset>
            </wp:positionV>
            <wp:extent cx="695960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hanging="275"/>
        <w:spacing w:after="0"/>
        <w:tabs>
          <w:tab w:leader="none" w:pos="28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INTANGIBLE ASSETS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Company’s goodwill and purchased intangible assets as of December 31, 2020 and December 31, 2019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520"/>
              <w:spacing w:after="0"/>
              <w:rPr>
                <w:sz w:val="20"/>
                <w:szCs w:val="20"/>
                <w:color w:val="auto"/>
              </w:rPr>
            </w:pPr>
            <w:r>
              <w:rPr>
                <w:rFonts w:ascii="Arial" w:cs="Arial" w:eastAsia="Arial" w:hAnsi="Arial"/>
                <w:sz w:val="11"/>
                <w:szCs w:val="11"/>
                <w:b w:val="1"/>
                <w:bCs w:val="1"/>
                <w:color w:val="auto"/>
              </w:rPr>
              <w:t>December 31, 2020</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2019</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Gross</w:t>
            </w:r>
          </w:p>
        </w:tc>
        <w:tc>
          <w:tcPr>
            <w:tcW w:w="220" w:type="dxa"/>
            <w:vAlign w:val="bottom"/>
          </w:tcPr>
          <w:p>
            <w:pPr>
              <w:spacing w:after="0"/>
              <w:rPr>
                <w:sz w:val="7"/>
                <w:szCs w:val="7"/>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Additions</w:t>
            </w:r>
          </w:p>
        </w:tc>
        <w:tc>
          <w:tcPr>
            <w:tcW w:w="200" w:type="dxa"/>
            <w:vAlign w:val="bottom"/>
          </w:tcPr>
          <w:p>
            <w:pPr>
              <w:spacing w:after="0"/>
              <w:rPr>
                <w:sz w:val="7"/>
                <w:szCs w:val="7"/>
                <w:color w:val="auto"/>
              </w:rPr>
            </w:pPr>
          </w:p>
        </w:tc>
        <w:tc>
          <w:tcPr>
            <w:tcW w:w="1100" w:type="dxa"/>
            <w:vAlign w:val="bottom"/>
            <w:gridSpan w:val="2"/>
          </w:tcPr>
          <w:p>
            <w:pPr>
              <w:ind w:left="100"/>
              <w:spacing w:after="0" w:line="86" w:lineRule="exact"/>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9"/>
              </w:rPr>
              <w:t>Net</w:t>
            </w:r>
          </w:p>
        </w:tc>
        <w:tc>
          <w:tcPr>
            <w:tcW w:w="260" w:type="dxa"/>
            <w:vAlign w:val="bottom"/>
          </w:tcPr>
          <w:p>
            <w:pPr>
              <w:spacing w:after="0"/>
              <w:rPr>
                <w:sz w:val="7"/>
                <w:szCs w:val="7"/>
                <w:color w:val="auto"/>
              </w:rPr>
            </w:pPr>
          </w:p>
        </w:tc>
        <w:tc>
          <w:tcPr>
            <w:tcW w:w="960" w:type="dxa"/>
            <w:vAlign w:val="bottom"/>
            <w:vMerge w:val="restart"/>
          </w:tcPr>
          <w:p>
            <w:pPr>
              <w:jc w:val="right"/>
              <w:ind w:right="419"/>
              <w:spacing w:after="0"/>
              <w:rPr>
                <w:sz w:val="20"/>
                <w:szCs w:val="20"/>
                <w:color w:val="auto"/>
              </w:rPr>
            </w:pPr>
            <w:r>
              <w:rPr>
                <w:rFonts w:ascii="Arial" w:cs="Arial" w:eastAsia="Arial" w:hAnsi="Arial"/>
                <w:sz w:val="10"/>
                <w:szCs w:val="10"/>
                <w:b w:val="1"/>
                <w:bCs w:val="1"/>
                <w:color w:val="auto"/>
              </w:rPr>
              <w:t>Gross</w:t>
            </w:r>
          </w:p>
        </w:tc>
        <w:tc>
          <w:tcPr>
            <w:tcW w:w="160" w:type="dxa"/>
            <w:vAlign w:val="bottom"/>
          </w:tcPr>
          <w:p>
            <w:pPr>
              <w:spacing w:after="0"/>
              <w:rPr>
                <w:sz w:val="7"/>
                <w:szCs w:val="7"/>
                <w:color w:val="auto"/>
              </w:rPr>
            </w:pPr>
          </w:p>
        </w:tc>
        <w:tc>
          <w:tcPr>
            <w:tcW w:w="1200" w:type="dxa"/>
            <w:vAlign w:val="bottom"/>
            <w:gridSpan w:val="2"/>
          </w:tcPr>
          <w:p>
            <w:pPr>
              <w:jc w:val="center"/>
              <w:ind w:right="180"/>
              <w:spacing w:after="0" w:line="86" w:lineRule="exact"/>
              <w:rPr>
                <w:sz w:val="20"/>
                <w:szCs w:val="20"/>
                <w:color w:val="auto"/>
              </w:rPr>
            </w:pPr>
            <w:r>
              <w:rPr>
                <w:rFonts w:ascii="Arial" w:cs="Arial" w:eastAsia="Arial" w:hAnsi="Arial"/>
                <w:sz w:val="9"/>
                <w:szCs w:val="9"/>
                <w:b w:val="1"/>
                <w:bCs w:val="1"/>
                <w:color w:val="auto"/>
              </w:rPr>
              <w:t>Accumulated</w:t>
            </w:r>
          </w:p>
        </w:tc>
        <w:tc>
          <w:tcPr>
            <w:tcW w:w="300" w:type="dxa"/>
            <w:vAlign w:val="bottom"/>
          </w:tcPr>
          <w:p>
            <w:pPr>
              <w:spacing w:after="0"/>
              <w:rPr>
                <w:sz w:val="7"/>
                <w:szCs w:val="7"/>
                <w:color w:val="auto"/>
              </w:rPr>
            </w:pPr>
          </w:p>
        </w:tc>
        <w:tc>
          <w:tcPr>
            <w:tcW w:w="900" w:type="dxa"/>
            <w:vAlign w:val="bottom"/>
            <w:vMerge w:val="restart"/>
          </w:tcPr>
          <w:p>
            <w:pPr>
              <w:jc w:val="right"/>
              <w:ind w:right="459"/>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Amortization</w:t>
            </w: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rPr>
              <w:t>Amortization</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24,783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24,783</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180"/>
              <w:spacing w:after="0"/>
              <w:rPr>
                <w:sz w:val="20"/>
                <w:szCs w:val="20"/>
                <w:color w:val="auto"/>
              </w:rPr>
            </w:pPr>
            <w:r>
              <w:rPr>
                <w:rFonts w:ascii="Arial" w:cs="Arial" w:eastAsia="Arial" w:hAnsi="Arial"/>
                <w:sz w:val="13"/>
                <w:szCs w:val="13"/>
                <w:color w:val="auto"/>
              </w:rPr>
              <w:t>Other indefinite-lived intangibles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3"/>
                <w:szCs w:val="13"/>
                <w:color w:val="auto"/>
              </w:rPr>
              <w:t>286</w:t>
            </w:r>
          </w:p>
        </w:tc>
        <w:tc>
          <w:tcPr>
            <w:tcW w:w="160" w:type="dxa"/>
            <w:vAlign w:val="bottom"/>
          </w:tcPr>
          <w:p>
            <w:pPr>
              <w:spacing w:after="0"/>
              <w:rPr>
                <w:sz w:val="14"/>
                <w:szCs w:val="14"/>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Intangible assets with finite lives: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180"/>
              <w:spacing w:after="0"/>
              <w:rPr>
                <w:sz w:val="20"/>
                <w:szCs w:val="20"/>
                <w:color w:val="auto"/>
              </w:rPr>
            </w:pPr>
            <w:r>
              <w:rPr>
                <w:rFonts w:ascii="Arial" w:cs="Arial" w:eastAsia="Arial" w:hAnsi="Arial"/>
                <w:sz w:val="13"/>
                <w:szCs w:val="13"/>
                <w:color w:val="auto"/>
              </w:rPr>
              <w:t>Developed technology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3"/>
                <w:szCs w:val="13"/>
                <w:color w:val="auto"/>
              </w:rPr>
              <w:t>13,100</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10,007</w:t>
            </w:r>
          </w:p>
        </w:tc>
        <w:tc>
          <w:tcPr>
            <w:tcW w:w="0" w:type="dxa"/>
            <w:vAlign w:val="bottom"/>
          </w:tcPr>
          <w:p>
            <w:pPr>
              <w:spacing w:after="0"/>
              <w:rPr>
                <w:sz w:val="1"/>
                <w:szCs w:val="1"/>
                <w:color w:val="auto"/>
              </w:rPr>
            </w:pPr>
          </w:p>
        </w:tc>
      </w:tr>
      <w:tr>
        <w:trPr>
          <w:trHeight w:val="170"/>
        </w:trPr>
        <w:tc>
          <w:tcPr>
            <w:tcW w:w="2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Customer relationships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20,698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23,100</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20,286</w:t>
            </w:r>
          </w:p>
        </w:tc>
        <w:tc>
          <w:tcPr>
            <w:tcW w:w="0" w:type="dxa"/>
            <w:vAlign w:val="bottom"/>
          </w:tcPr>
          <w:p>
            <w:pPr>
              <w:spacing w:after="0"/>
              <w:rPr>
                <w:sz w:val="1"/>
                <w:szCs w:val="1"/>
                <w:color w:val="auto"/>
              </w:rPr>
            </w:pPr>
          </w:p>
        </w:tc>
      </w:tr>
      <w:tr>
        <w:trPr>
          <w:trHeight w:val="160"/>
        </w:trPr>
        <w:tc>
          <w:tcPr>
            <w:tcW w:w="2320" w:type="dxa"/>
            <w:vAlign w:val="bottom"/>
          </w:tcPr>
          <w:p>
            <w:pPr>
              <w:ind w:left="340"/>
              <w:spacing w:after="0"/>
              <w:rPr>
                <w:sz w:val="20"/>
                <w:szCs w:val="20"/>
                <w:color w:val="auto"/>
              </w:rPr>
            </w:pPr>
            <w:r>
              <w:rPr>
                <w:rFonts w:ascii="Arial" w:cs="Arial" w:eastAsia="Arial" w:hAnsi="Arial"/>
                <w:sz w:val="13"/>
                <w:szCs w:val="13"/>
                <w:color w:val="auto"/>
              </w:rPr>
              <w:t>Total purchased intangible assets</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36,486</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(10,999)</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28,808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36,486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30,579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80"/>
          </w:cols>
          <w:pgMar w:left="300" w:top="208" w:right="319" w:bottom="1440" w:gutter="0" w:footer="0" w:header="0"/>
        </w:sectPr>
      </w:pPr>
    </w:p>
    <w:p>
      <w:pPr>
        <w:spacing w:after="0"/>
        <w:rPr>
          <w:sz w:val="20"/>
          <w:szCs w:val="20"/>
          <w:color w:val="auto"/>
        </w:rPr>
      </w:pPr>
      <w:r>
        <w:rPr>
          <w:rFonts w:ascii="Arial" w:cs="Arial" w:eastAsia="Arial" w:hAnsi="Arial"/>
          <w:sz w:val="14"/>
          <w:szCs w:val="14"/>
          <w:color w:val="auto"/>
        </w:rPr>
        <w:t>Amortization expense related to finite-lived intangible assets are as follows:</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Developed technology, and patents and licensed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079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amortization expense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2019</w:t>
            </w:r>
          </w:p>
        </w:tc>
      </w:tr>
      <w:tr>
        <w:trPr>
          <w:trHeight w:val="135"/>
        </w:trPr>
        <w:tc>
          <w:tcPr>
            <w:tcW w:w="360" w:type="dxa"/>
            <w:vAlign w:val="bottom"/>
          </w:tcPr>
          <w:p>
            <w:pPr>
              <w:spacing w:after="0"/>
              <w:rPr>
                <w:sz w:val="11"/>
                <w:szCs w:val="11"/>
                <w:color w:val="auto"/>
              </w:rPr>
            </w:pPr>
          </w:p>
        </w:tc>
        <w:tc>
          <w:tcPr>
            <w:tcW w:w="1700" w:type="dxa"/>
            <w:vAlign w:val="bottom"/>
            <w:gridSpan w:val="3"/>
          </w:tcPr>
          <w:p>
            <w:pPr>
              <w:jc w:val="right"/>
              <w:ind w:right="76"/>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Pr>
          <w:p>
            <w:pPr>
              <w:spacing w:after="0"/>
              <w:rPr>
                <w:sz w:val="11"/>
                <w:szCs w:val="11"/>
                <w:color w:val="auto"/>
              </w:rPr>
            </w:pPr>
          </w:p>
        </w:tc>
      </w:tr>
      <w:tr>
        <w:trPr>
          <w:trHeight w:val="170"/>
        </w:trPr>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2,183</w:t>
            </w:r>
          </w:p>
        </w:tc>
        <w:tc>
          <w:tcPr>
            <w:tcW w:w="1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2,184</w:t>
            </w:r>
          </w:p>
        </w:tc>
      </w:tr>
      <w:tr>
        <w:trPr>
          <w:trHeight w:val="172"/>
        </w:trPr>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2,909</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2,543</w:t>
            </w:r>
          </w:p>
        </w:tc>
      </w:tr>
      <w:tr>
        <w:trPr>
          <w:trHeight w:val="162"/>
        </w:trPr>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7460" w:space="720"/>
            <w:col w:w="3100"/>
          </w:cols>
          <w:pgMar w:left="300" w:top="208" w:right="319" w:bottom="1440" w:gutter="0" w:footer="0" w:header="0"/>
          <w:type w:val="continuous"/>
        </w:sectPr>
      </w:pPr>
    </w:p>
    <w:p>
      <w:pPr>
        <w:jc w:val="both"/>
        <w:ind w:firstLine="382"/>
        <w:spacing w:after="0" w:line="267" w:lineRule="auto"/>
        <w:rPr>
          <w:sz w:val="20"/>
          <w:szCs w:val="20"/>
          <w:color w:val="auto"/>
        </w:rPr>
      </w:pPr>
      <w:r>
        <w:rPr>
          <w:rFonts w:ascii="Arial" w:cs="Arial" w:eastAsia="Arial" w:hAnsi="Arial"/>
          <w:sz w:val="14"/>
          <w:szCs w:val="14"/>
          <w:color w:val="auto"/>
        </w:rPr>
        <w:t>Amortization of developed technology, patents and licensed technology is recorded to sales and marketing expense. The developed technology acquired from the Company’s acquisition of SunPower Corporation’s (“SunPower”) microinverter business in August 2018 was embedded in the microinverters that SunPower sold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4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master supply agreement (“MSA”) entered into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SunPower’s microinverter business by the Company. As the original $23.1 million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 During the fourth quarter of 2020, the Company signed an amendment to the MSA which increased the period of exclusive right to supply by another three months, and the associated incremental non-cash $3.3 million fair value of equity is added to the customer relationship intangible asset will follow the same amortization pattern.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314325</wp:posOffset>
            </wp:positionV>
            <wp:extent cx="695960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ACCRUED LIABILITIES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liabilities consist of the following:</w:t>
      </w:r>
    </w:p>
    <w:p>
      <w:pPr>
        <w:spacing w:after="0" w:line="113" w:lineRule="exact"/>
        <w:rPr>
          <w:sz w:val="20"/>
          <w:szCs w:val="20"/>
          <w:color w:val="auto"/>
        </w:rPr>
      </w:pPr>
    </w:p>
    <w:tbl>
      <w:tblPr>
        <w:tblLayout w:type="fixed"/>
        <w:tblInd w:w="8220" w:type="dxa"/>
        <w:tblCellMar>
          <w:top w:w="0" w:type="dxa"/>
          <w:left w:w="0" w:type="dxa"/>
          <w:bottom w:w="0" w:type="dxa"/>
          <w:right w:w="0" w:type="dxa"/>
        </w:tblCellMar>
      </w:tblPr>
      <w:tr>
        <w:trPr>
          <w:trHeight w:val="126"/>
        </w:trPr>
        <w:tc>
          <w:tcPr>
            <w:tcW w:w="1140" w:type="dxa"/>
            <w:vAlign w:val="bottom"/>
          </w:tcPr>
          <w:p>
            <w:pPr>
              <w:jc w:val="center"/>
              <w:ind w:left="283"/>
              <w:spacing w:after="0"/>
              <w:rPr>
                <w:sz w:val="20"/>
                <w:szCs w:val="20"/>
                <w:color w:val="auto"/>
              </w:rPr>
            </w:pPr>
            <w:r>
              <w:rPr>
                <w:rFonts w:ascii="Arial" w:cs="Arial" w:eastAsia="Arial" w:hAnsi="Arial"/>
                <w:sz w:val="11"/>
                <w:szCs w:val="11"/>
                <w:b w:val="1"/>
                <w:bCs w:val="1"/>
                <w:color w:val="auto"/>
              </w:rPr>
              <w:t>December 31,</w:t>
            </w:r>
          </w:p>
        </w:tc>
        <w:tc>
          <w:tcPr>
            <w:tcW w:w="1920" w:type="dxa"/>
            <w:vAlign w:val="bottom"/>
          </w:tcPr>
          <w:p>
            <w:pPr>
              <w:jc w:val="center"/>
              <w:ind w:left="383"/>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11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2020</w:t>
            </w:r>
          </w:p>
        </w:tc>
        <w:tc>
          <w:tcPr>
            <w:tcW w:w="19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2019</w:t>
            </w:r>
          </w:p>
        </w:tc>
      </w:tr>
      <w:tr>
        <w:trPr>
          <w:trHeight w:val="143"/>
        </w:trPr>
        <w:tc>
          <w:tcPr>
            <w:tcW w:w="1140" w:type="dxa"/>
            <w:vAlign w:val="bottom"/>
          </w:tcPr>
          <w:p>
            <w:pPr>
              <w:spacing w:after="0"/>
              <w:rPr>
                <w:sz w:val="12"/>
                <w:szCs w:val="12"/>
                <w:color w:val="auto"/>
              </w:rPr>
            </w:pPr>
          </w:p>
        </w:tc>
        <w:tc>
          <w:tcPr>
            <w:tcW w:w="192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143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p>
      <w:pPr>
        <w:ind w:left="20" w:right="1980"/>
        <w:spacing w:after="0" w:line="295" w:lineRule="auto"/>
        <w:rPr>
          <w:sz w:val="20"/>
          <w:szCs w:val="20"/>
          <w:color w:val="auto"/>
        </w:rPr>
      </w:pPr>
      <w:r>
        <w:rPr>
          <w:rFonts w:ascii="Arial" w:cs="Arial" w:eastAsia="Arial" w:hAnsi="Arial"/>
          <w:sz w:val="14"/>
          <w:szCs w:val="14"/>
          <w:color w:val="auto"/>
        </w:rPr>
        <w:t>Salaries, commissions, incentive compensation and benefits Customer rebates and sales incentives Freight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liabilities, current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Liability due to supply agreements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 accrued liabilities</w:t>
      </w:r>
    </w:p>
    <w:p>
      <w:pPr>
        <w:spacing w:after="0" w:line="261" w:lineRule="exact"/>
        <w:rPr>
          <w:sz w:val="20"/>
          <w:szCs w:val="20"/>
          <w:color w:val="auto"/>
        </w:rPr>
      </w:pPr>
    </w:p>
    <w:p>
      <w:pPr>
        <w:ind w:left="280" w:hanging="275"/>
        <w:spacing w:after="0"/>
        <w:tabs>
          <w:tab w:leader="none" w:pos="2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WARRANTY OBLIGATIONS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Company’s warranty activities were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720" w:type="dxa"/>
        <w:tblCellMar>
          <w:top w:w="0" w:type="dxa"/>
          <w:left w:w="0" w:type="dxa"/>
          <w:bottom w:w="0" w:type="dxa"/>
          <w:right w:w="0" w:type="dxa"/>
        </w:tblCellMar>
      </w:tblPr>
      <w:tr>
        <w:trPr>
          <w:trHeight w:val="171"/>
        </w:trPr>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6,634</w:t>
            </w:r>
          </w:p>
        </w:tc>
        <w:tc>
          <w:tcPr>
            <w:tcW w:w="100" w:type="dxa"/>
            <w:vAlign w:val="bottom"/>
          </w:tcPr>
          <w:p>
            <w:pPr>
              <w:spacing w:after="0"/>
              <w:rPr>
                <w:sz w:val="14"/>
                <w:szCs w:val="14"/>
                <w:color w:val="auto"/>
              </w:rPr>
            </w:pPr>
          </w:p>
        </w:tc>
        <w:tc>
          <w:tcPr>
            <w:tcW w:w="560" w:type="dxa"/>
            <w:vAlign w:val="bottom"/>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5,524</w:t>
            </w:r>
          </w:p>
        </w:tc>
      </w:tr>
      <w:tr>
        <w:trPr>
          <w:trHeight w:val="180"/>
        </w:trPr>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36,622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24,198</w:t>
            </w:r>
          </w:p>
        </w:tc>
      </w:tr>
      <w:tr>
        <w:trPr>
          <w:trHeight w:val="180"/>
        </w:trPr>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4,908</w:t>
            </w:r>
          </w:p>
        </w:tc>
      </w:tr>
      <w:tr>
        <w:trPr>
          <w:trHeight w:val="180"/>
        </w:trPr>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4,542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3,170</w:t>
            </w:r>
          </w:p>
        </w:tc>
      </w:tr>
      <w:tr>
        <w:trPr>
          <w:trHeight w:val="180"/>
        </w:trPr>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1,729</w:t>
            </w:r>
          </w:p>
        </w:tc>
      </w:tr>
      <w:tr>
        <w:trPr>
          <w:trHeight w:val="182"/>
        </w:trPr>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12,944</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7,563</w:t>
            </w:r>
          </w:p>
        </w:tc>
      </w:tr>
      <w:tr>
        <w:trPr>
          <w:trHeight w:val="162"/>
        </w:trPr>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76,542</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47,092</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-598805</wp:posOffset>
            </wp:positionV>
            <wp:extent cx="7161530" cy="114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-370205</wp:posOffset>
            </wp:positionV>
            <wp:extent cx="7161530" cy="1143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-140970</wp:posOffset>
            </wp:positionV>
            <wp:extent cx="7161530" cy="128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60"/>
        <w:spacing w:after="0"/>
        <w:rPr>
          <w:sz w:val="20"/>
          <w:szCs w:val="20"/>
          <w:color w:val="auto"/>
        </w:rPr>
      </w:pPr>
      <w:r>
        <w:rPr>
          <w:rFonts w:ascii="Arial" w:cs="Arial" w:eastAsia="Arial" w:hAnsi="Arial"/>
          <w:sz w:val="11"/>
          <w:szCs w:val="11"/>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4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2020</w:t>
            </w:r>
          </w:p>
        </w:tc>
        <w:tc>
          <w:tcPr>
            <w:tcW w:w="186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2019</w:t>
            </w:r>
          </w:p>
        </w:tc>
        <w:tc>
          <w:tcPr>
            <w:tcW w:w="14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2018</w:t>
            </w:r>
          </w:p>
        </w:tc>
      </w:tr>
      <w:tr>
        <w:trPr>
          <w:trHeight w:val="139"/>
        </w:trPr>
        <w:tc>
          <w:tcPr>
            <w:tcW w:w="1480" w:type="dxa"/>
            <w:vAlign w:val="bottom"/>
          </w:tcPr>
          <w:p>
            <w:pPr>
              <w:spacing w:after="0"/>
              <w:rPr>
                <w:sz w:val="12"/>
                <w:szCs w:val="12"/>
                <w:color w:val="auto"/>
              </w:rPr>
            </w:pPr>
          </w:p>
        </w:tc>
        <w:tc>
          <w:tcPr>
            <w:tcW w:w="1860" w:type="dxa"/>
            <w:vAlign w:val="bottom"/>
          </w:tcPr>
          <w:p>
            <w:pPr>
              <w:jc w:val="right"/>
              <w:ind w:right="523"/>
              <w:spacing w:after="0"/>
              <w:rPr>
                <w:sz w:val="20"/>
                <w:szCs w:val="20"/>
                <w:color w:val="auto"/>
              </w:rPr>
            </w:pPr>
            <w:r>
              <w:rPr>
                <w:rFonts w:ascii="Arial" w:cs="Arial" w:eastAsia="Arial" w:hAnsi="Arial"/>
                <w:sz w:val="11"/>
                <w:szCs w:val="11"/>
                <w:i w:val="1"/>
                <w:iCs w:val="1"/>
                <w:color w:val="auto"/>
              </w:rPr>
              <w:t>(In thousands)</w:t>
            </w:r>
          </w:p>
        </w:tc>
        <w:tc>
          <w:tcPr>
            <w:tcW w:w="144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5780" w:space="720"/>
            <w:col w:w="4780"/>
          </w:cols>
          <w:pgMar w:left="300" w:top="250" w:right="31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 beginning of period</w:t>
            </w: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37,098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29,816</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Accruals for warranties issued during period</w:t>
            </w: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5,244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3,040</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estimates</w:t>
            </w: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6,515</w:t>
            </w:r>
          </w:p>
        </w:tc>
      </w:tr>
      <w:tr>
        <w:trPr>
          <w:trHeight w:val="170"/>
        </w:trPr>
        <w:tc>
          <w:tcPr>
            <w:tcW w:w="6500" w:type="dxa"/>
            <w:vAlign w:val="bottom"/>
          </w:tcPr>
          <w:p>
            <w:pPr>
              <w:ind w:left="180"/>
              <w:spacing w:after="0"/>
              <w:rPr>
                <w:sz w:val="20"/>
                <w:szCs w:val="20"/>
                <w:color w:val="auto"/>
              </w:rPr>
            </w:pPr>
            <w:r>
              <w:rPr>
                <w:rFonts w:ascii="Arial" w:cs="Arial" w:eastAsia="Arial" w:hAnsi="Arial"/>
                <w:sz w:val="13"/>
                <w:szCs w:val="13"/>
                <w:color w:val="auto"/>
              </w:rPr>
              <w:t>Settlements</w:t>
            </w: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(12,811)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(10,881)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(8,579)</w:t>
            </w:r>
          </w:p>
        </w:tc>
      </w:tr>
      <w:tr>
        <w:trPr>
          <w:trHeight w:val="170"/>
        </w:trPr>
        <w:tc>
          <w:tcPr>
            <w:tcW w:w="6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Increase due to accretion expense</w:t>
            </w: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r>
      <w:tr>
        <w:trPr>
          <w:trHeight w:val="170"/>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(1,487)</w:t>
            </w:r>
          </w:p>
        </w:tc>
      </w:tr>
      <w:tr>
        <w:trPr>
          <w:trHeight w:val="16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obligations, end of period</w:t>
            </w:r>
          </w:p>
        </w:tc>
        <w:tc>
          <w:tcPr>
            <w:tcW w:w="5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45,913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37,098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31,294</w:t>
            </w:r>
          </w:p>
        </w:tc>
      </w:tr>
      <w:tr>
        <w:trPr>
          <w:trHeight w:val="17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current portion</w:t>
            </w: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(8,083)</w:t>
            </w:r>
          </w:p>
        </w:tc>
      </w:tr>
      <w:tr>
        <w:trPr>
          <w:trHeight w:val="18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34,653</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27,020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23,211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Estimates</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2020, the Company recorded a $8.8 million increase to warranty expense based on continuing analysis of field performance data and diagnostic root-cause failure analysis primarily relating to its prior generation products. The Company also recorded additional warranty expense of $1.2 million related to unit costs for prior generation microinverter replacement driven by tariffs and labor reimbursement costs expected to be paid to third party installers performing replacement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69596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2019, the Company recorded a $5.5 million increase to warranty expense related to cost increases primarily driven by increased U.S. tariffs announced during 2019 for its products manufactured in China. The Company also recorded additional warranty expense of $3.1 million based on continuing analysis of field performance data and diagnostic root-cause failure analysis primarily relating to its second and third generation products, partially offset by improved failure rates for its IQ7 series.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w:t>
      </w:r>
    </w:p>
    <w:p>
      <w:pPr>
        <w:spacing w:after="0" w:line="92"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In 2018, the Company recorded a $0.9 million increase to warranty expense related to cost increases primarily for backwards compatibility cables, supply constrained inventory components as well as tariffs. The Company also recorded additional warranty expense of $3.3 million based on continuing analysis of field performance data and diagnostic root-cause failure analysis primarily relating to its second and third generation products. In addition, the Company recorded an increase of $ 2.1 million related to increased estimated claim rates and an increase to warranty expense of $ 0.2 million for labor reimbursement costs expected to be paid to third party installers performing replacement services. These increases were partially offset by a $1.5 million reduction to warranty expense, presented as “Other” in the table above, related to changes in the discount rates for fair value accounting.</w:t>
      </w:r>
    </w:p>
    <w:p>
      <w:pPr>
        <w:spacing w:after="0" w:line="369" w:lineRule="exact"/>
        <w:rPr>
          <w:sz w:val="20"/>
          <w:szCs w:val="20"/>
          <w:color w:val="auto"/>
        </w:rPr>
      </w:pPr>
    </w:p>
    <w:p>
      <w:pPr>
        <w:ind w:left="280" w:hanging="275"/>
        <w:spacing w:after="0"/>
        <w:tabs>
          <w:tab w:leader="none" w:pos="2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3" w:lineRule="exact"/>
        <w:rPr>
          <w:sz w:val="20"/>
          <w:szCs w:val="20"/>
          <w:color w:val="auto"/>
        </w:rPr>
      </w:pPr>
    </w:p>
    <w:p>
      <w:pPr>
        <w:ind w:left="640" w:hanging="253"/>
        <w:spacing w:after="0" w:line="296" w:lineRule="auto"/>
        <w:tabs>
          <w:tab w:leader="none" w:pos="636"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Level 2 - Valuations based on one or more quoted prices in markets that are not active or for which all significant inputs are observable, either directly or indirectly.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Level 3 - Valuations based on inputs that are unobservable and significant to the overall fair value measurement.</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b w:val="1"/>
          <w:bCs w:val="1"/>
          <w:i w:val="1"/>
          <w:iCs w:val="1"/>
          <w:color w:val="auto"/>
        </w:rPr>
        <w:t xml:space="preserve">Level 1. </w:t>
      </w:r>
      <w:r>
        <w:rPr>
          <w:rFonts w:ascii="Arial" w:cs="Arial" w:eastAsia="Arial" w:hAnsi="Arial"/>
          <w:sz w:val="14"/>
          <w:szCs w:val="14"/>
          <w:color w:val="auto"/>
        </w:rPr>
        <w:t>The Company considers all highly liquid investments, such as certificates of deposit and money market instruments with maturities of three months or less at the time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acquisition to be cash equivalents. For all periods presented, its cash balances consist of amounts held in non-interest-bearing and interest-bearing deposits and money market accounts and are within Level 1 of the fair value hierarchy because they are valued using quoted market prices for identical instruments in active markets. As of December 31, 2020, cash and cash equivalents balance includes money market funds of $654.7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311785</wp:posOffset>
            </wp:positionV>
            <wp:extent cx="695960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Level 2.</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Convertible Notes due 2025 Derivatives.</w:t>
      </w:r>
    </w:p>
    <w:p>
      <w:pPr>
        <w:spacing w:after="0" w:line="9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On March 9, 2020, the Company issued $320 million aggregate principal amount of 0.25% convertible senior notes due 2025 (the “Notes due 2025”). Concurrently with the issuance of Notes due 2025, the Company entered into privately-negotiated convertible note hedge and warrant transactions which in combination are intended to reduce the potential dilution from the conversion of the Notes due 2025. On May 20, 2020, at the Company’s annual meeting of stockholders, the stockholders approved an amendment to its certificate of incorporation to increase the number of authorized shares of the Company’s common stock. As a result, the Company satisfied the share reservation condition (as defined in the relevant indenture associated with the Notes due 2025). The Company will now be able to settle the Notes due 2025, convertible notes hedge and warrants through payment or delivery, as the case may be, of cash, shares of its common stock or a combination thereof, at the Company’s election. Accordingly, on May 20, 2020, the embedded derivative liability, convertible notes hedge and warrants liability were remeasured at a fair value of $116.3 million, $117.1 million and $96.4 million, respectively, and were then reclassified to additional paid-in-capital in the condensed consolidated balance sheet in the second quarter of 2020 and are no longer remeasured as long as they continue to meet the conditions for equity classification. See Note 11. “Debt” for additional information related to these transactions.</w:t>
      </w:r>
    </w:p>
    <w:p>
      <w:pPr>
        <w:spacing w:after="0" w:line="55"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fair value of the Convertible notes embedded derivative was estimated using Binomial Lattice model and the fair value of Convertible notes hedge and Warrants liability was estimated using Black-Scholes-Merton model. The significant observable inputs, either directly or indirectly, and assumptions used in the models to calculate the fair value of the derivatives include the Company’s common stock price, exercise price of the derivatives, risk-free interest rate, volatility, annual coupon rate and remaining contractual term.</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 xml:space="preserve">Notes due 2025 </w:t>
      </w:r>
      <w:r>
        <w:rPr>
          <w:rFonts w:ascii="Arial" w:cs="Arial" w:eastAsia="Arial" w:hAnsi="Arial"/>
          <w:sz w:val="14"/>
          <w:szCs w:val="14"/>
          <w:color w:val="auto"/>
        </w:rPr>
        <w:t>and</w:t>
      </w:r>
      <w:r>
        <w:rPr>
          <w:rFonts w:ascii="Arial" w:cs="Arial" w:eastAsia="Arial" w:hAnsi="Arial"/>
          <w:sz w:val="14"/>
          <w:szCs w:val="14"/>
          <w:i w:val="1"/>
          <w:iCs w:val="1"/>
          <w:color w:val="auto"/>
        </w:rPr>
        <w:t xml:space="preserve"> Notes due 2024.</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carries the Notes due 2025 and Notes due 2024 (as defined below) at face value less unamortized discount and issuance costs on its consolidated balance sheets. The fair value of the Notes due 2025 and Notes due 2024 was $725.5 million and $747.1 million, respectively, as of December 31, 2020 based on the closing trading prices per $100 principal amount as of the last day of trading for the period. The Company considers the fair value of the Notes due 2025 and Notes due 2024 to be a Level 2 measurement as they are not actively traded.</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Level 3.</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Equity investments without readily determinable fair value.</w:t>
      </w:r>
    </w:p>
    <w:p>
      <w:pPr>
        <w:spacing w:after="0" w:line="9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December 2020, the Company invested approximately $5.0 million in a privately-held company without readily determinable market value, which is included in “Other assets” in the consolidated balance sheet. The Company has elected the measurement alternative for equity investments that do not have readily determinable fair values. The Company did not record an impairment charge on its investment during the year ended December 31, 2020, as no events or changes in circumstances were identified which could result as an indicator for impairment. Further, there were no observable price changes in orderly transactions for the identical or a similar investment of the same issuer during the year ended December 31, 2020. Equity investments without readily determinable fair value are classified within Level 3 in the fair value hierarchy because the Company estimates the value based on valuation methods using a combination of observable and unobservable inputs including valuation ascribed to the issuing company in subsequent financing rounds, volatility in the results of operations of the issuers and rights and obligations of the securities the Company 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314325</wp:posOffset>
            </wp:positionV>
            <wp:extent cx="695960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Warranty Obligations.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Company’s warranty obligations that were measured at fair value on a recurring basis and its categorization within the fair value hierarchy.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0"/>
                <w:szCs w:val="10"/>
                <w:color w:val="auto"/>
              </w:rPr>
            </w:pPr>
          </w:p>
        </w:tc>
        <w:tc>
          <w:tcPr>
            <w:tcW w:w="128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December 31, 2019</w:t>
            </w:r>
          </w:p>
        </w:tc>
        <w:tc>
          <w:tcPr>
            <w:tcW w:w="0" w:type="dxa"/>
            <w:vAlign w:val="bottom"/>
          </w:tcPr>
          <w:p>
            <w:pPr>
              <w:spacing w:after="0"/>
              <w:rPr>
                <w:sz w:val="1"/>
                <w:szCs w:val="1"/>
                <w:color w:val="auto"/>
              </w:rPr>
            </w:pPr>
          </w:p>
        </w:tc>
      </w:tr>
      <w:tr>
        <w:trPr>
          <w:trHeight w:val="138"/>
        </w:trPr>
        <w:tc>
          <w:tcPr>
            <w:tcW w:w="8320" w:type="dxa"/>
            <w:vAlign w:val="bottom"/>
          </w:tcPr>
          <w:p>
            <w:pPr>
              <w:spacing w:after="0"/>
              <w:rPr>
                <w:sz w:val="11"/>
                <w:szCs w:val="11"/>
                <w:color w:val="auto"/>
              </w:rPr>
            </w:pPr>
          </w:p>
        </w:tc>
        <w:tc>
          <w:tcPr>
            <w:tcW w:w="960" w:type="dxa"/>
            <w:vAlign w:val="bottom"/>
            <w:tcBorders>
              <w:bottom w:val="single" w:sz="8" w:color="auto"/>
            </w:tcBorders>
          </w:tcPr>
          <w:p>
            <w:pPr>
              <w:jc w:val="center"/>
              <w:ind w:left="419"/>
              <w:spacing w:after="0"/>
              <w:rPr>
                <w:sz w:val="20"/>
                <w:szCs w:val="20"/>
                <w:color w:val="auto"/>
              </w:rPr>
            </w:pPr>
            <w:r>
              <w:rPr>
                <w:rFonts w:ascii="Arial" w:cs="Arial" w:eastAsia="Arial" w:hAnsi="Arial"/>
                <w:sz w:val="11"/>
                <w:szCs w:val="11"/>
                <w:b w:val="1"/>
                <w:bCs w:val="1"/>
                <w:color w:val="auto"/>
                <w:w w:val="97"/>
              </w:rPr>
              <w:t>2020</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0" w:type="dxa"/>
            <w:vAlign w:val="bottom"/>
            <w:gridSpan w:val="4"/>
          </w:tcPr>
          <w:p>
            <w:pPr>
              <w:jc w:val="right"/>
              <w:ind w:right="1058"/>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176"/>
        </w:trPr>
        <w:tc>
          <w:tcPr>
            <w:tcW w:w="8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419"/>
              <w:spacing w:after="0"/>
              <w:rPr>
                <w:sz w:val="20"/>
                <w:szCs w:val="20"/>
                <w:color w:val="auto"/>
              </w:rPr>
            </w:pPr>
            <w:r>
              <w:rPr>
                <w:rFonts w:ascii="Arial" w:cs="Arial" w:eastAsia="Arial" w:hAnsi="Arial"/>
                <w:sz w:val="13"/>
                <w:szCs w:val="13"/>
                <w:b w:val="1"/>
                <w:bCs w:val="1"/>
                <w:color w:val="auto"/>
                <w:w w:val="99"/>
              </w:rPr>
              <w:t>Level 3</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5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320" w:type="dxa"/>
            <w:vAlign w:val="bottom"/>
          </w:tcPr>
          <w:p>
            <w:pPr>
              <w:ind w:left="120"/>
              <w:spacing w:after="0"/>
              <w:rPr>
                <w:sz w:val="20"/>
                <w:szCs w:val="20"/>
                <w:color w:val="auto"/>
              </w:rPr>
            </w:pPr>
            <w:r>
              <w:rPr>
                <w:rFonts w:ascii="Arial" w:cs="Arial" w:eastAsia="Arial" w:hAnsi="Arial"/>
                <w:sz w:val="13"/>
                <w:szCs w:val="13"/>
                <w:color w:val="auto"/>
              </w:rPr>
              <w:t>Warranty obligations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6,794</w:t>
            </w:r>
          </w:p>
        </w:tc>
        <w:tc>
          <w:tcPr>
            <w:tcW w:w="0" w:type="dxa"/>
            <w:vAlign w:val="bottom"/>
          </w:tcPr>
          <w:p>
            <w:pPr>
              <w:spacing w:after="0"/>
              <w:rPr>
                <w:sz w:val="1"/>
                <w:szCs w:val="1"/>
                <w:color w:val="auto"/>
              </w:rPr>
            </w:pPr>
          </w:p>
        </w:tc>
      </w:tr>
      <w:tr>
        <w:trPr>
          <w:trHeight w:val="17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Non-current</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20,469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13,012</w:t>
            </w:r>
          </w:p>
        </w:tc>
        <w:tc>
          <w:tcPr>
            <w:tcW w:w="0" w:type="dxa"/>
            <w:vAlign w:val="bottom"/>
          </w:tcPr>
          <w:p>
            <w:pPr>
              <w:spacing w:after="0"/>
              <w:rPr>
                <w:sz w:val="1"/>
                <w:szCs w:val="1"/>
                <w:color w:val="auto"/>
              </w:rPr>
            </w:pPr>
          </w:p>
        </w:tc>
      </w:tr>
      <w:tr>
        <w:trPr>
          <w:trHeight w:val="160"/>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warranty obligations measured at fair value</w:t>
            </w: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28,736</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19,806</w:t>
            </w:r>
          </w:p>
        </w:tc>
        <w:tc>
          <w:tcPr>
            <w:tcW w:w="0" w:type="dxa"/>
            <w:vAlign w:val="bottom"/>
          </w:tcPr>
          <w:p>
            <w:pPr>
              <w:spacing w:after="0"/>
              <w:rPr>
                <w:sz w:val="1"/>
                <w:szCs w:val="1"/>
                <w:color w:val="auto"/>
              </w:rPr>
            </w:pPr>
          </w:p>
        </w:tc>
      </w:tr>
      <w:tr>
        <w:trPr>
          <w:trHeight w:val="160"/>
        </w:trPr>
        <w:tc>
          <w:tcPr>
            <w:tcW w:w="8320" w:type="dxa"/>
            <w:vAlign w:val="bottom"/>
          </w:tcPr>
          <w:p>
            <w:pPr>
              <w:ind w:left="20"/>
              <w:spacing w:after="0"/>
              <w:rPr>
                <w:sz w:val="20"/>
                <w:szCs w:val="20"/>
                <w:color w:val="auto"/>
              </w:rPr>
            </w:pPr>
            <w:r>
              <w:rPr>
                <w:rFonts w:ascii="Arial" w:cs="Arial" w:eastAsia="Arial" w:hAnsi="Arial"/>
                <w:sz w:val="13"/>
                <w:szCs w:val="13"/>
                <w:color w:val="auto"/>
              </w:rPr>
              <w:t>Total liabilities measured at fair value</w:t>
            </w:r>
          </w:p>
        </w:tc>
        <w:tc>
          <w:tcPr>
            <w:tcW w:w="960" w:type="dxa"/>
            <w:vAlign w:val="bottom"/>
            <w:tcBorders>
              <w:bottom w:val="single" w:sz="8" w:color="auto"/>
            </w:tcBorders>
          </w:tcPr>
          <w:p>
            <w:pPr>
              <w:jc w:val="right"/>
              <w:ind w:right="819"/>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28,736</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19,806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Option for Warranty Obligations Related to Microinverters and Other Products Sold Since January 1, 2014</w:t>
      </w:r>
    </w:p>
    <w:p>
      <w:pPr>
        <w:spacing w:after="0" w:line="138"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39"/>
        </w:trPr>
        <w:tc>
          <w:tcPr>
            <w:tcW w:w="6500" w:type="dxa"/>
            <w:vAlign w:val="bottom"/>
          </w:tcPr>
          <w:p>
            <w:pPr>
              <w:spacing w:after="0"/>
              <w:rPr>
                <w:sz w:val="12"/>
                <w:szCs w:val="1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r>
      <w:tr>
        <w:trPr>
          <w:trHeight w:val="139"/>
        </w:trPr>
        <w:tc>
          <w:tcPr>
            <w:tcW w:w="6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19,806</w:t>
            </w:r>
          </w:p>
        </w:tc>
        <w:tc>
          <w:tcPr>
            <w:tcW w:w="32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9,791</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Accruals for warranties issued during period</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5,244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3,040</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estimates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r>
      <w:tr>
        <w:trPr>
          <w:trHeight w:val="170"/>
        </w:trPr>
        <w:tc>
          <w:tcPr>
            <w:tcW w:w="6500" w:type="dxa"/>
            <w:vAlign w:val="bottom"/>
          </w:tcPr>
          <w:p>
            <w:pPr>
              <w:ind w:left="120"/>
              <w:spacing w:after="0"/>
              <w:rPr>
                <w:sz w:val="20"/>
                <w:szCs w:val="20"/>
                <w:color w:val="auto"/>
              </w:rPr>
            </w:pPr>
            <w:r>
              <w:rPr>
                <w:rFonts w:ascii="Arial" w:cs="Arial" w:eastAsia="Arial" w:hAnsi="Arial"/>
                <w:sz w:val="13"/>
                <w:szCs w:val="13"/>
                <w:color w:val="auto"/>
              </w:rPr>
              <w:t>Settlements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(6,212)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(4,030)</w:t>
            </w:r>
          </w:p>
        </w:tc>
      </w:tr>
      <w:tr>
        <w:trPr>
          <w:trHeight w:val="170"/>
        </w:trPr>
        <w:tc>
          <w:tcPr>
            <w:tcW w:w="6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 due to accretion expense</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r>
      <w:tr>
        <w:trPr>
          <w:trHeight w:val="170"/>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w:t>
            </w:r>
          </w:p>
        </w:tc>
      </w:tr>
      <w:tr>
        <w:trPr>
          <w:trHeight w:val="18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11,757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370840</wp:posOffset>
            </wp:positionV>
            <wp:extent cx="695960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Quantitative and Qualitative Information about Level 3 Fair Value Measurements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As of December 31, 2020 and December 31, 2019, the significant unobservable inputs used in the fair value measurement of the Company’s liabilities designated as Level 3 are as follows:</w:t>
      </w:r>
    </w:p>
    <w:p>
      <w:pPr>
        <w:spacing w:after="0" w:line="51" w:lineRule="exact"/>
        <w:rPr>
          <w:sz w:val="20"/>
          <w:szCs w:val="20"/>
          <w:color w:val="auto"/>
        </w:rPr>
      </w:pPr>
    </w:p>
    <w:p>
      <w:pPr>
        <w:jc w:val="center"/>
        <w:ind w:left="8200"/>
        <w:spacing w:after="0"/>
        <w:rPr>
          <w:sz w:val="20"/>
          <w:szCs w:val="20"/>
          <w:color w:val="auto"/>
        </w:rPr>
      </w:pPr>
      <w:r>
        <w:rPr>
          <w:rFonts w:ascii="Arial" w:cs="Arial" w:eastAsia="Arial" w:hAnsi="Arial"/>
          <w:sz w:val="11"/>
          <w:szCs w:val="11"/>
          <w:b w:val="1"/>
          <w:bCs w:val="1"/>
          <w:color w:val="auto"/>
        </w:rPr>
        <w:t>Percent Used</w:t>
      </w:r>
    </w:p>
    <w:p>
      <w:pPr>
        <w:jc w:val="center"/>
        <w:ind w:left="8200"/>
        <w:spacing w:after="0"/>
        <w:rPr>
          <w:sz w:val="20"/>
          <w:szCs w:val="20"/>
          <w:color w:val="auto"/>
        </w:rPr>
      </w:pPr>
      <w:r>
        <w:rPr>
          <w:rFonts w:ascii="Arial" w:cs="Arial" w:eastAsia="Arial" w:hAnsi="Arial"/>
          <w:sz w:val="11"/>
          <w:szCs w:val="11"/>
          <w:b w:val="1"/>
          <w:bCs w:val="1"/>
          <w:color w:val="auto"/>
        </w:rPr>
        <w:t>(Weighted Average)</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07"/>
        </w:trPr>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Item Measured at Fair Value</w:t>
            </w:r>
          </w:p>
        </w:tc>
        <w:tc>
          <w:tcPr>
            <w:tcW w:w="1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Valuation Technique</w:t>
            </w:r>
          </w:p>
        </w:tc>
        <w:tc>
          <w:tcPr>
            <w:tcW w:w="80" w:type="dxa"/>
            <w:vAlign w:val="bottom"/>
            <w:vMerge w:val="restart"/>
          </w:tcPr>
          <w:p>
            <w:pPr>
              <w:spacing w:after="0"/>
              <w:rPr>
                <w:sz w:val="9"/>
                <w:szCs w:val="9"/>
                <w:color w:val="auto"/>
              </w:rPr>
            </w:pPr>
          </w:p>
        </w:tc>
        <w:tc>
          <w:tcPr>
            <w:tcW w:w="31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Description of Significant Unobservable Input</w:t>
            </w:r>
          </w:p>
        </w:tc>
        <w:tc>
          <w:tcPr>
            <w:tcW w:w="80" w:type="dxa"/>
            <w:vAlign w:val="bottom"/>
            <w:vMerge w:val="restart"/>
          </w:tcPr>
          <w:p>
            <w:pPr>
              <w:spacing w:after="0"/>
              <w:rPr>
                <w:sz w:val="9"/>
                <w:szCs w:val="9"/>
                <w:color w:val="auto"/>
              </w:rPr>
            </w:pPr>
          </w:p>
        </w:tc>
        <w:tc>
          <w:tcPr>
            <w:tcW w:w="1540" w:type="dxa"/>
            <w:vAlign w:val="bottom"/>
            <w:tcBorders>
              <w:top w:val="single" w:sz="8" w:color="auto"/>
            </w:tcBorders>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rPr>
              <w:t>December 31,</w:t>
            </w:r>
          </w:p>
        </w:tc>
        <w:tc>
          <w:tcPr>
            <w:tcW w:w="14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3200" w:type="dxa"/>
            <w:vAlign w:val="bottom"/>
            <w:vMerge w:val="continue"/>
          </w:tcPr>
          <w:p>
            <w:pPr>
              <w:spacing w:after="0"/>
              <w:rPr>
                <w:sz w:val="11"/>
                <w:szCs w:val="11"/>
                <w:color w:val="auto"/>
              </w:rPr>
            </w:pPr>
          </w:p>
        </w:tc>
        <w:tc>
          <w:tcPr>
            <w:tcW w:w="17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1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97"/>
        </w:trPr>
        <w:tc>
          <w:tcPr>
            <w:tcW w:w="3200" w:type="dxa"/>
            <w:vAlign w:val="bottom"/>
          </w:tcPr>
          <w:p>
            <w:pPr>
              <w:spacing w:after="0"/>
              <w:rPr>
                <w:sz w:val="20"/>
                <w:szCs w:val="20"/>
                <w:color w:val="auto"/>
              </w:rPr>
            </w:pPr>
            <w:r>
              <w:rPr>
                <w:rFonts w:ascii="Arial" w:cs="Arial" w:eastAsia="Arial" w:hAnsi="Arial"/>
                <w:sz w:val="13"/>
                <w:szCs w:val="13"/>
                <w:color w:val="auto"/>
              </w:rPr>
              <w:t>Warranty obligations for microinverters sold since</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Discounted cash flows</w:t>
            </w:r>
          </w:p>
        </w:tc>
        <w:tc>
          <w:tcPr>
            <w:tcW w:w="31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Profit element and risk premium</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14%</w:t>
            </w:r>
          </w:p>
        </w:tc>
        <w:tc>
          <w:tcPr>
            <w:tcW w:w="0" w:type="dxa"/>
            <w:vAlign w:val="bottom"/>
          </w:tcPr>
          <w:p>
            <w:pPr>
              <w:spacing w:after="0"/>
              <w:rPr>
                <w:sz w:val="1"/>
                <w:szCs w:val="1"/>
                <w:color w:val="auto"/>
              </w:rPr>
            </w:pPr>
          </w:p>
        </w:tc>
      </w:tr>
      <w:tr>
        <w:trPr>
          <w:trHeight w:val="62"/>
        </w:trPr>
        <w:tc>
          <w:tcPr>
            <w:tcW w:w="3200" w:type="dxa"/>
            <w:vAlign w:val="bottom"/>
            <w:vMerge w:val="restart"/>
          </w:tcPr>
          <w:p>
            <w:pPr>
              <w:spacing w:after="0" w:line="130" w:lineRule="exact"/>
              <w:rPr>
                <w:sz w:val="20"/>
                <w:szCs w:val="20"/>
                <w:color w:val="auto"/>
              </w:rPr>
            </w:pPr>
            <w:r>
              <w:rPr>
                <w:rFonts w:ascii="Arial" w:cs="Arial" w:eastAsia="Arial" w:hAnsi="Arial"/>
                <w:sz w:val="13"/>
                <w:szCs w:val="13"/>
                <w:color w:val="auto"/>
              </w:rPr>
              <w:t>January 1, 2014</w:t>
            </w:r>
          </w:p>
        </w:tc>
        <w:tc>
          <w:tcPr>
            <w:tcW w:w="1800" w:type="dxa"/>
            <w:vAlign w:val="bottom"/>
            <w:gridSpan w:val="2"/>
            <w:vMerge w:val="continue"/>
          </w:tcPr>
          <w:p>
            <w:pPr>
              <w:spacing w:after="0"/>
              <w:rPr>
                <w:sz w:val="5"/>
                <w:szCs w:val="5"/>
                <w:color w:val="auto"/>
              </w:rPr>
            </w:pPr>
          </w:p>
        </w:tc>
        <w:tc>
          <w:tcPr>
            <w:tcW w:w="3180" w:type="dxa"/>
            <w:vAlign w:val="bottom"/>
            <w:tcBorders>
              <w:top w:val="single" w:sz="8" w:color="ACACAC"/>
            </w:tcBorders>
            <w:gridSpan w:val="2"/>
            <w:vMerge w:val="restart"/>
          </w:tcPr>
          <w:p>
            <w:pPr>
              <w:jc w:val="center"/>
              <w:ind w:right="80"/>
              <w:spacing w:after="0"/>
              <w:rPr>
                <w:sz w:val="20"/>
                <w:szCs w:val="20"/>
                <w:color w:val="auto"/>
              </w:rPr>
            </w:pPr>
            <w:r>
              <w:rPr>
                <w:rFonts w:ascii="Arial" w:cs="Arial" w:eastAsia="Arial" w:hAnsi="Arial"/>
                <w:sz w:val="13"/>
                <w:szCs w:val="13"/>
                <w:color w:val="auto"/>
                <w:w w:val="98"/>
              </w:rPr>
              <w:t>Credit-adjusted risk-free rate</w:t>
            </w:r>
          </w:p>
        </w:tc>
        <w:tc>
          <w:tcPr>
            <w:tcW w:w="144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3"/>
                <w:szCs w:val="13"/>
                <w:color w:val="auto"/>
                <w:w w:val="99"/>
              </w:rPr>
              <w:t>13%</w:t>
            </w:r>
          </w:p>
        </w:tc>
        <w:tc>
          <w:tcPr>
            <w:tcW w:w="100" w:type="dxa"/>
            <w:vAlign w:val="bottom"/>
            <w:tcBorders>
              <w:top w:val="single" w:sz="8" w:color="ACACAC"/>
            </w:tcBorders>
          </w:tcPr>
          <w:p>
            <w:pPr>
              <w:spacing w:after="0"/>
              <w:rPr>
                <w:sz w:val="5"/>
                <w:szCs w:val="5"/>
                <w:color w:val="auto"/>
              </w:rPr>
            </w:pPr>
          </w:p>
        </w:tc>
        <w:tc>
          <w:tcPr>
            <w:tcW w:w="144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3"/>
                <w:szCs w:val="13"/>
                <w:color w:val="auto"/>
                <w:w w:val="99"/>
              </w:rPr>
              <w:t>16%</w:t>
            </w:r>
          </w:p>
        </w:tc>
        <w:tc>
          <w:tcPr>
            <w:tcW w:w="0" w:type="dxa"/>
            <w:vAlign w:val="bottom"/>
          </w:tcPr>
          <w:p>
            <w:pPr>
              <w:spacing w:after="0"/>
              <w:rPr>
                <w:sz w:val="1"/>
                <w:szCs w:val="1"/>
                <w:color w:val="auto"/>
              </w:rPr>
            </w:pPr>
          </w:p>
        </w:tc>
      </w:tr>
      <w:tr>
        <w:trPr>
          <w:trHeight w:val="106"/>
        </w:trPr>
        <w:tc>
          <w:tcPr>
            <w:tcW w:w="320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Sensitivity of Level 3 Inputs - Warranty Obligations</w:t>
      </w:r>
    </w:p>
    <w:p>
      <w:pPr>
        <w:spacing w:after="0" w:line="96" w:lineRule="exact"/>
        <w:rPr>
          <w:sz w:val="20"/>
          <w:szCs w:val="20"/>
          <w:color w:val="auto"/>
        </w:rPr>
      </w:pPr>
    </w:p>
    <w:p>
      <w:pPr>
        <w:jc w:val="both"/>
        <w:ind w:firstLine="382"/>
        <w:spacing w:after="0" w:line="174" w:lineRule="exact"/>
        <w:rPr>
          <w:sz w:val="20"/>
          <w:szCs w:val="20"/>
          <w:color w:val="auto"/>
        </w:rPr>
      </w:pPr>
      <w:r>
        <w:rPr>
          <w:rFonts w:ascii="Arial" w:cs="Arial" w:eastAsia="Arial" w:hAnsi="Arial"/>
          <w:sz w:val="14"/>
          <w:szCs w:val="14"/>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4"/>
          <w:szCs w:val="14"/>
          <w:color w:val="auto"/>
        </w:rPr>
        <w:t>‑</w:t>
      </w:r>
      <w:r>
        <w:rPr>
          <w:rFonts w:ascii="Arial" w:cs="Arial" w:eastAsia="Arial" w:hAnsi="Arial"/>
          <w:sz w:val="14"/>
          <w:szCs w:val="14"/>
          <w:color w:val="auto"/>
        </w:rPr>
        <w:t xml:space="preserve"> adjusted risk</w:t>
      </w:r>
      <w:r>
        <w:rPr>
          <w:rFonts w:ascii="MS PGothic" w:cs="MS PGothic" w:eastAsia="MS PGothic" w:hAnsi="MS PGothic"/>
          <w:sz w:val="14"/>
          <w:szCs w:val="14"/>
          <w:color w:val="auto"/>
        </w:rPr>
        <w:t>‑</w:t>
      </w:r>
      <w:r>
        <w:rPr>
          <w:rFonts w:ascii="Arial" w:cs="Arial" w:eastAsia="Arial" w:hAnsi="Arial"/>
          <w:sz w:val="14"/>
          <w:szCs w:val="14"/>
          <w:color w:val="auto"/>
        </w:rPr>
        <w:t>free rate (“discount rate”) is determined by reference to the Company’s own credit standing at the fair value measurement date. Increasing the profit element and risk premium input by 100 basis points would result in a $0.2 million increase to the liability. Decreasing the profit element and risk premium by 100 basis points would result in a $ 0.2 million reduction of the liability. Increasing the discount rate by 100 basis points would result in a $1.4 million reduction of the liability. Decreasing the discount rate by 100 basis points would result in a $1.6 million increase to the liability.</w:t>
      </w:r>
    </w:p>
    <w:p>
      <w:pPr>
        <w:spacing w:after="0" w:line="105"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10.</w:t>
        <w:tab/>
        <w:t>RESTRUCTURING</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Restructuring expense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39"/>
        </w:trPr>
        <w:tc>
          <w:tcPr>
            <w:tcW w:w="6500" w:type="dxa"/>
            <w:vAlign w:val="bottom"/>
          </w:tcPr>
          <w:p>
            <w:pPr>
              <w:spacing w:after="0"/>
              <w:rPr>
                <w:sz w:val="12"/>
                <w:szCs w:val="1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2020</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2018</w:t>
            </w:r>
          </w:p>
        </w:tc>
      </w:tr>
      <w:tr>
        <w:trPr>
          <w:trHeight w:val="139"/>
        </w:trPr>
        <w:tc>
          <w:tcPr>
            <w:tcW w:w="6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Redundancy and employee severance and benefit arrangements</w:t>
            </w:r>
          </w:p>
        </w:tc>
        <w:tc>
          <w:tcPr>
            <w:tcW w:w="1160" w:type="dxa"/>
            <w:vAlign w:val="bottom"/>
            <w:shd w:val="clear" w:color="auto" w:fill="CCEEFF"/>
          </w:tcPr>
          <w:p>
            <w:pPr>
              <w:jc w:val="right"/>
              <w:ind w:right="101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w:t>
            </w:r>
          </w:p>
        </w:tc>
      </w:tr>
      <w:tr>
        <w:trPr>
          <w:trHeight w:val="170"/>
        </w:trPr>
        <w:tc>
          <w:tcPr>
            <w:tcW w:w="6500" w:type="dxa"/>
            <w:vAlign w:val="bottom"/>
          </w:tcPr>
          <w:p>
            <w:pPr>
              <w:ind w:left="140"/>
              <w:spacing w:after="0"/>
              <w:rPr>
                <w:sz w:val="20"/>
                <w:szCs w:val="20"/>
                <w:color w:val="auto"/>
              </w:rPr>
            </w:pPr>
            <w:r>
              <w:rPr>
                <w:rFonts w:ascii="Arial" w:cs="Arial" w:eastAsia="Arial" w:hAnsi="Arial"/>
                <w:sz w:val="13"/>
                <w:szCs w:val="13"/>
                <w:color w:val="auto"/>
              </w:rPr>
              <w:t>Asset impairments</w:t>
            </w:r>
          </w:p>
        </w:tc>
        <w:tc>
          <w:tcPr>
            <w:tcW w:w="1160" w:type="dxa"/>
            <w:vAlign w:val="bottom"/>
          </w:tcPr>
          <w:p>
            <w:pPr>
              <w:spacing w:after="0"/>
              <w:rPr>
                <w:sz w:val="14"/>
                <w:szCs w:val="14"/>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1,601</w:t>
            </w:r>
          </w:p>
        </w:tc>
      </w:tr>
      <w:tr>
        <w:trPr>
          <w:trHeight w:val="170"/>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Consultants engaged in restructuring activities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Lease loss reserves (benefit)</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r>
      <w:tr>
        <w:trPr>
          <w:trHeight w:val="185"/>
        </w:trPr>
        <w:tc>
          <w:tcPr>
            <w:tcW w:w="6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restructuring charges</w:t>
            </w:r>
          </w:p>
        </w:tc>
        <w:tc>
          <w:tcPr>
            <w:tcW w:w="116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Plan</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completed its restructuring activities under the 2018 Plan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69596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information regarding changes in the Company’s 2018 Plan accrued restructuring balance for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Redundancy and</w:t>
            </w:r>
          </w:p>
        </w:tc>
        <w:tc>
          <w:tcPr>
            <w:tcW w:w="1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Lease Loss Reserves and</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760" w:type="dxa"/>
            <w:vAlign w:val="bottom"/>
          </w:tcPr>
          <w:p>
            <w:pPr>
              <w:spacing w:after="0"/>
              <w:rPr>
                <w:sz w:val="9"/>
                <w:szCs w:val="9"/>
                <w:color w:val="auto"/>
              </w:rPr>
            </w:pPr>
          </w:p>
        </w:tc>
        <w:tc>
          <w:tcPr>
            <w:tcW w:w="1540" w:type="dxa"/>
            <w:vAlign w:val="bottom"/>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rPr>
              <w:t>Employee Severance and</w:t>
            </w:r>
          </w:p>
        </w:tc>
        <w:tc>
          <w:tcPr>
            <w:tcW w:w="15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vMerge w:val="restart"/>
          </w:tcPr>
          <w:p>
            <w:pPr>
              <w:jc w:val="right"/>
              <w:ind w:right="53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6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Benefits</w:t>
            </w: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rPr>
              <w:t>Contractual Obligations</w:t>
            </w: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31, 2018</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0" w:type="dxa"/>
            <w:vAlign w:val="bottom"/>
          </w:tcPr>
          <w:p>
            <w:pPr>
              <w:spacing w:after="0"/>
              <w:rPr>
                <w:sz w:val="1"/>
                <w:szCs w:val="1"/>
                <w:color w:val="auto"/>
              </w:rPr>
            </w:pPr>
          </w:p>
        </w:tc>
      </w:tr>
      <w:tr>
        <w:trPr>
          <w:trHeight w:val="170"/>
        </w:trPr>
        <w:tc>
          <w:tcPr>
            <w:tcW w:w="6760" w:type="dxa"/>
            <w:vAlign w:val="bottom"/>
          </w:tcPr>
          <w:p>
            <w:pPr>
              <w:ind w:left="100"/>
              <w:spacing w:after="0"/>
              <w:rPr>
                <w:sz w:val="20"/>
                <w:szCs w:val="20"/>
                <w:color w:val="auto"/>
              </w:rPr>
            </w:pPr>
            <w:r>
              <w:rPr>
                <w:rFonts w:ascii="Arial" w:cs="Arial" w:eastAsia="Arial" w:hAnsi="Arial"/>
                <w:sz w:val="13"/>
                <w:szCs w:val="13"/>
                <w:color w:val="auto"/>
              </w:rPr>
              <w:t>Charges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2,699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2,699</w:t>
            </w:r>
          </w:p>
        </w:tc>
        <w:tc>
          <w:tcPr>
            <w:tcW w:w="0" w:type="dxa"/>
            <w:vAlign w:val="bottom"/>
          </w:tcPr>
          <w:p>
            <w:pPr>
              <w:spacing w:after="0"/>
              <w:rPr>
                <w:sz w:val="1"/>
                <w:szCs w:val="1"/>
                <w:color w:val="auto"/>
              </w:rPr>
            </w:pPr>
          </w:p>
        </w:tc>
      </w:tr>
      <w:tr>
        <w:trPr>
          <w:trHeight w:val="170"/>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payments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Non-cash settlement and other</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(2,281)</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 2019</w:t>
            </w: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details of the Company’s restructuring charges under the 2018 Plan for the period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60"/>
        </w:trPr>
        <w:tc>
          <w:tcPr>
            <w:tcW w:w="6800" w:type="dxa"/>
            <w:vAlign w:val="bottom"/>
          </w:tcPr>
          <w:p>
            <w:pPr>
              <w:spacing w:after="0"/>
              <w:rPr>
                <w:sz w:val="13"/>
                <w:szCs w:val="13"/>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2018</w:t>
            </w:r>
          </w:p>
        </w:tc>
      </w:tr>
      <w:tr>
        <w:trPr>
          <w:trHeight w:val="139"/>
        </w:trPr>
        <w:tc>
          <w:tcPr>
            <w:tcW w:w="6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Redundancy and employee severance and benefit arrangements</w:t>
            </w: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w:t>
            </w:r>
          </w:p>
        </w:tc>
      </w:tr>
      <w:tr>
        <w:trPr>
          <w:trHeight w:val="170"/>
        </w:trPr>
        <w:tc>
          <w:tcPr>
            <w:tcW w:w="6800" w:type="dxa"/>
            <w:vAlign w:val="bottom"/>
          </w:tcPr>
          <w:p>
            <w:pPr>
              <w:ind w:left="20"/>
              <w:spacing w:after="0"/>
              <w:rPr>
                <w:sz w:val="20"/>
                <w:szCs w:val="20"/>
                <w:color w:val="auto"/>
              </w:rPr>
            </w:pPr>
            <w:r>
              <w:rPr>
                <w:rFonts w:ascii="Arial" w:cs="Arial" w:eastAsia="Arial" w:hAnsi="Arial"/>
                <w:sz w:val="13"/>
                <w:szCs w:val="13"/>
                <w:color w:val="auto"/>
              </w:rPr>
              <w:t>Asset impairments</w:t>
            </w:r>
          </w:p>
        </w:tc>
        <w:tc>
          <w:tcPr>
            <w:tcW w:w="104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1,636</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loss reserves (benefit)</w:t>
            </w: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r>
      <w:tr>
        <w:trPr>
          <w:trHeight w:val="160"/>
        </w:trPr>
        <w:tc>
          <w:tcPr>
            <w:tcW w:w="6800" w:type="dxa"/>
            <w:vAlign w:val="bottom"/>
          </w:tcPr>
          <w:p>
            <w:pPr>
              <w:ind w:left="180"/>
              <w:spacing w:after="0"/>
              <w:rPr>
                <w:sz w:val="20"/>
                <w:szCs w:val="20"/>
                <w:color w:val="auto"/>
              </w:rPr>
            </w:pPr>
            <w:r>
              <w:rPr>
                <w:rFonts w:ascii="Arial" w:cs="Arial" w:eastAsia="Arial" w:hAnsi="Arial"/>
                <w:sz w:val="13"/>
                <w:szCs w:val="13"/>
                <w:color w:val="auto"/>
              </w:rPr>
              <w:t>Total restructuring charges</w:t>
            </w:r>
          </w:p>
        </w:tc>
        <w:tc>
          <w:tcPr>
            <w:tcW w:w="104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4,204</w:t>
            </w:r>
          </w:p>
        </w:tc>
      </w:tr>
      <w:tr>
        <w:trPr>
          <w:trHeight w:val="20"/>
        </w:trPr>
        <w:tc>
          <w:tcPr>
            <w:tcW w:w="6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 Plan</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completed its restructuring activities under the 2016 Plan in 2017.</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information regarding changes in the Company’s 2016 Plan accrued restructuring balance for the periods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80" w:type="dxa"/>
            <w:vAlign w:val="bottom"/>
            <w:gridSpan w:val="4"/>
          </w:tcPr>
          <w:p>
            <w:pPr>
              <w:jc w:val="center"/>
              <w:ind w:right="176"/>
              <w:spacing w:after="0"/>
              <w:rPr>
                <w:sz w:val="20"/>
                <w:szCs w:val="20"/>
                <w:color w:val="auto"/>
              </w:rPr>
            </w:pPr>
            <w:r>
              <w:rPr>
                <w:rFonts w:ascii="Arial" w:cs="Arial" w:eastAsia="Arial" w:hAnsi="Arial"/>
                <w:sz w:val="11"/>
                <w:szCs w:val="11"/>
                <w:b w:val="1"/>
                <w:bCs w:val="1"/>
                <w:color w:val="auto"/>
              </w:rPr>
              <w:t>Employee Severance and</w:t>
            </w:r>
          </w:p>
        </w:tc>
        <w:tc>
          <w:tcPr>
            <w:tcW w:w="13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Asset Impairments</w:t>
            </w:r>
          </w:p>
        </w:tc>
        <w:tc>
          <w:tcPr>
            <w:tcW w:w="1860" w:type="dxa"/>
            <w:vAlign w:val="bottom"/>
            <w:gridSpan w:val="4"/>
          </w:tcPr>
          <w:p>
            <w:pPr>
              <w:ind w:left="20"/>
              <w:spacing w:after="0"/>
              <w:rPr>
                <w:sz w:val="20"/>
                <w:szCs w:val="20"/>
                <w:color w:val="auto"/>
              </w:rPr>
            </w:pPr>
            <w:r>
              <w:rPr>
                <w:rFonts w:ascii="Arial" w:cs="Arial" w:eastAsia="Arial" w:hAnsi="Arial"/>
                <w:sz w:val="11"/>
                <w:szCs w:val="11"/>
                <w:b w:val="1"/>
                <w:bCs w:val="1"/>
                <w:color w:val="auto"/>
              </w:rPr>
              <w:t>Lease Loss Reserves and</w:t>
            </w:r>
          </w:p>
        </w:tc>
        <w:tc>
          <w:tcPr>
            <w:tcW w:w="1100" w:type="dxa"/>
            <w:vAlign w:val="bottom"/>
            <w:vMerge w:val="restart"/>
          </w:tcPr>
          <w:p>
            <w:pPr>
              <w:jc w:val="right"/>
              <w:ind w:right="51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right="476"/>
              <w:spacing w:after="0"/>
              <w:rPr>
                <w:sz w:val="20"/>
                <w:szCs w:val="20"/>
                <w:color w:val="auto"/>
              </w:rPr>
            </w:pPr>
            <w:r>
              <w:rPr>
                <w:rFonts w:ascii="Arial" w:cs="Arial" w:eastAsia="Arial" w:hAnsi="Arial"/>
                <w:sz w:val="11"/>
                <w:szCs w:val="11"/>
                <w:b w:val="1"/>
                <w:bCs w:val="1"/>
                <w:color w:val="auto"/>
              </w:rPr>
              <w:t>Benefits</w:t>
            </w:r>
          </w:p>
        </w:tc>
        <w:tc>
          <w:tcPr>
            <w:tcW w:w="1380" w:type="dxa"/>
            <w:vAlign w:val="bottom"/>
            <w:tcBorders>
              <w:bottom w:val="single" w:sz="8" w:color="auto"/>
            </w:tcBorders>
            <w:gridSpan w:val="2"/>
            <w:vMerge w:val="continue"/>
          </w:tcPr>
          <w:p>
            <w:pPr>
              <w:spacing w:after="0"/>
              <w:rPr>
                <w:sz w:val="11"/>
                <w:szCs w:val="11"/>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Contractual Obligations</w:t>
            </w: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ind w:left="980"/>
              <w:spacing w:after="0"/>
              <w:rPr>
                <w:sz w:val="20"/>
                <w:szCs w:val="20"/>
                <w:color w:val="auto"/>
              </w:rPr>
            </w:pPr>
            <w:r>
              <w:rPr>
                <w:rFonts w:ascii="Arial" w:cs="Arial" w:eastAsia="Arial" w:hAnsi="Arial"/>
                <w:sz w:val="11"/>
                <w:szCs w:val="11"/>
                <w:i w:val="1"/>
                <w:iCs w:val="1"/>
                <w:color w:val="auto"/>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as of December 31, 2018</w:t>
            </w: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70"/>
        </w:trPr>
        <w:tc>
          <w:tcPr>
            <w:tcW w:w="5260" w:type="dxa"/>
            <w:vAlign w:val="bottom"/>
            <w:gridSpan w:val="2"/>
          </w:tcPr>
          <w:p>
            <w:pPr>
              <w:ind w:left="120"/>
              <w:spacing w:after="0" w:line="170"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(1)</w:t>
            </w:r>
          </w:p>
        </w:tc>
        <w:tc>
          <w:tcPr>
            <w:tcW w:w="300" w:type="dxa"/>
            <w:vAlign w:val="bottom"/>
          </w:tcPr>
          <w:p>
            <w:pPr>
              <w:spacing w:after="0"/>
              <w:rPr>
                <w:sz w:val="14"/>
                <w:szCs w:val="14"/>
                <w:color w:val="auto"/>
              </w:rPr>
            </w:pPr>
          </w:p>
        </w:tc>
        <w:tc>
          <w:tcPr>
            <w:tcW w:w="1380" w:type="dxa"/>
            <w:vAlign w:val="bottom"/>
            <w:gridSpan w:val="3"/>
          </w:tcPr>
          <w:p>
            <w:pPr>
              <w:ind w:left="9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85"/>
        </w:trPr>
        <w:tc>
          <w:tcPr>
            <w:tcW w:w="5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as of December 31, 2019</w:t>
            </w: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100" w:type="dxa"/>
            <w:vAlign w:val="bottom"/>
            <w:tcBorders>
              <w:bottom w:val="single" w:sz="8" w:color="auto"/>
            </w:tcBorders>
          </w:tcPr>
          <w:p>
            <w:pPr>
              <w:spacing w:after="0"/>
              <w:rPr>
                <w:sz w:val="5"/>
                <w:szCs w:val="5"/>
                <w:color w:val="auto"/>
              </w:rPr>
            </w:pPr>
          </w:p>
        </w:tc>
        <w:tc>
          <w:tcPr>
            <w:tcW w:w="4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5"/>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Adoption of ASU 2016-02 -Leases.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340995</wp:posOffset>
            </wp:positionV>
            <wp:extent cx="695960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b w:val="1"/>
          <w:bCs w:val="1"/>
          <w:color w:val="auto"/>
        </w:rPr>
        <w:t>DEBT</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information regarding the Company’s long-term debt.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320" w:type="dxa"/>
            <w:vAlign w:val="bottom"/>
          </w:tcPr>
          <w:p>
            <w:pPr>
              <w:spacing w:after="0"/>
              <w:rPr>
                <w:sz w:val="10"/>
                <w:szCs w:val="10"/>
                <w:color w:val="auto"/>
              </w:rPr>
            </w:pPr>
          </w:p>
        </w:tc>
        <w:tc>
          <w:tcPr>
            <w:tcW w:w="1100" w:type="dxa"/>
            <w:vAlign w:val="bottom"/>
          </w:tcPr>
          <w:p>
            <w:pPr>
              <w:jc w:val="right"/>
              <w:ind w:right="277"/>
              <w:spacing w:after="0"/>
              <w:rPr>
                <w:sz w:val="20"/>
                <w:szCs w:val="20"/>
                <w:color w:val="auto"/>
              </w:rPr>
            </w:pPr>
            <w:r>
              <w:rPr>
                <w:rFonts w:ascii="Arial" w:cs="Arial" w:eastAsia="Arial" w:hAnsi="Arial"/>
                <w:sz w:val="11"/>
                <w:szCs w:val="11"/>
                <w:b w:val="1"/>
                <w:bCs w:val="1"/>
                <w:color w:val="auto"/>
              </w:rPr>
              <w:t>December 31,</w:t>
            </w:r>
          </w:p>
        </w:tc>
      </w:tr>
      <w:tr>
        <w:trPr>
          <w:trHeight w:val="138"/>
        </w:trPr>
        <w:tc>
          <w:tcPr>
            <w:tcW w:w="8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2019</w:t>
            </w:r>
          </w:p>
        </w:tc>
      </w:tr>
      <w:tr>
        <w:trPr>
          <w:trHeight w:val="13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Pr>
          <w:p>
            <w:pPr>
              <w:spacing w:after="0"/>
              <w:rPr>
                <w:sz w:val="12"/>
                <w:szCs w:val="12"/>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8320" w:type="dxa"/>
            <w:vAlign w:val="bottom"/>
          </w:tcPr>
          <w:p>
            <w:pPr>
              <w:ind w:left="120"/>
              <w:spacing w:after="0"/>
              <w:rPr>
                <w:sz w:val="20"/>
                <w:szCs w:val="20"/>
                <w:color w:val="auto"/>
              </w:rPr>
            </w:pPr>
            <w:r>
              <w:rPr>
                <w:rFonts w:ascii="Arial" w:cs="Arial" w:eastAsia="Arial" w:hAnsi="Arial"/>
                <w:sz w:val="13"/>
                <w:szCs w:val="13"/>
                <w:color w:val="auto"/>
              </w:rPr>
              <w:t>Notes due 2025</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320,000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Less: unamortized discount and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(64,979)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Carrying amount of Notes due 2025</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8320" w:type="dxa"/>
            <w:vAlign w:val="bottom"/>
          </w:tcPr>
          <w:p>
            <w:pPr>
              <w:ind w:left="120"/>
              <w:spacing w:after="0"/>
              <w:rPr>
                <w:sz w:val="20"/>
                <w:szCs w:val="20"/>
                <w:color w:val="auto"/>
              </w:rPr>
            </w:pPr>
            <w:r>
              <w:rPr>
                <w:rFonts w:ascii="Arial" w:cs="Arial" w:eastAsia="Arial" w:hAnsi="Arial"/>
                <w:sz w:val="13"/>
                <w:szCs w:val="13"/>
                <w:color w:val="auto"/>
              </w:rPr>
              <w:t>Notes due 2024</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88,140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132,000</w:t>
            </w:r>
          </w:p>
        </w:tc>
      </w:tr>
      <w:tr>
        <w:trPr>
          <w:trHeight w:val="170"/>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Less: unamortized discount and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(35,815)</w:t>
            </w:r>
          </w:p>
        </w:tc>
      </w:tr>
      <w:tr>
        <w:trPr>
          <w:trHeight w:val="16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Carrying amount of Notes due 2024</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96,185</w:t>
            </w:r>
          </w:p>
        </w:tc>
      </w:tr>
      <w:tr>
        <w:trPr>
          <w:trHeight w:val="150"/>
        </w:trPr>
        <w:tc>
          <w:tcPr>
            <w:tcW w:w="8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8320" w:type="dxa"/>
            <w:vAlign w:val="bottom"/>
          </w:tcPr>
          <w:p>
            <w:pPr>
              <w:ind w:left="120"/>
              <w:spacing w:after="0"/>
              <w:rPr>
                <w:sz w:val="20"/>
                <w:szCs w:val="20"/>
                <w:color w:val="auto"/>
              </w:rPr>
            </w:pPr>
            <w:r>
              <w:rPr>
                <w:rFonts w:ascii="Arial" w:cs="Arial" w:eastAsia="Arial" w:hAnsi="Arial"/>
                <w:sz w:val="13"/>
                <w:szCs w:val="13"/>
                <w:color w:val="auto"/>
              </w:rPr>
              <w:t>Notes due 2023</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170"/>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Less: unamortized issuance costs</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r>
      <w:tr>
        <w:trPr>
          <w:trHeight w:val="16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Carrying amount of Notes due 2023</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4,857</w:t>
            </w:r>
          </w:p>
        </w:tc>
      </w:tr>
      <w:tr>
        <w:trPr>
          <w:trHeight w:val="150"/>
        </w:trPr>
        <w:tc>
          <w:tcPr>
            <w:tcW w:w="8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 of long-term financing receivable recorded as debt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4,501</w:t>
            </w:r>
          </w:p>
        </w:tc>
      </w:tr>
      <w:tr>
        <w:trPr>
          <w:trHeight w:val="160"/>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carrying amount of debt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330,865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105,543</w:t>
            </w:r>
          </w:p>
        </w:tc>
      </w:tr>
      <w:tr>
        <w:trPr>
          <w:trHeight w:val="17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current portion of convertible notes and long-term financing receivable recorded as debt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(325,967)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(2,884)</w:t>
            </w:r>
          </w:p>
        </w:tc>
      </w:tr>
      <w:tr>
        <w:trPr>
          <w:trHeight w:val="185"/>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Long-term debt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102,659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Senior Notes due 2025</w:t>
      </w:r>
    </w:p>
    <w:p>
      <w:pPr>
        <w:spacing w:after="0" w:line="96" w:lineRule="exact"/>
        <w:rPr>
          <w:sz w:val="20"/>
          <w:szCs w:val="20"/>
          <w:color w:val="auto"/>
        </w:rPr>
      </w:pPr>
    </w:p>
    <w:p>
      <w:pPr>
        <w:jc w:val="both"/>
        <w:ind w:firstLine="382"/>
        <w:spacing w:after="0" w:line="242" w:lineRule="auto"/>
        <w:rPr>
          <w:sz w:val="20"/>
          <w:szCs w:val="20"/>
          <w:color w:val="auto"/>
        </w:rPr>
      </w:pPr>
      <w:r>
        <w:rPr>
          <w:rFonts w:ascii="Arial" w:cs="Arial" w:eastAsia="Arial" w:hAnsi="Arial"/>
          <w:sz w:val="14"/>
          <w:szCs w:val="14"/>
          <w:color w:val="auto"/>
        </w:rPr>
        <w:t>On March 9, 2020, the Company issued $320.0 million aggregate principal amount of the Notes due 2025. The Notes due 2025 are general unsecured obligations and bear interest at an annual rate of 0.25% per year, payable semi-annually on March 1 and September 1 of each year, beginning September 1, 2020. The Notes due 2025 are governed by an indenture between the Company and U.S. Bank National Association, as trustee. The Notes due 2025 will mature on March 1, 2025, unless earlier repurchased by the Company or converted at the option of the holders. The Company may not redeem the notes prior to the maturity date, and no sinking fund is provided for the notes. The Notes due 2025 may be converted, under certain circumstances as described below, based on an initial conversion rate of 12.2637 shares of common stock per $1,000 principal amount (which represents an initial conversion price of $81.54 per share). The conversion rate for the Notes due 2025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$313.0 million in net proceeds, after deducting the initial purchasers’ discount, from the issuance of the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323850</wp:posOffset>
            </wp:positionV>
            <wp:extent cx="695960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41" w:lineRule="auto"/>
        <w:rPr>
          <w:sz w:val="20"/>
          <w:szCs w:val="20"/>
          <w:color w:val="auto"/>
        </w:rPr>
      </w:pPr>
      <w:r>
        <w:rPr>
          <w:rFonts w:ascii="Arial" w:cs="Arial" w:eastAsia="Arial" w:hAnsi="Arial"/>
          <w:sz w:val="14"/>
          <w:szCs w:val="14"/>
          <w:color w:val="auto"/>
        </w:rPr>
        <w:t>The Notes due 2025 may be converted prior to the close of business on the business day immediately preceding September 1, 2024, in multiples of $1,000 principal amount, at the option of the holder only under the following circumstances: (1) during any calendar quarter commencing after the calendar quarter ending on June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21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of December 31, 2020, the sale price of the Company’s common stock was greater than or equal to $106.00 (130% of the notes conversion price) for at least 20 trading days (whether consecutive or not) during a period of 30 consecutive trading days preceding the quarter-ended December 31, 2020. As a result, as of December 31, 2020, the Notes due 2025 are convertible at the holders’ option through March 31, 2021. Accordingly, the Company classified the net carrying amount of the Notes due 2025 of $255.0 million as Debt, current on the consolidated balance sheet as of December 31, 2020.</w:t>
      </w:r>
    </w:p>
    <w:p>
      <w:pPr>
        <w:spacing w:after="0" w:line="4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For the period from March 9, 2020, the issuance date, through May 19, 2020, the number of authorized and unissued shares of the Company’s common stock that are not reserved for other purposes was less than the maximum number of underlying shares that would be required to settle the Notes due 2025 into equity. Accordingly, unless and until the Company had a number of authorized shares that were not issued or reserved for any other purpose that equaled or exceeded the maximum number of underlying shares (“share reservation condition”), the Company would be required to pay to the converting holder in respect of each $1,000 principal amount of notes being converted solely in cash in an amount equal to the sum of the daily conversion values for each of the 20 consecutive trading days during the related observation period. However, following satisfaction of the share reservation condition, the Company could settle conversions of notes through payment or delivery, as the case may be, of cash, shares of the Company’s common stock or a combination of cash and shares of its common stock, at the Company’s election.</w:t>
      </w:r>
    </w:p>
    <w:p>
      <w:pPr>
        <w:spacing w:after="0" w:line="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accounting for the issuance of the Notes due 2025, on March 9, 2020, the conversion option of the Notes due 2025 was deemed an embedded derivative requiring bifurcation from the Notes due 2025 (“host contract”) and separate accounting as an embedded derivative liability, as a result of the Company not having the necessary number of authorized but unissued shares of its common stock available to settle the conversion option of the Notes due 2025 in shares. The proceeds from the Notes due 2025 were first allocated to the embedded derivative liability and the remaining proceeds were then allocated to the host contract. On March 9, 2020, the carrying amount of the embedded derivative liability of $68.7 million representing the conversion option was determined using the Binomial Lattice model and the remaining $251.3 million was allocated to the host contract. The difference between the principal amount of the Notes due 2025 and the fair value of the host contract (the “debt discount”) is amortized to interest expense using the effective interest method over the term of the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260985</wp:posOffset>
            </wp:positionV>
            <wp:extent cx="695960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On May 20, 2020, at the Company’s annual meeting of stockholders, the stockholders approved an amendment to the Amended and Restated Certificate of Incorporation to increase the number of authorized shares of the Company’s common stock, par value $0.00001 per share, from 150,000,000 shares to 200,000,000 shares (the “Amendment”). The Amendment became effective upon filing with the Secretary of State of Delaware on May 20, 2020. As a result, the Company satisfied the share reservation condition. The Company may now settle the Notes due 2025 and warrants issued in conjunction with the Notes due 2025 through payment or delivery, as the case may be, of cash, shares of its common stock or a combination of cash and shares of its common stock, at the Company’s election. Accordingly, on May 20, 2020, the embedded derivative liability was remeasured at a fair value of $116.3 million and was then reclassified to additional paid-in-capital in the condensed consolidated balance sheet in the second quarter of 2020 and is no longer remeasured as long as it continues to meet the conditions for equity classification. The Company recorded the change in the fair value of the embedded derivative in other expense, net in the consolidated statement of operations during the year ended December 31, 2020.</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separated the Notes due 2025 into liability and equity components, this resulted in a tax basis difference associated with the liability component that represents a temporary difference. The Company recognized the deferred taxes of $0.2 million for the tax effect of that temporary difference as an adjustment to the equity component included in additional paid-in capital in the consolidated balance sheet.</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fair value and the change in fair value for the convertible note embedded derivative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940" w:type="dxa"/>
            <w:vAlign w:val="bottom"/>
          </w:tcPr>
          <w:p>
            <w:pPr>
              <w:ind w:left="20"/>
              <w:spacing w:after="0"/>
              <w:rPr>
                <w:sz w:val="20"/>
                <w:szCs w:val="20"/>
                <w:color w:val="auto"/>
              </w:rPr>
            </w:pPr>
            <w:r>
              <w:rPr>
                <w:rFonts w:ascii="Arial" w:cs="Arial" w:eastAsia="Arial" w:hAnsi="Arial"/>
                <w:sz w:val="13"/>
                <w:szCs w:val="13"/>
                <w:b w:val="1"/>
                <w:bCs w:val="1"/>
                <w:color w:val="auto"/>
              </w:rPr>
              <w:t>Convertible note embedded derivative liability</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0"/>
        </w:trPr>
        <w:tc>
          <w:tcPr>
            <w:tcW w:w="99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Fair value as of March 9, 2020</w:t>
            </w: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68,700</w:t>
            </w:r>
          </w:p>
        </w:tc>
      </w:tr>
      <w:tr>
        <w:trPr>
          <w:trHeight w:val="170"/>
        </w:trPr>
        <w:tc>
          <w:tcPr>
            <w:tcW w:w="9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Change in the fair value</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47,600</w:t>
            </w:r>
          </w:p>
        </w:tc>
      </w:tr>
      <w:tr>
        <w:trPr>
          <w:trHeight w:val="185"/>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Fair value as of May 20, 2020</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Debt issuance costs for the issuance of the Notes due 2025 were approximately $ 7.6 million, consisting of initial purchasers' discount and other issuance costs. In accounting for the transaction costs, the Company allocated the total amount incurred to the Notes due 2025 host contract. Transaction costs were recorded as debt issuance cost (presented as contra debt in the consolidated balance sheet) and are being amortized to interest expense over the term of the Notes due 2025.</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total amount of interest cost recognized relating to the Notes due 2025 (in thousands):</w:t>
      </w:r>
    </w:p>
    <w:p>
      <w:pPr>
        <w:spacing w:after="0" w:line="111" w:lineRule="exact"/>
        <w:rPr>
          <w:sz w:val="20"/>
          <w:szCs w:val="20"/>
          <w:color w:val="auto"/>
        </w:rPr>
      </w:pPr>
    </w:p>
    <w:p>
      <w:pPr>
        <w:ind w:left="9460"/>
        <w:spacing w:after="0"/>
        <w:rPr>
          <w:sz w:val="20"/>
          <w:szCs w:val="20"/>
          <w:color w:val="auto"/>
        </w:rPr>
      </w:pPr>
      <w:r>
        <w:rPr>
          <w:rFonts w:ascii="Arial" w:cs="Arial" w:eastAsia="Arial" w:hAnsi="Arial"/>
          <w:sz w:val="11"/>
          <w:szCs w:val="11"/>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143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Contractual interest expense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Amortization of debt discount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161530" cy="1079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interest cost recognized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20" w:type="dxa"/>
            <w:vAlign w:val="bottom"/>
            <w:tcBorders>
              <w:top w:val="single" w:sz="8" w:color="auto"/>
            </w:tcBorders>
          </w:tcPr>
          <w:p>
            <w:pPr>
              <w:jc w:val="right"/>
              <w:ind w:right="656"/>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649</w:t>
            </w:r>
          </w:p>
        </w:tc>
      </w:tr>
      <w:tr>
        <w:trPr>
          <w:trHeight w:val="170"/>
        </w:trPr>
        <w:tc>
          <w:tcPr>
            <w:tcW w:w="8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10,072</w:t>
            </w:r>
          </w:p>
        </w:tc>
      </w:tr>
      <w:tr>
        <w:trPr>
          <w:trHeight w:val="172"/>
        </w:trPr>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w:t>
            </w:r>
          </w:p>
        </w:tc>
      </w:tr>
      <w:tr>
        <w:trPr>
          <w:trHeight w:val="162"/>
        </w:trPr>
        <w:tc>
          <w:tcPr>
            <w:tcW w:w="8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11,950</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8580" w:space="720"/>
            <w:col w:w="1980"/>
          </w:cols>
          <w:pgMar w:left="300" w:top="250" w:right="319" w:bottom="1440" w:gutter="0" w:footer="0" w:header="0"/>
          <w:type w:val="continuous"/>
        </w:sectPr>
      </w:pPr>
    </w:p>
    <w:p>
      <w:pPr>
        <w:ind w:firstLine="382"/>
        <w:spacing w:after="0" w:line="296" w:lineRule="auto"/>
        <w:rPr>
          <w:sz w:val="20"/>
          <w:szCs w:val="20"/>
          <w:color w:val="auto"/>
        </w:rPr>
      </w:pPr>
      <w:r>
        <w:rPr>
          <w:rFonts w:ascii="Arial" w:cs="Arial" w:eastAsia="Arial" w:hAnsi="Arial"/>
          <w:sz w:val="14"/>
          <w:szCs w:val="14"/>
          <w:color w:val="auto"/>
        </w:rPr>
        <w:t>The derived effective interest rate on the Notes due 2025 host contract was determined to be 5.18%, which remain unchanged from the date of issuance. The remaining unamortized debt discount was $58.6 million as of December 31, 2020, and will be amortized over approximately 4.2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298450</wp:posOffset>
            </wp:positionV>
            <wp:extent cx="69596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828282"/>
        </w:rPr>
        <w:t>Enphase Energy, Inc. | 2020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due 2025 Hedge and Warrant Transactions</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In connection with the offering of the Notes due 2025, the Company entered into privately-negotiated convertible note hedge transactions pursuant to which the Company has the option to purchase a total of approximately 3.9 million shares of its common stock (subject to anti-dilution adjustments), which is the same number of shares initially issuable upon conversion of the notes, at a price of $81.54 per share, which is the initial conversion price of the Notes due 2025. The total cost of the convertible note hedge transactions was approximately $89.1 million. The convertible note hedge transactions are expected generally to reduce potential dilution to the Company’s common stock upon any conversion of the Notes due 2025 and/or offset any cash payments the Company is required to make in excess of the principal amount of converted notes, as the case may be. As of December 31, 2020, the Company had not purchased any shares under the convertible note hedge transactions.</w:t>
      </w:r>
    </w:p>
    <w:p>
      <w:pPr>
        <w:spacing w:after="0" w:line="5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Additionally, the Company separately entered into privately-negotiated warrant transactions (the “Warrants”) whereby the Company sold warrants to acquire approximately 3.9 million shares of the Company’s common stock (subject to anti-dilution adjustments) at an initial strike price of $ 106.94 per share. The Company received aggregate proceeds of approximately $71.6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2025 and to effectively increase the overall conversion price from $ 81.54 to $ 106.94 per share. The Warrants are only exercisable on the applicable expiration dates in accordance with the agreements relating to each of the Warrants. Subject to the other terms of the Warrants, the first expiration date applicable to the Warrants is June 1, 2025, and the final expiration date applicable to the Warrants is September 23, 2025. As of December 31, 2020, the Warrants had not been exercised and remained outstanding.</w:t>
      </w:r>
    </w:p>
    <w:p>
      <w:pPr>
        <w:spacing w:after="0" w:line="5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For the period from March 9, 2020, the issuance date of the convertible notes hedge and warrant transactions, through May 19, 2020, the number of authorized and unissued shares of the Company’s common stock that are not reserved for other purposes was less than the maximum number of underlying shares that will be required to settle the Notes due 2025 through the delivery of shares of the Company’s common stock. Accordingly, the convertibles note hedge and the warrant transactions could only be settled on net cash settlement basis. As a result the convertible note hedge and the warrants transaction were classified as a Convertible notes hedge asset and Warrants liability, respectively, in the consolidated balance sheet and the change in fair value of derivatives was included in other expense, net in the consolidated statement of operations.</w:t>
      </w:r>
    </w:p>
    <w:p>
      <w:pPr>
        <w:spacing w:after="0" w:line="5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On May 20, 2020, at the Company’s annual meeting of stockholders, the stockholders approved the Amendment, and as a result, the Convertible notes hedge asset and Warrants liabilities were remeasured at a fair value of $ 117.1 million and $96.4 million, respectively, and were then reclassified to additional paid-in-capital in the condensed consolidated balance sheet in the second quarter of 2020 and is no longer remeasured as long as they continue to meet the conditions for equity classification. The change in the fair value of the Convertible notes hedge asset and Warrants liability were recorded in other expense, net in the consolidated statements of operations during the year ended December 31, 2020.</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fair value and the change in fair value for the Convertible notes hedge asset and Warrants liability:</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8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Convertible notes hedge</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Warrants liability</w:t>
            </w:r>
          </w:p>
        </w:tc>
      </w:tr>
      <w:tr>
        <w:trPr>
          <w:trHeight w:val="139"/>
        </w:trPr>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4"/>
          </w:tcPr>
          <w:p>
            <w:pPr>
              <w:jc w:val="right"/>
              <w:ind w:right="1158"/>
              <w:spacing w:after="0"/>
              <w:rPr>
                <w:sz w:val="20"/>
                <w:szCs w:val="20"/>
                <w:color w:val="auto"/>
              </w:rPr>
            </w:pPr>
            <w:r>
              <w:rPr>
                <w:rFonts w:ascii="Arial" w:cs="Arial" w:eastAsia="Arial" w:hAnsi="Arial"/>
                <w:sz w:val="11"/>
                <w:szCs w:val="11"/>
                <w:i w:val="1"/>
                <w:iCs w:val="1"/>
                <w:color w:val="auto"/>
              </w:rPr>
              <w:t>(In thousands)</w:t>
            </w:r>
          </w:p>
        </w:tc>
      </w:tr>
      <w:tr>
        <w:trPr>
          <w:trHeight w:val="170"/>
        </w:trPr>
        <w:tc>
          <w:tcPr>
            <w:tcW w:w="8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Fair value as of March 9, 2020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71,552</w:t>
            </w:r>
          </w:p>
        </w:tc>
      </w:tr>
      <w:tr>
        <w:trPr>
          <w:trHeight w:val="170"/>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Change in the fair value</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28,052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24,799</w:t>
            </w:r>
          </w:p>
        </w:tc>
      </w:tr>
      <w:tr>
        <w:trPr>
          <w:trHeight w:val="185"/>
        </w:trPr>
        <w:tc>
          <w:tcPr>
            <w:tcW w:w="8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Fair value as of May 20,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117,108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96,351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545465</wp:posOffset>
            </wp:positionV>
            <wp:extent cx="69596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Senior Notes due 2024</w:t>
      </w:r>
    </w:p>
    <w:p>
      <w:pPr>
        <w:spacing w:after="0" w:line="96"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On June 5, 2019, the Company issued $132.0 million aggregate principal amount of 1.0% convertible senior notes due 2024 (the “Notes due 2024”). The Notes due 2024 are general unsecured obligations and bear interest at an annual rate of 1.0% per year, payable semi-annually on June 1 and December 1 of each year, beginning December 1, 2019. The Notes due 2024 are governed by an indenture between the Company and U.S. Bank National Association, as trustee. The Notes due 2024 will mature on June 1, 2024, unless earlier repurchased by the Company or converted at the option of the holders. The Company may not redeem the notes prior to the maturity date, and no sinking fund is provided for the notes. The Notes due 2024 may be converted, under certain circumstances as described below, based on an initial conversion rate of 48.7781 shares of common stock per $1,000 principal amount (which represents an initial conversion price of $20.5010 per share). The conversion rate for the Notes due 2024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$128.0 million in net proceeds, after deducting the initial purchasers’ discount, from the issuance of the Notes due 2024.</w:t>
      </w:r>
    </w:p>
    <w:p>
      <w:pPr>
        <w:spacing w:after="0" w:line="58" w:lineRule="exact"/>
        <w:rPr>
          <w:sz w:val="20"/>
          <w:szCs w:val="20"/>
          <w:color w:val="auto"/>
        </w:rPr>
      </w:pPr>
    </w:p>
    <w:p>
      <w:pPr>
        <w:jc w:val="both"/>
        <w:ind w:firstLine="382"/>
        <w:spacing w:after="0" w:line="241" w:lineRule="auto"/>
        <w:rPr>
          <w:sz w:val="20"/>
          <w:szCs w:val="20"/>
          <w:color w:val="auto"/>
        </w:rPr>
      </w:pPr>
      <w:r>
        <w:rPr>
          <w:rFonts w:ascii="Arial" w:cs="Arial" w:eastAsia="Arial" w:hAnsi="Arial"/>
          <w:sz w:val="14"/>
          <w:szCs w:val="14"/>
          <w:color w:val="auto"/>
        </w:rPr>
        <w:t>The Notes due 2024 may be converted on any day prior to the close of business on the business day immediately preceding December 1, 2023, in multiples of $1,000 principal amount, at the option of the holder only under any of the following circumstances: (1) during any calendar quarter commencing after the calendar quarter ending on September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December 1, 2023 until the close of business on the second scheduled trading day immediately preceding the maturity date of June 1, 2024, holders may convert their notes at any time, regardless of the foregoing circumstances. Upon the occurrence of a fundamental change (as defined in the relevant indenture), holders may require the Company to repurchase all or a portion of their Notes due 2024 for cash at a price equal to 100% of the principal amount of the notes to be repurchased plus any accrued and unpaid interest to, but excluding, the fundamental change repurchase date.</w:t>
      </w:r>
    </w:p>
    <w:p>
      <w:pPr>
        <w:spacing w:after="0" w:line="57"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As of December 31, 2020, the sale price of the Company’s common stock was greater than or equal to $26.6513 (130% of the notes conversion price) for at least 20 trading days (whether consecutive or not) during a period of 30 consecutive trading days preceding the quarter-ended December 31, 2020. As a result, as of December 31, 2020, the Notes due 2024 are convertible at the holders’ option through March 31, 2021. Accordingly, the Company classified the net carrying amount of the Notes due 2024 of $ 69.0 million as Debt, current on the consolidated balance sheet as of December 31, 2020. From January 1, 2021 through February 12, 2021, the Company has received the request for conversion of approximately $61.5 million in principal amount of Notes due 2024, of which the Company has elected to settle the aggregate principal amount of the Notes due 2024 in a combination of cash and any excess in shares of the Company’s common stock in accordance with the applicable indenture. Such conversion will be settled in March 2021.</w:t>
      </w:r>
    </w:p>
    <w:p>
      <w:pPr>
        <w:spacing w:after="0" w:line="53"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In accounting for the issuance of the Notes due 2024, on June 5, 2019, the Company separated the Notes due 2024 into liability and equity components. The carrying amount of the liability component of approximately $95.6 million was calculated by using a discount rate of 7.75%, which was the Company’s borrowing rate on the date of the issuance of the notes for a similar debt instrument without the conversion feature. The carrying amount of the equity component of approximately $36.4 million, representing the conversion option, was determined by deducting the fair value of the liability component from the par value of the Notes due 2024. The equity component of the Notes due 2024 is included in additional paid-in capital in the consolidated balance sheet and is not remeasured as long as it continues to meet the conditions for equity classification. The difference between the principal amount of the Notes due 2024 and the liability component (the “debt discount”) is amortized to interest expense using the effective interest method over the term of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314325</wp:posOffset>
            </wp:positionV>
            <wp:extent cx="69596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separated the Notes due 2024 into liability and equity components, this resulted in a tax basis difference associated with the liability component that represents a temporary difference. The Company recognized the deferred taxes of $0.3 million for the tax effect of that temporary difference as an adjustment to the equity component included in additional paid-in capital in the consolidated balance sheet.</w:t>
      </w:r>
    </w:p>
    <w:p>
      <w:pPr>
        <w:spacing w:after="0" w:line="4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Debt issuance costs for the issuance of the Notes due 2024 were approximately $4.6 million, consisting of initial purchasers' discount and other issuance costs. In accounting for the transaction costs, the Company allocated the total amount incurred to the liability and equity components using the same proportions as the proceeds from the Notes due 2024. Transaction costs attributable to the liability component were approximately $3.3 million, were recorded as debt issuance cost (presented as contra debt in the consolidated balance sheet) and are being amortized to interest expense over the term of the Notes due 2024. The transaction costs attributable to the equity component were approximately $ 1.3 million and were netted with the equity component in stockholders’ equity. As of December 31, 2020 and 2019, the unamortized deferred issuance cost for the Notes due 2024 was $1.5 million and $2.9 million, respectively, on the consolidated balance sheets.</w:t>
      </w:r>
    </w:p>
    <w:p>
      <w:pPr>
        <w:spacing w:after="0" w:line="5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During the fourth quarter of 2020, holders converted $43.9 million in aggregate principal amount of the Notes due 2024, the principal amount of which was repaid in cash. Of the $43.9 million in aggregate principal amount, $ 38.5 million in aggregate principal amount was settled pursuant to an exchange agreement entered into in December 2020 with certain holders of Notes due 2024. The Company also issued 1.9 million shares of its common stock to the holders with an aggregate fair value of $301.0 million, representing the conversion value in excess of the principal amount of the Notes due 2024, which were fully offset by shares received from the Company’s exercise of the associated note hedging arrangements discussed below. The total amount of $43.9 million paid to partially settle the Notes due 2024 was allocated between the liability and equity components of the amount extinguished by determining the fair value of the liability component immediately prior to the notes settlement and allocating that portion of the conversion price to the liability component in the amount of $37.2 million. The residual of the conversion price of $6.7 million was allocated to the equity component of the Notes due 2024 as a reduction of additional paid-in capital. The fair value of the notes settlement was calculated using a discount rate of 5.75%, representing an estimate of the Company's borrowing rate at the date of repurchase with a remaining expected life of approximately 3.6 years. As part of the settlement, the Company wrote-off the $ 8.9 million unamortized debt discount and $0.8 million debt issuance cost apportioned to the principal amount of Notes due 2024 settled. The Company also recorded a loss on partial settlement of the Notes due 2024 of $3.0 million in Other expense, net, representing the difference between the consideration attributed to the liability component and the sum of the net carrying amount of the liability component and unamortized debt issuance costs. As of December 31, 2020, $88.1 million aggregate principal amount of the Notes due 2024 remains outstanding.</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total amount of interest cost recognized in the statement of operations relating to the Notes due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1"/>
                <w:szCs w:val="11"/>
                <w:b w:val="1"/>
                <w:bCs w:val="1"/>
                <w:color w:val="auto"/>
              </w:rPr>
              <w:t>Years Ended December 31,</w:t>
            </w:r>
          </w:p>
        </w:tc>
        <w:tc>
          <w:tcPr>
            <w:tcW w:w="520" w:type="dxa"/>
            <w:vAlign w:val="bottom"/>
            <w:tcBorders>
              <w:bottom w:val="single" w:sz="8" w:color="auto"/>
            </w:tcBorders>
          </w:tcPr>
          <w:p>
            <w:pPr>
              <w:spacing w:after="0"/>
              <w:rPr>
                <w:sz w:val="13"/>
                <w:szCs w:val="13"/>
                <w:color w:val="auto"/>
              </w:rPr>
            </w:pPr>
          </w:p>
        </w:tc>
      </w:tr>
      <w:tr>
        <w:trPr>
          <w:trHeight w:val="139"/>
        </w:trPr>
        <w:tc>
          <w:tcPr>
            <w:tcW w:w="8020" w:type="dxa"/>
            <w:vAlign w:val="bottom"/>
          </w:tcPr>
          <w:p>
            <w:pPr>
              <w:spacing w:after="0"/>
              <w:rPr>
                <w:sz w:val="12"/>
                <w:szCs w:val="1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2"/>
                <w:szCs w:val="12"/>
                <w:color w:val="auto"/>
              </w:rPr>
            </w:pPr>
          </w:p>
        </w:tc>
      </w:tr>
      <w:tr>
        <w:trPr>
          <w:trHeight w:val="139"/>
        </w:trPr>
        <w:tc>
          <w:tcPr>
            <w:tcW w:w="8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80" w:type="dxa"/>
            <w:vAlign w:val="bottom"/>
            <w:gridSpan w:val="3"/>
          </w:tcPr>
          <w:p>
            <w:pPr>
              <w:jc w:val="right"/>
              <w:ind w:right="679"/>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Pr>
          <w:p>
            <w:pPr>
              <w:spacing w:after="0"/>
              <w:rPr>
                <w:sz w:val="12"/>
                <w:szCs w:val="12"/>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r>
      <w:tr>
        <w:trPr>
          <w:trHeight w:val="170"/>
        </w:trPr>
        <w:tc>
          <w:tcPr>
            <w:tcW w:w="8020" w:type="dxa"/>
            <w:vAlign w:val="bottom"/>
          </w:tcPr>
          <w:p>
            <w:pPr>
              <w:ind w:left="20"/>
              <w:spacing w:after="0"/>
              <w:rPr>
                <w:sz w:val="20"/>
                <w:szCs w:val="20"/>
                <w:color w:val="auto"/>
              </w:rPr>
            </w:pPr>
            <w:r>
              <w:rPr>
                <w:rFonts w:ascii="Arial" w:cs="Arial" w:eastAsia="Arial" w:hAnsi="Arial"/>
                <w:sz w:val="13"/>
                <w:szCs w:val="13"/>
                <w:color w:val="auto"/>
              </w:rPr>
              <w:t>Amortization of debt discount</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6,325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3,492</w:t>
            </w: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10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160"/>
        </w:trPr>
        <w:tc>
          <w:tcPr>
            <w:tcW w:w="8020" w:type="dxa"/>
            <w:vAlign w:val="bottom"/>
          </w:tcPr>
          <w:p>
            <w:pPr>
              <w:ind w:left="120"/>
              <w:spacing w:after="0"/>
              <w:rPr>
                <w:sz w:val="20"/>
                <w:szCs w:val="20"/>
                <w:color w:val="auto"/>
              </w:rPr>
            </w:pPr>
            <w:r>
              <w:rPr>
                <w:rFonts w:ascii="Arial" w:cs="Arial" w:eastAsia="Arial" w:hAnsi="Arial"/>
                <w:sz w:val="13"/>
                <w:szCs w:val="13"/>
                <w:color w:val="auto"/>
              </w:rPr>
              <w:t>Total interest cost recognized</w:t>
            </w:r>
          </w:p>
        </w:tc>
        <w:tc>
          <w:tcPr>
            <w:tcW w:w="1060" w:type="dxa"/>
            <w:vAlign w:val="bottom"/>
            <w:tcBorders>
              <w:bottom w:val="single" w:sz="8" w:color="auto"/>
            </w:tcBorders>
          </w:tcPr>
          <w:p>
            <w:pPr>
              <w:jc w:val="right"/>
              <w:ind w:right="90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8,255</w:t>
            </w: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4,626</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effective interest rate on the liability component Notes due 2024 was 7.75% for the year ended December 31, 2020, which remains unchanged from the date of issuance. The remaining unamortized debt discount was $17.6 million and $32.9 million as of December 31, 2020 and December 31, 2019, respectively, and will be amortized over approximately 3.4 years from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314960</wp:posOffset>
            </wp:positionV>
            <wp:extent cx="69596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due 2024 Hedge and Warrant Transactions</w:t>
      </w:r>
    </w:p>
    <w:p>
      <w:pPr>
        <w:spacing w:after="0" w:line="9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In connection with the offering of the Notes due 2024, the Company entered into privately-negotiated convertible note hedge transactions pursuant to which the Company has the option to purchase a total of approximately 6.4 million shares of its common stock (subject to anti-dilution adjustments), which is the same number of shares initially issuable upon conversion of the notes, at a price of $20.5010 per share, which is the initial conversion price of the Notes due 2024. The total cost of the convertible note hedge transactions was approximately $36.3 million. The convertible note hedge transactions are expected generally to reduce potential dilution to the Company’s common stock upon any conversion of the Notes due 2024 and/or offset any cash payments the Company is required to make in excess of the principal amount of converted notes, as the case may be.</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As a result of the conversion request received from the holders of $43.9 million in aggregate principal amount of the Notes due 2024 in the fourth quarter of 2020, the Company exercised the 2.1 million shares representing proportionate number of the convertible note hedge transaction and received 1.9 million shares on net basis of its common stock during the period. As of December 31, 2020, option to purchase a total of approximately 4.3 million shares remain outstanding.</w:t>
      </w:r>
    </w:p>
    <w:p>
      <w:pPr>
        <w:spacing w:after="0" w:line="43"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Additionally, the Company separately entered into privately-negotiated warrant transactions (the “Warrants”) whereby the Company sold warrants to acquire approximately 6.4 million shares of the Company’s common stock (subject to anti-dilution adjustments) at an initial strike price of $25.2320 per share. The Company received aggregate proceeds of approximately $29.8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2024 and to effectively increase the overall conversion price from $20.5010 to $ 25.2320 per share. The Warrants are only exercisable on the applicable expiration dates in accordance with the Warrants. Subject to the other terms of the Warrants, the first expiration date applicable to the Warrants is September 1, 2024, and the final expiration date applicable to the Warrants is April 22, 2025.</w:t>
      </w:r>
    </w:p>
    <w:p>
      <w:pPr>
        <w:spacing w:after="0" w:line="5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During the fourth quarter of 2020, the Company entered into partial unwind agreements to unwind number of warrants exercisable under the note hedge arrangements and to issue approximately 2.1 million Warrants on a net basis, resulting in a net issuance of approximately 1.9 million shares of the Company’s common stock in connection with the exchange of the Notes due 2024. As of December 31, 2020, Warrants exercisable to purchase a total of approximately 4.3 million shares remains outstanding.</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Given that the transactions meet certain accounting criteria, the Notes due 2024 hedge and the warrants transactions are recorded in stockholders’ equity, and they are not accounted for as derivatives and are not remeasured each reporting period.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Senior Notes due 2023</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August 2018, the Company sold $65.0 million aggregate principal amount of 4.0% convertible senior notes due 2023 (the “Notes due 2023”) in a private placement. On May 30, 2019, the Company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both December 31, 2020 and December 31, 2019, $5.0 million aggregate principal amount of the Notes due 2023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311785</wp:posOffset>
            </wp:positionV>
            <wp:extent cx="69596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color w:val="auto"/>
        </w:rPr>
        <w:t>The remaining outstanding Notes due 2023 are general unsecured obligations and bear interest at a rate of 4.0% per year, payable semi-annually on February 1 and August 1 of each year. The Notes due 2023 are governed by an indenture between the Company and U.S. Bank National Association, as trustee. The remaining outstanding Notes due 2023 will mature on August 1, 2023, unless earlier repurchased by the Company or converted at the option of the holders. The Company may not redeem the remaining Notes due 2023 prior to the maturity date, and no sinking fund is provided for such notes. The remaining Notes due 2023 are convertible, at a holder’s election, in multiples of $1,000 principal amount, into shares of the Company’s common stock based on the applicable conversion rate. The initial conversion rate for such notes is 180.0180 shares of common stock per $1,000 principal amount of notes (which is equivalent to an initial conversion price of approximately $5.56 per share). The conversion rate and the corresponding conversion price are subject to adjustment upon the occurrence of certain events but will not be adjusted for any accrued and unpaid interest. Holders of the remaining Notes due 2023 who convert their notes in connection with a make-whole fundamental change (as defined in the applicable indenture) are, under certain circumstances, entitled to an increase in the conversion rate. Additionally, in the event of a fundamental change, holders of the remaining Notes due 2023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due 2023 at their option at any time prior to the close of business on the business day immediately preceding the maturity date, in multiples of $1,000 principal amount.</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amount of interest cost recognized relating to the contractual interest coupon and the amortization of debt issuance costs of the Notes due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1"/>
                <w:szCs w:val="11"/>
                <w:b w:val="1"/>
                <w:bCs w:val="1"/>
                <w:color w:val="auto"/>
              </w:rPr>
              <w:t>Years Ended December 31,</w:t>
            </w:r>
          </w:p>
        </w:tc>
        <w:tc>
          <w:tcPr>
            <w:tcW w:w="520" w:type="dxa"/>
            <w:vAlign w:val="bottom"/>
            <w:tcBorders>
              <w:bottom w:val="single" w:sz="8" w:color="auto"/>
            </w:tcBorders>
          </w:tcPr>
          <w:p>
            <w:pPr>
              <w:spacing w:after="0"/>
              <w:rPr>
                <w:sz w:val="13"/>
                <w:szCs w:val="13"/>
                <w:color w:val="auto"/>
              </w:rPr>
            </w:pPr>
          </w:p>
        </w:tc>
      </w:tr>
      <w:tr>
        <w:trPr>
          <w:trHeight w:val="139"/>
        </w:trPr>
        <w:tc>
          <w:tcPr>
            <w:tcW w:w="8020" w:type="dxa"/>
            <w:vAlign w:val="bottom"/>
          </w:tcPr>
          <w:p>
            <w:pPr>
              <w:spacing w:after="0"/>
              <w:rPr>
                <w:sz w:val="12"/>
                <w:szCs w:val="12"/>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2"/>
                <w:szCs w:val="12"/>
                <w:color w:val="auto"/>
              </w:rPr>
            </w:pPr>
          </w:p>
        </w:tc>
      </w:tr>
      <w:tr>
        <w:trPr>
          <w:trHeight w:val="139"/>
        </w:trPr>
        <w:tc>
          <w:tcPr>
            <w:tcW w:w="8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gridSpan w:val="3"/>
          </w:tcPr>
          <w:p>
            <w:pPr>
              <w:jc w:val="right"/>
              <w:ind w:right="679"/>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Pr>
          <w:p>
            <w:pPr>
              <w:spacing w:after="0"/>
              <w:rPr>
                <w:sz w:val="12"/>
                <w:szCs w:val="12"/>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w:t>
            </w:r>
          </w:p>
        </w:tc>
      </w:tr>
      <w:tr>
        <w:trPr>
          <w:trHeight w:val="1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Amortization of debt issuance costs</w:t>
            </w: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r>
      <w:tr>
        <w:trPr>
          <w:trHeight w:val="185"/>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interest costs recognized</w:t>
            </w: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Long-Term Financing Receivables</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 $2.8 million. This transaction was recorded as debt on the accompanying consolidated balance sheets, and the debt balance was relieved in January 2019 as the underlying receivables were settled. During the year ended December 31, 2018, the third party made three additional purchases of receivables that resulted in total net proceeds to the Company of $5.6 million. These transactions were recorded as debt on the accompanying consolidated balance sheets, and the total associated debt balance will be relieved by September 2021 as the underlying receivables are settled. As of December 31, 2020, the total sale of long-term financing receivable recorded as debt of $1.9 million remains outstanding.</w:t>
      </w:r>
    </w:p>
    <w:p>
      <w:pPr>
        <w:spacing w:after="0" w:line="369" w:lineRule="exact"/>
        <w:rPr>
          <w:sz w:val="20"/>
          <w:szCs w:val="20"/>
          <w:color w:val="auto"/>
        </w:rPr>
      </w:pPr>
    </w:p>
    <w:p>
      <w:pPr>
        <w:ind w:left="360" w:hanging="355"/>
        <w:spacing w:after="0"/>
        <w:tabs>
          <w:tab w:leader="none" w:pos="3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Leases</w:t>
      </w:r>
    </w:p>
    <w:p>
      <w:pPr>
        <w:spacing w:after="0" w:line="96"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The Company leases office facilities under noncancelable operating leases that expire on various dates through 2031, some of which may include options to extend the leases for up to 12 years.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components of lease expense are presented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1"/>
                <w:szCs w:val="11"/>
                <w:b w:val="1"/>
                <w:bCs w:val="1"/>
                <w:color w:val="auto"/>
              </w:rPr>
              <w:t>Years Ended December 31,</w:t>
            </w:r>
          </w:p>
        </w:tc>
      </w:tr>
      <w:tr>
        <w:trPr>
          <w:trHeight w:val="139"/>
        </w:trPr>
        <w:tc>
          <w:tcPr>
            <w:tcW w:w="80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42"/>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2019</w:t>
            </w:r>
          </w:p>
        </w:tc>
      </w:tr>
      <w:tr>
        <w:trPr>
          <w:trHeight w:val="139"/>
        </w:trPr>
        <w:tc>
          <w:tcPr>
            <w:tcW w:w="8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2"/>
          </w:tcPr>
          <w:p>
            <w:pPr>
              <w:jc w:val="center"/>
              <w:ind w:left="662"/>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Pr>
          <w:p>
            <w:pPr>
              <w:spacing w:after="0"/>
              <w:rPr>
                <w:sz w:val="12"/>
                <w:szCs w:val="12"/>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5,332</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370840</wp:posOffset>
            </wp:positionV>
            <wp:extent cx="695960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1" w:name="page112"/>
    <w:bookmarkEnd w:id="11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components of lease liabilities are presented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280"/>
              <w:spacing w:after="0"/>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8"/>
        </w:trPr>
        <w:tc>
          <w:tcPr>
            <w:tcW w:w="7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center"/>
              <w:ind w:left="840"/>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current (Accrued liabilities)</w:t>
            </w:r>
          </w:p>
        </w:tc>
        <w:tc>
          <w:tcPr>
            <w:tcW w:w="4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w:t>
            </w:r>
          </w:p>
        </w:tc>
        <w:tc>
          <w:tcPr>
            <w:tcW w:w="420" w:type="dxa"/>
            <w:vAlign w:val="bottom"/>
            <w:gridSpan w:val="3"/>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Operating lease liabilities, noncurrent (Other liabilities)</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operating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19,751</w:t>
            </w:r>
          </w:p>
        </w:tc>
        <w:tc>
          <w:tcPr>
            <w:tcW w:w="42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798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lease information:</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80" w:type="dxa"/>
            <w:vAlign w:val="bottom"/>
          </w:tcPr>
          <w:p>
            <w:pPr>
              <w:ind w:left="20"/>
              <w:spacing w:after="0"/>
              <w:rPr>
                <w:sz w:val="20"/>
                <w:szCs w:val="20"/>
                <w:color w:val="auto"/>
              </w:rPr>
            </w:pPr>
            <w:r>
              <w:rPr>
                <w:rFonts w:ascii="Arial" w:cs="Arial" w:eastAsia="Arial" w:hAnsi="Arial"/>
                <w:sz w:val="13"/>
                <w:szCs w:val="13"/>
                <w:color w:val="auto"/>
              </w:rPr>
              <w:t>Weighted average remaining lease term</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00"/>
              <w:spacing w:after="0"/>
              <w:rPr>
                <w:sz w:val="20"/>
                <w:szCs w:val="20"/>
                <w:color w:val="auto"/>
              </w:rPr>
            </w:pPr>
            <w:r>
              <w:rPr>
                <w:rFonts w:ascii="Arial" w:cs="Arial" w:eastAsia="Arial" w:hAnsi="Arial"/>
                <w:sz w:val="13"/>
                <w:szCs w:val="13"/>
                <w:color w:val="auto"/>
              </w:rPr>
              <w:t>6.4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238"/>
              <w:spacing w:after="0"/>
              <w:rPr>
                <w:sz w:val="20"/>
                <w:szCs w:val="20"/>
                <w:color w:val="auto"/>
              </w:rPr>
            </w:pPr>
            <w:r>
              <w:rPr>
                <w:rFonts w:ascii="Arial" w:cs="Arial" w:eastAsia="Arial" w:hAnsi="Arial"/>
                <w:sz w:val="13"/>
                <w:szCs w:val="13"/>
                <w:color w:val="auto"/>
                <w:w w:val="97"/>
              </w:rPr>
              <w:t>5.5 years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discount rate</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00"/>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98"/>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7980" w:type="dxa"/>
            <w:vAlign w:val="bottom"/>
          </w:tcPr>
          <w:p>
            <w:pPr>
              <w:ind w:left="380"/>
              <w:spacing w:after="0"/>
              <w:rPr>
                <w:sz w:val="20"/>
                <w:szCs w:val="20"/>
                <w:color w:val="auto"/>
              </w:rPr>
            </w:pPr>
            <w:r>
              <w:rPr>
                <w:rFonts w:ascii="Arial" w:cs="Arial" w:eastAsia="Arial" w:hAnsi="Arial"/>
                <w:sz w:val="14"/>
                <w:szCs w:val="14"/>
                <w:color w:val="auto"/>
              </w:rPr>
              <w:t>Supplemental cash flow and other information related to operating leases, are as follows: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39"/>
        </w:trPr>
        <w:tc>
          <w:tcPr>
            <w:tcW w:w="7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0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278"/>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980" w:type="dxa"/>
            <w:vAlign w:val="bottom"/>
            <w:vMerge w:val="restart"/>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right"/>
              <w:ind w:right="36"/>
              <w:spacing w:after="0"/>
              <w:rPr>
                <w:sz w:val="20"/>
                <w:szCs w:val="20"/>
                <w:color w:val="auto"/>
              </w:rPr>
            </w:pPr>
            <w:r>
              <w:rPr>
                <w:rFonts w:ascii="Arial" w:cs="Arial" w:eastAsia="Arial" w:hAnsi="Arial"/>
                <w:sz w:val="11"/>
                <w:szCs w:val="11"/>
                <w:i w:val="1"/>
                <w:iCs w:val="1"/>
                <w:color w:val="auto"/>
              </w:rPr>
              <w:t>(In thousands)</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cash flows from operating leases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4,762</w:t>
            </w: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3,636</w:t>
            </w:r>
          </w:p>
        </w:tc>
        <w:tc>
          <w:tcPr>
            <w:tcW w:w="0" w:type="dxa"/>
            <w:vAlign w:val="bottom"/>
          </w:tcPr>
          <w:p>
            <w:pPr>
              <w:spacing w:after="0"/>
              <w:rPr>
                <w:sz w:val="1"/>
                <w:szCs w:val="1"/>
                <w:color w:val="auto"/>
              </w:rPr>
            </w:pPr>
          </w:p>
        </w:tc>
      </w:tr>
      <w:tr>
        <w:trPr>
          <w:trHeight w:val="170"/>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activities:</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tcPr>
          <w:p>
            <w:pPr>
              <w:ind w:left="120"/>
              <w:spacing w:after="0"/>
              <w:rPr>
                <w:sz w:val="20"/>
                <w:szCs w:val="20"/>
                <w:color w:val="auto"/>
              </w:rPr>
            </w:pPr>
            <w:r>
              <w:rPr>
                <w:rFonts w:ascii="Arial" w:cs="Arial" w:eastAsia="Arial" w:hAnsi="Arial"/>
                <w:sz w:val="13"/>
                <w:szCs w:val="13"/>
                <w:color w:val="auto"/>
              </w:rPr>
              <w:t>Lease liabilities arising from obtaining right-of-use assets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4"/>
                <w:szCs w:val="14"/>
                <w:color w:val="auto"/>
              </w:rPr>
            </w:pPr>
          </w:p>
        </w:tc>
        <w:tc>
          <w:tcPr>
            <w:tcW w:w="1220" w:type="dxa"/>
            <w:vAlign w:val="bottom"/>
          </w:tcPr>
          <w:p>
            <w:pPr>
              <w:jc w:val="right"/>
              <w:ind w:right="100"/>
              <w:spacing w:after="0"/>
              <w:rPr>
                <w:sz w:val="20"/>
                <w:szCs w:val="20"/>
                <w:color w:val="auto"/>
              </w:rPr>
            </w:pPr>
            <w:r>
              <w:rPr>
                <w:rFonts w:ascii="Arial" w:cs="Arial" w:eastAsia="Arial" w:hAnsi="Arial"/>
                <w:sz w:val="13"/>
                <w:szCs w:val="13"/>
                <w:color w:val="auto"/>
              </w:rPr>
              <w:t>10,625</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4,834</w:t>
            </w:r>
          </w:p>
        </w:tc>
        <w:tc>
          <w:tcPr>
            <w:tcW w:w="0" w:type="dxa"/>
            <w:vAlign w:val="bottom"/>
          </w:tcPr>
          <w:p>
            <w:pPr>
              <w:spacing w:after="0"/>
              <w:rPr>
                <w:sz w:val="1"/>
                <w:szCs w:val="1"/>
                <w:color w:val="auto"/>
              </w:rPr>
            </w:pPr>
          </w:p>
        </w:tc>
      </w:tr>
      <w:tr>
        <w:trPr>
          <w:trHeight w:val="329"/>
        </w:trPr>
        <w:tc>
          <w:tcPr>
            <w:tcW w:w="7980" w:type="dxa"/>
            <w:vAlign w:val="bottom"/>
          </w:tcPr>
          <w:p>
            <w:pPr>
              <w:ind w:left="380"/>
              <w:spacing w:after="0"/>
              <w:rPr>
                <w:sz w:val="20"/>
                <w:szCs w:val="20"/>
                <w:color w:val="auto"/>
              </w:rPr>
            </w:pPr>
            <w:r>
              <w:rPr>
                <w:rFonts w:ascii="Arial" w:cs="Arial" w:eastAsia="Arial" w:hAnsi="Arial"/>
                <w:sz w:val="14"/>
                <w:szCs w:val="14"/>
                <w:color w:val="auto"/>
              </w:rPr>
              <w:t>Undiscounted cash flows of operating lease liabilities as of December 31, 2020 are as follows: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Lease Amounts</w:t>
            </w:r>
          </w:p>
        </w:tc>
        <w:tc>
          <w:tcPr>
            <w:tcW w:w="0" w:type="dxa"/>
            <w:vAlign w:val="bottom"/>
          </w:tcPr>
          <w:p>
            <w:pPr>
              <w:spacing w:after="0"/>
              <w:rPr>
                <w:sz w:val="1"/>
                <w:szCs w:val="1"/>
                <w:color w:val="auto"/>
              </w:rPr>
            </w:pPr>
          </w:p>
        </w:tc>
      </w:tr>
      <w:tr>
        <w:trPr>
          <w:trHeight w:val="139"/>
        </w:trPr>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80" w:type="dxa"/>
            <w:vAlign w:val="bottom"/>
          </w:tcPr>
          <w:p>
            <w:pPr>
              <w:ind w:left="160"/>
              <w:spacing w:after="0"/>
              <w:rPr>
                <w:sz w:val="20"/>
                <w:szCs w:val="20"/>
                <w:color w:val="auto"/>
              </w:rPr>
            </w:pPr>
            <w:r>
              <w:rPr>
                <w:rFonts w:ascii="Arial" w:cs="Arial" w:eastAsia="Arial" w:hAnsi="Arial"/>
                <w:sz w:val="13"/>
                <w:szCs w:val="13"/>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gridSpan w:val="3"/>
          </w:tcPr>
          <w:p>
            <w:pPr>
              <w:jc w:val="right"/>
              <w:ind w:right="96"/>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5,830</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2022</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4,677</w:t>
            </w:r>
          </w:p>
        </w:tc>
        <w:tc>
          <w:tcPr>
            <w:tcW w:w="0" w:type="dxa"/>
            <w:vAlign w:val="bottom"/>
          </w:tcPr>
          <w:p>
            <w:pPr>
              <w:spacing w:after="0"/>
              <w:rPr>
                <w:sz w:val="1"/>
                <w:szCs w:val="1"/>
                <w:color w:val="auto"/>
              </w:rPr>
            </w:pPr>
          </w:p>
        </w:tc>
      </w:tr>
      <w:tr>
        <w:trPr>
          <w:trHeight w:val="170"/>
        </w:trPr>
        <w:tc>
          <w:tcPr>
            <w:tcW w:w="7980" w:type="dxa"/>
            <w:vAlign w:val="bottom"/>
          </w:tcPr>
          <w:p>
            <w:pPr>
              <w:ind w:left="160"/>
              <w:spacing w:after="0"/>
              <w:rPr>
                <w:sz w:val="20"/>
                <w:szCs w:val="20"/>
                <w:color w:val="auto"/>
              </w:rPr>
            </w:pPr>
            <w:r>
              <w:rPr>
                <w:rFonts w:ascii="Arial" w:cs="Arial" w:eastAsia="Arial" w:hAnsi="Arial"/>
                <w:sz w:val="13"/>
                <w:szCs w:val="13"/>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4,056</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2024</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3,069</w:t>
            </w:r>
          </w:p>
        </w:tc>
        <w:tc>
          <w:tcPr>
            <w:tcW w:w="0" w:type="dxa"/>
            <w:vAlign w:val="bottom"/>
          </w:tcPr>
          <w:p>
            <w:pPr>
              <w:spacing w:after="0"/>
              <w:rPr>
                <w:sz w:val="1"/>
                <w:szCs w:val="1"/>
                <w:color w:val="auto"/>
              </w:rPr>
            </w:pPr>
          </w:p>
        </w:tc>
      </w:tr>
      <w:tr>
        <w:trPr>
          <w:trHeight w:val="170"/>
        </w:trPr>
        <w:tc>
          <w:tcPr>
            <w:tcW w:w="7980" w:type="dxa"/>
            <w:vAlign w:val="bottom"/>
          </w:tcPr>
          <w:p>
            <w:pPr>
              <w:ind w:left="160"/>
              <w:spacing w:after="0"/>
              <w:rPr>
                <w:sz w:val="20"/>
                <w:szCs w:val="20"/>
                <w:color w:val="auto"/>
              </w:rPr>
            </w:pPr>
            <w:r>
              <w:rPr>
                <w:rFonts w:ascii="Arial" w:cs="Arial" w:eastAsia="Arial" w:hAnsi="Arial"/>
                <w:sz w:val="13"/>
                <w:szCs w:val="13"/>
                <w:color w:val="auto"/>
              </w:rPr>
              <w:t>2025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2,275</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2026 and thereafter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3,968</w:t>
            </w:r>
          </w:p>
        </w:tc>
        <w:tc>
          <w:tcPr>
            <w:tcW w:w="0" w:type="dxa"/>
            <w:vAlign w:val="bottom"/>
          </w:tcPr>
          <w:p>
            <w:pPr>
              <w:spacing w:after="0"/>
              <w:rPr>
                <w:sz w:val="1"/>
                <w:szCs w:val="1"/>
                <w:color w:val="auto"/>
              </w:rPr>
            </w:pPr>
          </w:p>
        </w:tc>
      </w:tr>
      <w:tr>
        <w:trPr>
          <w:trHeight w:val="160"/>
        </w:trPr>
        <w:tc>
          <w:tcPr>
            <w:tcW w:w="7980" w:type="dxa"/>
            <w:vAlign w:val="bottom"/>
          </w:tcPr>
          <w:p>
            <w:pPr>
              <w:ind w:left="180"/>
              <w:spacing w:after="0"/>
              <w:rPr>
                <w:sz w:val="20"/>
                <w:szCs w:val="20"/>
                <w:color w:val="auto"/>
              </w:rPr>
            </w:pPr>
            <w:r>
              <w:rPr>
                <w:rFonts w:ascii="Arial" w:cs="Arial" w:eastAsia="Arial" w:hAnsi="Arial"/>
                <w:sz w:val="13"/>
                <w:szCs w:val="13"/>
                <w:color w:val="auto"/>
              </w:rPr>
              <w:t>Total lease payments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23,875</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lease interest</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(4,124)</w:t>
            </w:r>
          </w:p>
        </w:tc>
        <w:tc>
          <w:tcPr>
            <w:tcW w:w="0" w:type="dxa"/>
            <w:vAlign w:val="bottom"/>
          </w:tcPr>
          <w:p>
            <w:pPr>
              <w:spacing w:after="0"/>
              <w:rPr>
                <w:sz w:val="1"/>
                <w:szCs w:val="1"/>
                <w:color w:val="auto"/>
              </w:rPr>
            </w:pPr>
          </w:p>
        </w:tc>
      </w:tr>
      <w:tr>
        <w:trPr>
          <w:trHeight w:val="160"/>
        </w:trPr>
        <w:tc>
          <w:tcPr>
            <w:tcW w:w="7980" w:type="dxa"/>
            <w:vAlign w:val="bottom"/>
          </w:tcPr>
          <w:p>
            <w:pPr>
              <w:ind w:left="180"/>
              <w:spacing w:after="0"/>
              <w:rPr>
                <w:sz w:val="20"/>
                <w:szCs w:val="20"/>
                <w:color w:val="auto"/>
              </w:rPr>
            </w:pPr>
            <w:r>
              <w:rPr>
                <w:rFonts w:ascii="Arial" w:cs="Arial" w:eastAsia="Arial" w:hAnsi="Arial"/>
                <w:sz w:val="13"/>
                <w:szCs w:val="13"/>
                <w:color w:val="auto"/>
              </w:rPr>
              <w:t>Total lease liabilities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19,751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Obligations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has contractual obligations related to component inventory that its contract manufacturers procure on its behalf in accordance with its production forecast as well as other inventory related purchase commitments. As of December 31, 2020, these purchase obligations totaled approximately $162.2 million.</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Letter of Credits</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As of December 31, 2019, the Company had a standby letter of credit in the aggregate amount of $44.7 million, primarily in connection with one of its customer contracts. The letter of credit served as a performance security for product delivered to the customer in the first quarter of 2020 and expired on April 30, 2020. No amounts were drawn against this letter of credit. As of December 31, 2020, the Company has no letter of credits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695960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12" w:name="page113"/>
    <w:bookmarkEnd w:id="112"/>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is subject to various legal proceedings relating to claims arising out of its operations that have not been fully resolved.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February 12, 2021, the Company is not currently a party to any matters that the management expects will have an adverse material effect on the Company’s consolidated financial position,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96"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On March 26, 2020, the Office of the United States Trade Representative (the “USTR”) announced certain exclusion requests related to tariffs on Chinese imported microinverter products that fit the dimensions and weight limits within a Section 301 Tariff exclusion under U.S. note 20(ss)(40) to subchapter III of chapter 99 of the Harmonized Tariff Schedule of the United States (the “Tariff Exclusion”). The Tariff Exclusion applies to covered products under the China Section 301 Tariff Actions (“Section 301 Tariffs”) taken by the USTR exported from China to the United States from September 24, 2018 until August 7, 2020. Accordingly, the Company has sought refunds totaling approximately $38.9 million plus approximately $0.6 million accrued interest on tariffs previously paid from September 24, 2018 to March 31, 2020 for certain microinverters that qualify for the Tariff Exclusion. The refund request was subject to review and approval by the U.S. Customs and Border Protection; therefore, the Company assessed the probable loss recovery in the year ended December 31, 2020 is equal to the approved refund requests available to us prior to issuance of the financial statements on February 12, 2021.</w:t>
      </w:r>
    </w:p>
    <w:p>
      <w:pPr>
        <w:spacing w:after="0" w:line="5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As of December 31, 2020, the Company had received $24.8 million of tariff refunds and accrued for the remaining $14.7 million tariff refunds that were approved, however, not yet received on or before December 31, 2020. For the year ended December 31, 2020, the Company recorded $38.9 million as a reduction to cost of revenues in the Company’s consolidated statements of operations as the approved refunds relate to paid tariffs previously recorded to cost of revenues, therefore, the Company recorded the corresponding approved tariff refunds as credits to cost of revenues in the current period. For the year ended December 31, 2020, the Company recorded the $0.6 million accrued interest as interest income in the consolidated statement of operations. The tariff refund receivable of $14.7 million is recorded as a reduction of accounts payable to Flex Ltd. and affiliates (“Flex”), the Company’s manufacturing partner and the importer of record who will first receive the tariff refunds, on the Company’s consolidated balance sheet as of December 31, 2020. The Company is unable to predict the timing of receipt of the $14.7 million approved.</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Tariff Exclusion expired on August 7, 2020 and those microinverter products now are subject to tariffs. The Company continues to pay Section 301 Tariffs on its storage and communication products and other accessories imported from China which are not subject to the Tariff Exclusion.</w:t>
      </w:r>
    </w:p>
    <w:p>
      <w:pPr>
        <w:spacing w:after="0" w:line="68" w:lineRule="exact"/>
        <w:rPr>
          <w:sz w:val="20"/>
          <w:szCs w:val="20"/>
          <w:color w:val="auto"/>
        </w:rPr>
      </w:pPr>
    </w:p>
    <w:p>
      <w:pPr>
        <w:ind w:left="360" w:hanging="355"/>
        <w:spacing w:after="0"/>
        <w:tabs>
          <w:tab w:leader="none" w:pos="3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SALE OF COMMON STOCK</w:t>
      </w:r>
    </w:p>
    <w:p>
      <w:pPr>
        <w:spacing w:after="0" w:line="96"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In February 2018, the Company entered into a Securities Purchase Agreement with an investor pursuant to which the Company, in a private placement, issued and sold to the investor approximately 9.5 million shares of the Company’s common stock at a price per share of $2.10, for gross proceeds of approximately $20.0 million.</w:t>
      </w:r>
    </w:p>
    <w:p>
      <w:pPr>
        <w:spacing w:after="0" w:line="68" w:lineRule="exact"/>
        <w:rPr>
          <w:sz w:val="20"/>
          <w:szCs w:val="20"/>
          <w:color w:val="auto"/>
        </w:rPr>
      </w:pPr>
    </w:p>
    <w:p>
      <w:pPr>
        <w:ind w:right="8700" w:firstLine="5"/>
        <w:spacing w:after="0" w:line="372" w:lineRule="auto"/>
        <w:tabs>
          <w:tab w:leader="none" w:pos="354"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STOCK-BASED COMPENSATION Description of Equity Incentive Plans </w:t>
      </w:r>
      <w:r>
        <w:rPr>
          <w:rFonts w:ascii="Arial" w:cs="Arial" w:eastAsia="Arial" w:hAnsi="Arial"/>
          <w:sz w:val="14"/>
          <w:szCs w:val="14"/>
          <w:i w:val="1"/>
          <w:iCs w:val="1"/>
          <w:color w:val="auto"/>
        </w:rPr>
        <w:t>2006 Plan</w:t>
      </w:r>
    </w:p>
    <w:p>
      <w:pPr>
        <w:jc w:val="both"/>
        <w:ind w:firstLine="382"/>
        <w:spacing w:after="0" w:line="182" w:lineRule="exact"/>
        <w:rPr>
          <w:sz w:val="20"/>
          <w:szCs w:val="20"/>
          <w:color w:val="auto"/>
        </w:rPr>
      </w:pPr>
      <w:r>
        <w:rPr>
          <w:rFonts w:ascii="Arial" w:cs="Arial" w:eastAsia="Arial" w:hAnsi="Arial"/>
          <w:sz w:val="14"/>
          <w:szCs w:val="14"/>
          <w:color w:val="auto"/>
        </w:rPr>
        <w:t>Under the Company’s 2006 Equity Incentive Plan (the “2006 Plan”), equity awards granted generally vest over a 4</w:t>
      </w:r>
      <w:r>
        <w:rPr>
          <w:rFonts w:ascii="MS PGothic" w:cs="MS PGothic" w:eastAsia="MS PGothic" w:hAnsi="MS PGothic"/>
          <w:sz w:val="14"/>
          <w:szCs w:val="14"/>
          <w:color w:val="auto"/>
        </w:rPr>
        <w:t>‑</w:t>
      </w:r>
      <w:r>
        <w:rPr>
          <w:rFonts w:ascii="Arial" w:cs="Arial" w:eastAsia="Arial" w:hAnsi="Arial"/>
          <w:sz w:val="14"/>
          <w:szCs w:val="14"/>
          <w:color w:val="auto"/>
        </w:rPr>
        <w:t>year period from the date of grant with a contractual term of up to 10 years. As of December 31, 2020, there were less than 0.1 million shares of options outstanding under the 2006 Plan. No further stock options or other stock awards may be granted under the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323215</wp:posOffset>
            </wp:positionV>
            <wp:extent cx="69596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2011 Plan</w:t>
      </w:r>
    </w:p>
    <w:p>
      <w:pPr>
        <w:spacing w:after="0" w:line="92"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4"/>
          <w:szCs w:val="14"/>
          <w:color w:val="auto"/>
        </w:rPr>
        <w:t>Under the 2011 Equity Incentive Plan (the “2011 Plan”), the Company could initially issue up to 2,643,171 shares of its common stock pursuant to stock options, stock appreciation rights (“SARS”), restricted stock awards (“RSA”), RSUs, PSUs,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4-year period from the date of grant based on continued employment. The number of shares of the Company’s common stock authorized for issuance under the 2011 Plan automatically increases on each January 1 by 4.5% of the total number of shares of the Company’s common stock outstanding on December 31 of the preceding calendar year, or such lesser number of shares of common stock as determined by the board of directors. As of December 31, 2020, 8,940,388 shares remained available for issuance pursuant to future grants under the 2011 Plan. On January 1, 2021, the shares available for issuance under the 2011 Plan automatically increased by 5,803,296 shares.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2011 Employee Stock Purchase Plan</w:t>
      </w:r>
    </w:p>
    <w:p>
      <w:pPr>
        <w:spacing w:after="0" w:line="92"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2011 Employee Stock Purchase Plan (“ESPP”) became effective immediately upon the execution and delivery of the underwriting agreement for the Company’s initial public offering on March 29, 2012. The ESPP authorized the issuance of 669,603 shares of the Company’s common stock pursuant to purchase rights granted to employees. The number of shares of common stock reserved for issuance will automatically increase, on each January 1, by a lesser of (i) 330,396 shares of the Company’s common stock or</w:t>
      </w:r>
    </w:p>
    <w:p>
      <w:pPr>
        <w:jc w:val="both"/>
        <w:ind w:firstLine="5"/>
        <w:spacing w:after="0" w:line="257" w:lineRule="auto"/>
        <w:tabs>
          <w:tab w:leader="none" w:pos="208" w:val="left"/>
        </w:tabs>
        <w:numPr>
          <w:ilvl w:val="0"/>
          <w:numId w:val="51"/>
        </w:numPr>
        <w:rPr>
          <w:rFonts w:ascii="Arial" w:cs="Arial" w:eastAsia="Arial" w:hAnsi="Arial"/>
          <w:sz w:val="14"/>
          <w:szCs w:val="14"/>
          <w:color w:val="auto"/>
        </w:rPr>
      </w:pPr>
      <w:r>
        <w:rPr>
          <w:rFonts w:ascii="Arial" w:cs="Arial" w:eastAsia="Arial" w:hAnsi="Arial"/>
          <w:sz w:val="14"/>
          <w:szCs w:val="14"/>
          <w:color w:val="auto"/>
        </w:rPr>
        <w:t>1.0% of the total number of shares of the Company’s common stock outstanding on December 31 of the preceding calendar year, as determined by the Company’s board of directors. At the Annual Meeting of Stockholders held on May 18, 2017 the Company’s stockholders approved a one-time amendment to the Company’s ESPP to increase the aggregate number of shares available for purchase by 400,000 shares and to increase the annual automatic minimum increase in shares reserved for issuance from 330,396 to 700,000 shares effective January 1, 2018. As of December 31, 2020, 1,288,887 shares remained available for future issuance under the ESPP. On January 1, 2021, the shares available for issuance under the ESPP automatically increased by 700,000 shares.</w:t>
      </w:r>
    </w:p>
    <w:p>
      <w:pPr>
        <w:spacing w:after="0" w:line="54"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ESPP is implemented by concurrent offering periods and each offering period may contain up to four interim purchase periods. In general, offering periods consist of the 24-month periods commencing on each May 15 and November 15 of a calendar year.</w:t>
      </w:r>
    </w:p>
    <w:p>
      <w:pPr>
        <w:spacing w:after="0" w:line="27" w:lineRule="exact"/>
        <w:rPr>
          <w:sz w:val="20"/>
          <w:szCs w:val="20"/>
          <w:color w:val="auto"/>
        </w:rPr>
      </w:pPr>
    </w:p>
    <w:p>
      <w:pPr>
        <w:jc w:val="both"/>
        <w:ind w:firstLine="382"/>
        <w:spacing w:after="0" w:line="173" w:lineRule="exact"/>
        <w:rPr>
          <w:sz w:val="20"/>
          <w:szCs w:val="20"/>
          <w:color w:val="auto"/>
        </w:rPr>
      </w:pPr>
      <w:r>
        <w:rPr>
          <w:rFonts w:ascii="Arial" w:cs="Arial" w:eastAsia="Arial" w:hAnsi="Arial"/>
          <w:sz w:val="14"/>
          <w:szCs w:val="14"/>
          <w:color w:val="auto"/>
        </w:rPr>
        <w:t>Generally, all full-time employees in Australia, France, India, Mexico, New Zealand, the Netherlands and the United States,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w:t>
      </w:r>
      <w:r>
        <w:rPr>
          <w:rFonts w:ascii="MS PGothic" w:cs="MS PGothic" w:eastAsia="MS PGothic" w:hAnsi="MS PGothic"/>
          <w:sz w:val="14"/>
          <w:szCs w:val="14"/>
          <w:color w:val="auto"/>
        </w:rPr>
        <w:t>‑</w:t>
      </w:r>
      <w:r>
        <w:rPr>
          <w:rFonts w:ascii="Arial" w:cs="Arial" w:eastAsia="Arial" w:hAnsi="Arial"/>
          <w:sz w:val="14"/>
          <w:szCs w:val="14"/>
          <w:color w:val="auto"/>
        </w:rPr>
        <w:t>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323215</wp:posOffset>
            </wp:positionV>
            <wp:extent cx="69596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14" w:name="page115"/>
    <w:bookmarkEnd w:id="11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Equity Awards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fair value of each option granted was estimated on the date of grant using the Black-Scholes option-pricing model with the following assumptions:</w:t>
      </w:r>
    </w:p>
    <w:p>
      <w:pPr>
        <w:spacing w:after="0" w:line="94" w:lineRule="exact"/>
        <w:rPr>
          <w:sz w:val="20"/>
          <w:szCs w:val="20"/>
          <w:color w:val="auto"/>
        </w:rPr>
      </w:pPr>
    </w:p>
    <w:p>
      <w:pPr>
        <w:jc w:val="both"/>
        <w:ind w:left="640" w:hanging="253"/>
        <w:spacing w:after="0" w:line="274" w:lineRule="auto"/>
        <w:tabs>
          <w:tab w:leader="none" w:pos="636"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Expected term - </w:t>
      </w:r>
      <w:r>
        <w:rPr>
          <w:rFonts w:ascii="Arial" w:cs="Arial" w:eastAsia="Arial" w:hAnsi="Arial"/>
          <w:sz w:val="14"/>
          <w:szCs w:val="14"/>
          <w:color w:val="auto"/>
        </w:rPr>
        <w:t>The expected term of the option awards represents the period of time between the grant date of the option awards and the date the option awards are</w:t>
      </w:r>
      <w:r>
        <w:rPr>
          <w:rFonts w:ascii="Arial" w:cs="Arial" w:eastAsia="Arial" w:hAnsi="Arial"/>
          <w:sz w:val="14"/>
          <w:szCs w:val="14"/>
          <w:i w:val="1"/>
          <w:iCs w:val="1"/>
          <w:color w:val="auto"/>
        </w:rPr>
        <w:t xml:space="preserve"> </w:t>
      </w:r>
      <w:r>
        <w:rPr>
          <w:rFonts w:ascii="Arial" w:cs="Arial" w:eastAsia="Arial" w:hAnsi="Arial"/>
          <w:sz w:val="14"/>
          <w:szCs w:val="14"/>
          <w:color w:val="auto"/>
        </w:rPr>
        <w:t>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42"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Expected volatility - </w:t>
      </w:r>
      <w:r>
        <w:rPr>
          <w:rFonts w:ascii="Arial" w:cs="Arial" w:eastAsia="Arial" w:hAnsi="Arial"/>
          <w:sz w:val="14"/>
          <w:szCs w:val="14"/>
          <w:color w:val="auto"/>
        </w:rPr>
        <w:t>The expected volatility was calculated based on the Company’s historical stock prices, supplemented as necessary with historical volatility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of several peer companies with characteristics similar to those of the Company.</w:t>
      </w:r>
    </w:p>
    <w:p>
      <w:pPr>
        <w:spacing w:after="0" w:line="27" w:lineRule="exact"/>
        <w:rPr>
          <w:rFonts w:ascii="Arial" w:cs="Arial" w:eastAsia="Arial" w:hAnsi="Arial"/>
          <w:sz w:val="14"/>
          <w:szCs w:val="14"/>
          <w:color w:val="auto"/>
        </w:rPr>
      </w:pPr>
    </w:p>
    <w:p>
      <w:pPr>
        <w:ind w:left="640" w:hanging="253"/>
        <w:spacing w:after="0" w:line="296" w:lineRule="auto"/>
        <w:tabs>
          <w:tab w:leader="none" w:pos="636"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Risk-free interest rate - </w:t>
      </w:r>
      <w:r>
        <w:rPr>
          <w:rFonts w:ascii="Arial" w:cs="Arial" w:eastAsia="Arial" w:hAnsi="Arial"/>
          <w:sz w:val="14"/>
          <w:szCs w:val="14"/>
          <w:color w:val="auto"/>
        </w:rPr>
        <w:t>The risk-free interest rate was based on the U.S. Treasury yield curve in effect at the time of grant and with a maturity that approximated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expected term.</w:t>
      </w:r>
    </w:p>
    <w:p>
      <w:pPr>
        <w:spacing w:after="0" w:line="27" w:lineRule="exact"/>
        <w:rPr>
          <w:rFonts w:ascii="Arial" w:cs="Arial" w:eastAsia="Arial" w:hAnsi="Arial"/>
          <w:sz w:val="14"/>
          <w:szCs w:val="14"/>
          <w:color w:val="auto"/>
        </w:rPr>
      </w:pPr>
    </w:p>
    <w:p>
      <w:pPr>
        <w:ind w:left="640" w:hanging="253"/>
        <w:spacing w:after="0"/>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Dividend yield - </w:t>
      </w:r>
      <w:r>
        <w:rPr>
          <w:rFonts w:ascii="Arial" w:cs="Arial" w:eastAsia="Arial" w:hAnsi="Arial"/>
          <w:sz w:val="14"/>
          <w:szCs w:val="14"/>
          <w:color w:val="auto"/>
        </w:rPr>
        <w:t>The dividend yield was based on the Company’s dividend history and the anticipated dividend payout over its expected term.</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following table presents the weighted-average grant date fair value of options granted for the periods presented and the assumptions used to estimate those values using a Black-Scholes option pricing model.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Years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39"/>
        </w:trPr>
        <w:tc>
          <w:tcPr>
            <w:tcW w:w="68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2018</w:t>
            </w:r>
          </w:p>
        </w:tc>
      </w:tr>
      <w:tr>
        <w:trPr>
          <w:trHeight w:val="160"/>
        </w:trPr>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Weighted average grant date fair value</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38.45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2.83</w:t>
            </w:r>
          </w:p>
        </w:tc>
      </w:tr>
      <w:tr>
        <w:trPr>
          <w:trHeight w:val="170"/>
        </w:trPr>
        <w:tc>
          <w:tcPr>
            <w:tcW w:w="6820" w:type="dxa"/>
            <w:vAlign w:val="bottom"/>
          </w:tcPr>
          <w:p>
            <w:pPr>
              <w:ind w:left="60"/>
              <w:spacing w:after="0"/>
              <w:rPr>
                <w:sz w:val="20"/>
                <w:szCs w:val="20"/>
                <w:color w:val="auto"/>
              </w:rPr>
            </w:pPr>
            <w:r>
              <w:rPr>
                <w:rFonts w:ascii="Arial" w:cs="Arial" w:eastAsia="Arial" w:hAnsi="Arial"/>
                <w:sz w:val="13"/>
                <w:szCs w:val="13"/>
                <w:color w:val="auto"/>
              </w:rPr>
              <w:t>Expected term (in years)</w:t>
            </w:r>
          </w:p>
        </w:tc>
        <w:tc>
          <w:tcPr>
            <w:tcW w:w="9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4.0</w:t>
            </w:r>
          </w:p>
        </w:tc>
      </w:tr>
      <w:tr>
        <w:trPr>
          <w:trHeight w:val="170"/>
        </w:trPr>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volatility</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88.5%</w:t>
            </w:r>
          </w:p>
        </w:tc>
      </w:tr>
      <w:tr>
        <w:trPr>
          <w:trHeight w:val="170"/>
        </w:trPr>
        <w:tc>
          <w:tcPr>
            <w:tcW w:w="6820" w:type="dxa"/>
            <w:vAlign w:val="bottom"/>
          </w:tcPr>
          <w:p>
            <w:pPr>
              <w:ind w:left="60"/>
              <w:spacing w:after="0"/>
              <w:rPr>
                <w:sz w:val="20"/>
                <w:szCs w:val="20"/>
                <w:color w:val="auto"/>
              </w:rPr>
            </w:pPr>
            <w:r>
              <w:rPr>
                <w:rFonts w:ascii="Arial" w:cs="Arial" w:eastAsia="Arial" w:hAnsi="Arial"/>
                <w:sz w:val="13"/>
                <w:szCs w:val="13"/>
                <w:color w:val="auto"/>
              </w:rPr>
              <w:t>Annual risk-free rate of return</w:t>
            </w:r>
          </w:p>
        </w:tc>
        <w:tc>
          <w:tcPr>
            <w:tcW w:w="9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2.6%</w:t>
            </w:r>
          </w:p>
        </w:tc>
      </w:tr>
      <w:tr>
        <w:trPr>
          <w:trHeight w:val="170"/>
        </w:trPr>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Dividend yield</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fair value of the Company’s restricted stock units (“RSU”) awards granted is based upon the closing price of the Company’s stock price on the date of grant.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Stock Units</w:t>
      </w:r>
    </w:p>
    <w:p>
      <w:pPr>
        <w:spacing w:after="0" w:line="9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695960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5" w:name="page116"/>
    <w:bookmarkEnd w:id="11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96"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4"/>
          <w:szCs w:val="14"/>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Years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39"/>
        </w:trPr>
        <w:tc>
          <w:tcPr>
            <w:tcW w:w="6340" w:type="dxa"/>
            <w:vAlign w:val="bottom"/>
          </w:tcPr>
          <w:p>
            <w:pPr>
              <w:spacing w:after="0"/>
              <w:rPr>
                <w:sz w:val="12"/>
                <w:szCs w:val="12"/>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2018</w:t>
            </w:r>
          </w:p>
        </w:tc>
      </w:tr>
      <w:tr>
        <w:trPr>
          <w:trHeight w:val="139"/>
        </w:trPr>
        <w:tc>
          <w:tcPr>
            <w:tcW w:w="6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0"/>
        </w:trPr>
        <w:tc>
          <w:tcPr>
            <w:tcW w:w="6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revenues</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r>
      <w:tr>
        <w:trPr>
          <w:trHeight w:val="170"/>
        </w:trPr>
        <w:tc>
          <w:tcPr>
            <w:tcW w:w="63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12,701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4,897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2,940</w:t>
            </w:r>
          </w:p>
        </w:tc>
      </w:tr>
      <w:tr>
        <w:trPr>
          <w:trHeight w:val="170"/>
        </w:trPr>
        <w:tc>
          <w:tcPr>
            <w:tcW w:w="6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w:t>
            </w:r>
          </w:p>
        </w:tc>
      </w:tr>
      <w:tr>
        <w:trPr>
          <w:trHeight w:val="170"/>
        </w:trPr>
        <w:tc>
          <w:tcPr>
            <w:tcW w:w="634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7,216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4,347</w:t>
            </w:r>
          </w:p>
        </w:tc>
      </w:tr>
      <w:tr>
        <w:trPr>
          <w:trHeight w:val="170"/>
        </w:trPr>
        <w:tc>
          <w:tcPr>
            <w:tcW w:w="6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w:t>
            </w:r>
          </w:p>
        </w:tc>
        <w:tc>
          <w:tcPr>
            <w:tcW w:w="10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340" w:type="dxa"/>
            <w:vAlign w:val="bottom"/>
          </w:tcPr>
          <w:p>
            <w:pPr>
              <w:ind w:left="400"/>
              <w:spacing w:after="0"/>
              <w:rPr>
                <w:sz w:val="20"/>
                <w:szCs w:val="20"/>
                <w:color w:val="auto"/>
              </w:rPr>
            </w:pPr>
            <w:r>
              <w:rPr>
                <w:rFonts w:ascii="Arial" w:cs="Arial" w:eastAsia="Arial" w:hAnsi="Arial"/>
                <w:sz w:val="13"/>
                <w:szCs w:val="13"/>
                <w:color w:val="auto"/>
              </w:rPr>
              <w:t>Total</w:t>
            </w: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42,503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20,176</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11,432</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2"/>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included in the provision for incomes taxes</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61,389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13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various types of stock-based compensation expense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Years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39"/>
        </w:trPr>
        <w:tc>
          <w:tcPr>
            <w:tcW w:w="6340" w:type="dxa"/>
            <w:vAlign w:val="bottom"/>
          </w:tcPr>
          <w:p>
            <w:pPr>
              <w:spacing w:after="0"/>
              <w:rPr>
                <w:sz w:val="12"/>
                <w:szCs w:val="1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2018</w:t>
            </w:r>
          </w:p>
        </w:tc>
      </w:tr>
      <w:tr>
        <w:trPr>
          <w:trHeight w:val="139"/>
        </w:trPr>
        <w:tc>
          <w:tcPr>
            <w:tcW w:w="6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0"/>
        </w:trPr>
        <w:tc>
          <w:tcPr>
            <w:tcW w:w="6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RSUs, and PSUs</w:t>
            </w: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10,691</w:t>
            </w:r>
          </w:p>
        </w:tc>
      </w:tr>
      <w:tr>
        <w:trPr>
          <w:trHeight w:val="170"/>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Employee stock purchase plan</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w:t>
            </w:r>
          </w:p>
        </w:tc>
      </w:tr>
      <w:tr>
        <w:trPr>
          <w:trHeight w:val="185"/>
        </w:trPr>
        <w:tc>
          <w:tcPr>
            <w:tcW w:w="6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w:t>
            </w: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42,503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As of December 31, 2020, there was approximately $ 89.7 million of total unrecognized stock-based compensation expense related to unvested equity awards, which are expected to be recognized over a weighted-average period of 2.9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419735</wp:posOffset>
            </wp:positionV>
            <wp:extent cx="695960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Awards Activity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is a summary of stock option activity.</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rPr>
              <w:t>Weighted-</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0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52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rPr>
              <w:t>Average</w:t>
            </w:r>
          </w:p>
        </w:tc>
        <w:tc>
          <w:tcPr>
            <w:tcW w:w="220" w:type="dxa"/>
            <w:vAlign w:val="bottom"/>
          </w:tcPr>
          <w:p>
            <w:pPr>
              <w:spacing w:after="0"/>
              <w:rPr>
                <w:sz w:val="9"/>
                <w:szCs w:val="9"/>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6"/>
        </w:trPr>
        <w:tc>
          <w:tcPr>
            <w:tcW w:w="110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rPr>
              <w:t>Average</w:t>
            </w: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Remaining</w:t>
            </w: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0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rPr>
              <w:t>Exercise Price</w:t>
            </w: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Contractual</w:t>
            </w:r>
          </w:p>
        </w:tc>
        <w:tc>
          <w:tcPr>
            <w:tcW w:w="220" w:type="dxa"/>
            <w:vAlign w:val="bottom"/>
          </w:tcPr>
          <w:p>
            <w:pPr>
              <w:spacing w:after="0"/>
              <w:rPr>
                <w:sz w:val="9"/>
                <w:szCs w:val="9"/>
                <w:color w:val="auto"/>
              </w:rPr>
            </w:pPr>
          </w:p>
        </w:tc>
        <w:tc>
          <w:tcPr>
            <w:tcW w:w="1220" w:type="dxa"/>
            <w:vAlign w:val="bottom"/>
          </w:tcPr>
          <w:p>
            <w:pPr>
              <w:jc w:val="center"/>
              <w:ind w:right="159"/>
              <w:spacing w:after="0" w:line="106"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per Share</w:t>
            </w: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79"/>
              <w:spacing w:after="0" w:line="138" w:lineRule="exact"/>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rPr>
              <w:t>(Years)</w:t>
            </w:r>
          </w:p>
        </w:tc>
        <w:tc>
          <w:tcPr>
            <w:tcW w:w="220" w:type="dxa"/>
            <w:vAlign w:val="bottom"/>
          </w:tcPr>
          <w:p>
            <w:pPr>
              <w:spacing w:after="0"/>
              <w:rPr>
                <w:sz w:val="12"/>
                <w:szCs w:val="12"/>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191"/>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2017</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16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5,096</w:t>
            </w: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16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14.58</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31,093</w:t>
            </w: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16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64.17</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114,089</w:t>
            </w: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3.7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439,268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Vested and expected to vest at December 31, 2020</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240" w:type="dxa"/>
            <w:vAlign w:val="bottom"/>
            <w:gridSpan w:val="2"/>
            <w:vMerge w:val="continue"/>
          </w:tcPr>
          <w:p>
            <w:pPr>
              <w:spacing w:after="0"/>
              <w:rPr>
                <w:sz w:val="11"/>
                <w:szCs w:val="11"/>
                <w:color w:val="auto"/>
              </w:rPr>
            </w:pPr>
          </w:p>
        </w:tc>
        <w:tc>
          <w:tcPr>
            <w:tcW w:w="1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2,532</w:t>
            </w:r>
          </w:p>
        </w:tc>
        <w:tc>
          <w:tcPr>
            <w:tcW w:w="32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33" w:lineRule="exact"/>
              <w:rPr>
                <w:sz w:val="20"/>
                <w:szCs w:val="20"/>
                <w:color w:val="auto"/>
              </w:rPr>
            </w:pPr>
            <w:r>
              <w:rPr>
                <w:rFonts w:ascii="Arial" w:cs="Arial" w:eastAsia="Arial" w:hAnsi="Arial"/>
                <w:sz w:val="13"/>
                <w:szCs w:val="13"/>
                <w:color w:val="auto"/>
              </w:rPr>
              <w:t>1.96</w:t>
            </w:r>
          </w:p>
        </w:tc>
        <w:tc>
          <w:tcPr>
            <w:tcW w:w="10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3"/>
                <w:szCs w:val="13"/>
                <w:color w:val="auto"/>
                <w:w w:val="99"/>
              </w:rPr>
              <w:t>3.7</w:t>
            </w:r>
          </w:p>
        </w:tc>
        <w:tc>
          <w:tcPr>
            <w:tcW w:w="100" w:type="dxa"/>
            <w:vAlign w:val="bottom"/>
          </w:tcPr>
          <w:p>
            <w:pPr>
              <w:spacing w:after="0"/>
              <w:rPr>
                <w:sz w:val="11"/>
                <w:szCs w:val="11"/>
                <w:color w:val="auto"/>
              </w:rPr>
            </w:pPr>
          </w:p>
        </w:tc>
        <w:tc>
          <w:tcPr>
            <w:tcW w:w="220" w:type="dxa"/>
            <w:vAlign w:val="bottom"/>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line="133" w:lineRule="exact"/>
              <w:rPr>
                <w:sz w:val="20"/>
                <w:szCs w:val="20"/>
                <w:color w:val="auto"/>
              </w:rPr>
            </w:pPr>
            <w:r>
              <w:rPr>
                <w:rFonts w:ascii="Arial" w:cs="Arial" w:eastAsia="Arial" w:hAnsi="Arial"/>
                <w:sz w:val="13"/>
                <w:szCs w:val="13"/>
                <w:color w:val="auto"/>
              </w:rPr>
              <w:t>439,268</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Exercisable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2,089</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3.7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362,526</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100" w:type="dxa"/>
            <w:vAlign w:val="bottom"/>
            <w:tcBorders>
              <w:bottom w:val="single" w:sz="8" w:color="auto"/>
            </w:tcBorders>
          </w:tcPr>
          <w:p>
            <w:pPr>
              <w:spacing w:after="0"/>
              <w:rPr>
                <w:sz w:val="5"/>
                <w:szCs w:val="5"/>
                <w:color w:val="auto"/>
              </w:rPr>
            </w:pPr>
          </w:p>
        </w:tc>
        <w:tc>
          <w:tcPr>
            <w:tcW w:w="4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380" w:hanging="375"/>
        <w:spacing w:after="0" w:line="274" w:lineRule="auto"/>
        <w:tabs>
          <w:tab w:leader="none" w:pos="354"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intrinsic value of options exercised is based upon the value of the Company’s stock at exercise. The intrinsic value of options outstanding, vested and expected to vest, and exercisable as of December 31, 2020 is based on the closing price of the last trading day during the period ended December 31, 2020. The Company’s stock fair value used in this computation was $175.47 per share.</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information about stock options outstanding at December 31, 2020.</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1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Options Outstanding</w:t>
            </w: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1"/>
                <w:szCs w:val="11"/>
                <w:b w:val="1"/>
                <w:bCs w:val="1"/>
                <w:color w:val="auto"/>
              </w:rPr>
              <w:t>Options Exercisable</w:t>
            </w:r>
          </w:p>
        </w:tc>
        <w:tc>
          <w:tcPr>
            <w:tcW w:w="0" w:type="dxa"/>
            <w:vAlign w:val="bottom"/>
          </w:tcPr>
          <w:p>
            <w:pPr>
              <w:spacing w:after="0"/>
              <w:rPr>
                <w:sz w:val="1"/>
                <w:szCs w:val="1"/>
                <w:color w:val="auto"/>
              </w:rPr>
            </w:pPr>
          </w:p>
        </w:tc>
      </w:tr>
      <w:tr>
        <w:trPr>
          <w:trHeight w:val="107"/>
        </w:trPr>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Weighted-</w:t>
            </w:r>
          </w:p>
        </w:tc>
        <w:tc>
          <w:tcPr>
            <w:tcW w:w="1020" w:type="dxa"/>
            <w:vAlign w:val="bottom"/>
          </w:tcPr>
          <w:p>
            <w:pPr>
              <w:jc w:val="center"/>
              <w:ind w:left="361"/>
              <w:spacing w:after="0" w:line="107" w:lineRule="exact"/>
              <w:rPr>
                <w:sz w:val="20"/>
                <w:szCs w:val="20"/>
                <w:color w:val="auto"/>
              </w:rPr>
            </w:pPr>
            <w:r>
              <w:rPr>
                <w:rFonts w:ascii="Arial" w:cs="Arial" w:eastAsia="Arial" w:hAnsi="Arial"/>
                <w:sz w:val="11"/>
                <w:szCs w:val="11"/>
                <w:b w:val="1"/>
                <w:bCs w:val="1"/>
                <w:color w:val="auto"/>
              </w:rPr>
              <w:t>Weighted-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jc w:val="center"/>
              <w:ind w:right="219"/>
              <w:spacing w:after="0" w:line="107"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1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9"/>
                <w:szCs w:val="9"/>
                <w:color w:val="auto"/>
              </w:rPr>
            </w:pPr>
          </w:p>
        </w:tc>
        <w:tc>
          <w:tcPr>
            <w:tcW w:w="15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rPr>
              <w:t>Average</w:t>
            </w:r>
          </w:p>
        </w:tc>
        <w:tc>
          <w:tcPr>
            <w:tcW w:w="1020" w:type="dxa"/>
            <w:vAlign w:val="bottom"/>
          </w:tcPr>
          <w:p>
            <w:pPr>
              <w:jc w:val="center"/>
              <w:ind w:left="361"/>
              <w:spacing w:after="0" w:line="106" w:lineRule="exact"/>
              <w:rPr>
                <w:sz w:val="20"/>
                <w:szCs w:val="20"/>
                <w:color w:val="auto"/>
              </w:rPr>
            </w:pPr>
            <w:r>
              <w:rPr>
                <w:rFonts w:ascii="Arial" w:cs="Arial" w:eastAsia="Arial" w:hAnsi="Arial"/>
                <w:sz w:val="11"/>
                <w:szCs w:val="11"/>
                <w:b w:val="1"/>
                <w:bCs w:val="1"/>
                <w:color w:val="auto"/>
              </w:rPr>
              <w:t>Average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jc w:val="center"/>
              <w:ind w:right="199"/>
              <w:spacing w:after="0" w:line="106"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6"/>
        </w:trPr>
        <w:tc>
          <w:tcPr>
            <w:tcW w:w="36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Range of Exercise Prices</w:t>
            </w:r>
          </w:p>
        </w:tc>
        <w:tc>
          <w:tcPr>
            <w:tcW w:w="80" w:type="dxa"/>
            <w:vAlign w:val="bottom"/>
            <w:vMerge w:val="restart"/>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Remaining</w:t>
            </w:r>
          </w:p>
        </w:tc>
        <w:tc>
          <w:tcPr>
            <w:tcW w:w="1020" w:type="dxa"/>
            <w:vAlign w:val="bottom"/>
          </w:tcPr>
          <w:p>
            <w:pPr>
              <w:jc w:val="center"/>
              <w:ind w:left="361"/>
              <w:spacing w:after="0" w:line="106" w:lineRule="exact"/>
              <w:rPr>
                <w:sz w:val="20"/>
                <w:szCs w:val="20"/>
                <w:color w:val="auto"/>
              </w:rPr>
            </w:pPr>
            <w:r>
              <w:rPr>
                <w:rFonts w:ascii="Arial" w:cs="Arial" w:eastAsia="Arial" w:hAnsi="Arial"/>
                <w:sz w:val="11"/>
                <w:szCs w:val="11"/>
                <w:b w:val="1"/>
                <w:bCs w:val="1"/>
                <w:color w:val="auto"/>
              </w:rPr>
              <w:t>Exercise</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jc w:val="center"/>
              <w:ind w:right="219"/>
              <w:spacing w:after="0" w:line="106" w:lineRule="exact"/>
              <w:rPr>
                <w:sz w:val="20"/>
                <w:szCs w:val="20"/>
                <w:color w:val="auto"/>
              </w:rPr>
            </w:pPr>
            <w:r>
              <w:rPr>
                <w:rFonts w:ascii="Arial" w:cs="Arial" w:eastAsia="Arial" w:hAnsi="Arial"/>
                <w:sz w:val="11"/>
                <w:szCs w:val="11"/>
                <w:b w:val="1"/>
                <w:bCs w:val="1"/>
                <w:color w:val="auto"/>
              </w:rPr>
              <w:t>Exercise</w:t>
            </w:r>
          </w:p>
        </w:tc>
        <w:tc>
          <w:tcPr>
            <w:tcW w:w="0" w:type="dxa"/>
            <w:vAlign w:val="bottom"/>
          </w:tcPr>
          <w:p>
            <w:pPr>
              <w:spacing w:after="0"/>
              <w:rPr>
                <w:sz w:val="1"/>
                <w:szCs w:val="1"/>
                <w:color w:val="auto"/>
              </w:rPr>
            </w:pPr>
          </w:p>
        </w:tc>
      </w:tr>
      <w:tr>
        <w:trPr>
          <w:trHeight w:val="138"/>
        </w:trPr>
        <w:tc>
          <w:tcPr>
            <w:tcW w:w="3620" w:type="dxa"/>
            <w:vAlign w:val="bottom"/>
            <w:tcBorders>
              <w:bottom w:val="single" w:sz="8" w:color="auto"/>
            </w:tcBorders>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100" w:type="dxa"/>
            <w:vAlign w:val="bottom"/>
          </w:tcPr>
          <w:p>
            <w:pPr>
              <w:spacing w:after="0"/>
              <w:rPr>
                <w:sz w:val="11"/>
                <w:szCs w:val="11"/>
                <w:color w:val="auto"/>
              </w:rPr>
            </w:pPr>
          </w:p>
        </w:tc>
        <w:tc>
          <w:tcPr>
            <w:tcW w:w="1020" w:type="dxa"/>
            <w:vAlign w:val="bottom"/>
            <w:tcBorders>
              <w:bottom w:val="single" w:sz="8" w:color="auto"/>
            </w:tcBorders>
          </w:tcPr>
          <w:p>
            <w:pPr>
              <w:jc w:val="center"/>
              <w:ind w:left="361"/>
              <w:spacing w:after="0"/>
              <w:rPr>
                <w:sz w:val="20"/>
                <w:szCs w:val="20"/>
                <w:color w:val="auto"/>
              </w:rPr>
            </w:pPr>
            <w:r>
              <w:rPr>
                <w:rFonts w:ascii="Arial" w:cs="Arial" w:eastAsia="Arial" w:hAnsi="Arial"/>
                <w:sz w:val="11"/>
                <w:szCs w:val="11"/>
                <w:b w:val="1"/>
                <w:bCs w:val="1"/>
                <w:color w:val="auto"/>
              </w:rPr>
              <w:t>Price</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99"/>
              <w:spacing w:after="0"/>
              <w:rPr>
                <w:sz w:val="20"/>
                <w:szCs w:val="20"/>
                <w:color w:val="auto"/>
              </w:rPr>
            </w:pPr>
            <w:r>
              <w:rPr>
                <w:rFonts w:ascii="Arial" w:cs="Arial" w:eastAsia="Arial" w:hAnsi="Arial"/>
                <w:sz w:val="11"/>
                <w:szCs w:val="11"/>
                <w:b w:val="1"/>
                <w:bCs w:val="1"/>
                <w:color w:val="auto"/>
              </w:rPr>
              <w:t>Price</w:t>
            </w:r>
          </w:p>
        </w:tc>
        <w:tc>
          <w:tcPr>
            <w:tcW w:w="0" w:type="dxa"/>
            <w:vAlign w:val="bottom"/>
          </w:tcPr>
          <w:p>
            <w:pPr>
              <w:spacing w:after="0"/>
              <w:rPr>
                <w:sz w:val="1"/>
                <w:szCs w:val="1"/>
                <w:color w:val="auto"/>
              </w:rPr>
            </w:pPr>
          </w:p>
        </w:tc>
      </w:tr>
      <w:tr>
        <w:trPr>
          <w:trHeight w:val="139"/>
        </w:trPr>
        <w:tc>
          <w:tcPr>
            <w:tcW w:w="1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2"/>
                <w:szCs w:val="1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1"/>
                <w:szCs w:val="11"/>
                <w:i w:val="1"/>
                <w:iCs w:val="1"/>
                <w:color w:val="auto"/>
                <w:w w:val="99"/>
              </w:rPr>
              <w:t>(Years)</w:t>
            </w: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00" w:type="dxa"/>
            <w:vAlign w:val="bottom"/>
            <w:gridSpan w:val="3"/>
            <w:shd w:val="clear" w:color="auto" w:fill="CCEEFF"/>
          </w:tcPr>
          <w:p>
            <w:pPr>
              <w:jc w:val="right"/>
              <w:ind w:right="1440"/>
              <w:spacing w:after="0"/>
              <w:rPr>
                <w:sz w:val="20"/>
                <w:szCs w:val="20"/>
                <w:color w:val="auto"/>
              </w:rPr>
            </w:pPr>
            <w:r>
              <w:rPr>
                <w:rFonts w:ascii="Arial" w:cs="Arial" w:eastAsia="Arial" w:hAnsi="Arial"/>
                <w:sz w:val="13"/>
                <w:szCs w:val="13"/>
                <w:color w:val="auto"/>
              </w:rPr>
              <w:t>$0.70 —– $1.11</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9"/>
              </w:rPr>
              <w:t>4.2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0.83</w:t>
            </w:r>
          </w:p>
        </w:tc>
        <w:tc>
          <w:tcPr>
            <w:tcW w:w="0" w:type="dxa"/>
            <w:vAlign w:val="bottom"/>
          </w:tcPr>
          <w:p>
            <w:pPr>
              <w:spacing w:after="0"/>
              <w:rPr>
                <w:sz w:val="1"/>
                <w:szCs w:val="1"/>
                <w:color w:val="auto"/>
              </w:rPr>
            </w:pPr>
          </w:p>
        </w:tc>
      </w:tr>
      <w:tr>
        <w:trPr>
          <w:trHeight w:val="170"/>
        </w:trPr>
        <w:tc>
          <w:tcPr>
            <w:tcW w:w="1680" w:type="dxa"/>
            <w:vAlign w:val="bottom"/>
          </w:tcPr>
          <w:p>
            <w:pPr>
              <w:jc w:val="right"/>
              <w:spacing w:after="0"/>
              <w:rPr>
                <w:sz w:val="20"/>
                <w:szCs w:val="20"/>
                <w:color w:val="auto"/>
              </w:rPr>
            </w:pPr>
            <w:r>
              <w:rPr>
                <w:rFonts w:ascii="Arial" w:cs="Arial" w:eastAsia="Arial" w:hAnsi="Arial"/>
                <w:sz w:val="13"/>
                <w:szCs w:val="13"/>
                <w:color w:val="auto"/>
              </w:rPr>
              <w:t>$1.29</w:t>
            </w:r>
          </w:p>
        </w:tc>
        <w:tc>
          <w:tcPr>
            <w:tcW w:w="2020" w:type="dxa"/>
            <w:vAlign w:val="bottom"/>
            <w:gridSpan w:val="2"/>
          </w:tcPr>
          <w:p>
            <w:pPr>
              <w:jc w:val="right"/>
              <w:ind w:right="1440"/>
              <w:spacing w:after="0"/>
              <w:rPr>
                <w:sz w:val="20"/>
                <w:szCs w:val="20"/>
                <w:color w:val="auto"/>
              </w:rPr>
            </w:pPr>
            <w:r>
              <w:rPr>
                <w:rFonts w:ascii="Arial" w:cs="Arial" w:eastAsia="Arial" w:hAnsi="Arial"/>
                <w:sz w:val="13"/>
                <w:szCs w:val="13"/>
                <w:color w:val="auto"/>
                <w:w w:val="99"/>
              </w:rPr>
              <w:t>—– $1.29</w:t>
            </w:r>
          </w:p>
        </w:tc>
        <w:tc>
          <w:tcPr>
            <w:tcW w:w="1440" w:type="dxa"/>
            <w:vAlign w:val="bottom"/>
          </w:tcPr>
          <w:p>
            <w:pPr>
              <w:jc w:val="right"/>
              <w:spacing w:after="0"/>
              <w:rPr>
                <w:sz w:val="20"/>
                <w:szCs w:val="20"/>
                <w:color w:val="auto"/>
              </w:rPr>
            </w:pPr>
            <w:r>
              <w:rPr>
                <w:rFonts w:ascii="Arial" w:cs="Arial" w:eastAsia="Arial" w:hAnsi="Arial"/>
                <w:sz w:val="13"/>
                <w:szCs w:val="13"/>
                <w:color w:val="auto"/>
              </w:rPr>
              <w:t>1,000</w:t>
            </w:r>
          </w:p>
        </w:tc>
        <w:tc>
          <w:tcPr>
            <w:tcW w:w="1520" w:type="dxa"/>
            <w:vAlign w:val="bottom"/>
            <w:gridSpan w:val="2"/>
          </w:tcPr>
          <w:p>
            <w:pPr>
              <w:jc w:val="center"/>
              <w:ind w:left="36"/>
              <w:spacing w:after="0"/>
              <w:rPr>
                <w:sz w:val="20"/>
                <w:szCs w:val="20"/>
                <w:color w:val="auto"/>
              </w:rPr>
            </w:pPr>
            <w:r>
              <w:rPr>
                <w:rFonts w:ascii="Arial" w:cs="Arial" w:eastAsia="Arial" w:hAnsi="Arial"/>
                <w:sz w:val="13"/>
                <w:szCs w:val="13"/>
                <w:color w:val="auto"/>
                <w:w w:val="99"/>
              </w:rPr>
              <w:t>3.7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3"/>
                <w:szCs w:val="13"/>
                <w:color w:val="auto"/>
                <w:w w:val="99"/>
              </w:rPr>
              <w:t>—– $1.31</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9"/>
              </w:rPr>
              <w:t>3.3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0"/>
        </w:trPr>
        <w:tc>
          <w:tcPr>
            <w:tcW w:w="3700" w:type="dxa"/>
            <w:vAlign w:val="bottom"/>
            <w:gridSpan w:val="3"/>
          </w:tcPr>
          <w:p>
            <w:pPr>
              <w:jc w:val="center"/>
              <w:ind w:right="80"/>
              <w:spacing w:after="0"/>
              <w:rPr>
                <w:sz w:val="20"/>
                <w:szCs w:val="20"/>
                <w:color w:val="auto"/>
              </w:rPr>
            </w:pPr>
            <w:r>
              <w:rPr>
                <w:rFonts w:ascii="Arial" w:cs="Arial" w:eastAsia="Arial" w:hAnsi="Arial"/>
                <w:sz w:val="13"/>
                <w:szCs w:val="13"/>
                <w:color w:val="auto"/>
                <w:w w:val="98"/>
              </w:rPr>
              <w:t>$1.37 —– $14.58</w:t>
            </w:r>
          </w:p>
        </w:tc>
        <w:tc>
          <w:tcPr>
            <w:tcW w:w="1440" w:type="dxa"/>
            <w:vAlign w:val="bottom"/>
          </w:tcPr>
          <w:p>
            <w:pPr>
              <w:jc w:val="right"/>
              <w:spacing w:after="0"/>
              <w:rPr>
                <w:sz w:val="20"/>
                <w:szCs w:val="20"/>
                <w:color w:val="auto"/>
              </w:rPr>
            </w:pPr>
            <w:r>
              <w:rPr>
                <w:rFonts w:ascii="Arial" w:cs="Arial" w:eastAsia="Arial" w:hAnsi="Arial"/>
                <w:sz w:val="13"/>
                <w:szCs w:val="13"/>
                <w:color w:val="auto"/>
              </w:rPr>
              <w:t>296</w:t>
            </w:r>
          </w:p>
        </w:tc>
        <w:tc>
          <w:tcPr>
            <w:tcW w:w="1520" w:type="dxa"/>
            <w:vAlign w:val="bottom"/>
            <w:gridSpan w:val="2"/>
          </w:tcPr>
          <w:p>
            <w:pPr>
              <w:jc w:val="center"/>
              <w:ind w:left="36"/>
              <w:spacing w:after="0"/>
              <w:rPr>
                <w:sz w:val="20"/>
                <w:szCs w:val="20"/>
                <w:color w:val="auto"/>
              </w:rPr>
            </w:pPr>
            <w:r>
              <w:rPr>
                <w:rFonts w:ascii="Arial" w:cs="Arial" w:eastAsia="Arial" w:hAnsi="Arial"/>
                <w:sz w:val="13"/>
                <w:szCs w:val="13"/>
                <w:color w:val="auto"/>
                <w:w w:val="99"/>
              </w:rPr>
              <w:t>3.6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70"/>
        </w:trPr>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$64.17</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$64.17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9"/>
              </w:rPr>
              <w:t>6.3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64.17</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64.17</w:t>
            </w:r>
          </w:p>
        </w:tc>
        <w:tc>
          <w:tcPr>
            <w:tcW w:w="0" w:type="dxa"/>
            <w:vAlign w:val="bottom"/>
          </w:tcPr>
          <w:p>
            <w:pPr>
              <w:spacing w:after="0"/>
              <w:rPr>
                <w:sz w:val="1"/>
                <w:szCs w:val="1"/>
                <w:color w:val="auto"/>
              </w:rPr>
            </w:pPr>
          </w:p>
        </w:tc>
      </w:tr>
      <w:tr>
        <w:trPr>
          <w:trHeight w:val="160"/>
        </w:trPr>
        <w:tc>
          <w:tcPr>
            <w:tcW w:w="1680" w:type="dxa"/>
            <w:vAlign w:val="bottom"/>
          </w:tcPr>
          <w:p>
            <w:pPr>
              <w:jc w:val="right"/>
              <w:ind w:right="1057"/>
              <w:spacing w:after="0"/>
              <w:rPr>
                <w:sz w:val="20"/>
                <w:szCs w:val="20"/>
                <w:color w:val="auto"/>
              </w:rPr>
            </w:pPr>
            <w:r>
              <w:rPr>
                <w:rFonts w:ascii="Arial" w:cs="Arial" w:eastAsia="Arial" w:hAnsi="Arial"/>
                <w:sz w:val="13"/>
                <w:szCs w:val="13"/>
                <w:b w:val="1"/>
                <w:bCs w:val="1"/>
                <w:color w:val="auto"/>
              </w:rPr>
              <w:t>Total</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2,532</w:t>
            </w:r>
          </w:p>
        </w:tc>
        <w:tc>
          <w:tcPr>
            <w:tcW w:w="1520" w:type="dxa"/>
            <w:vAlign w:val="bottom"/>
            <w:gridSpan w:val="2"/>
          </w:tcPr>
          <w:p>
            <w:pPr>
              <w:jc w:val="center"/>
              <w:ind w:left="36"/>
              <w:spacing w:after="0"/>
              <w:rPr>
                <w:sz w:val="20"/>
                <w:szCs w:val="20"/>
                <w:color w:val="auto"/>
              </w:rPr>
            </w:pPr>
            <w:r>
              <w:rPr>
                <w:rFonts w:ascii="Arial" w:cs="Arial" w:eastAsia="Arial" w:hAnsi="Arial"/>
                <w:sz w:val="13"/>
                <w:szCs w:val="13"/>
                <w:color w:val="auto"/>
                <w:w w:val="99"/>
              </w:rPr>
              <w:t>3.7</w:t>
            </w:r>
          </w:p>
        </w:tc>
        <w:tc>
          <w:tcPr>
            <w:tcW w:w="100" w:type="dxa"/>
            <w:vAlign w:val="bottom"/>
          </w:tcPr>
          <w:p>
            <w:pPr>
              <w:spacing w:after="0"/>
              <w:rPr>
                <w:sz w:val="13"/>
                <w:szCs w:val="13"/>
                <w:color w:val="auto"/>
              </w:rPr>
            </w:pPr>
          </w:p>
        </w:tc>
        <w:tc>
          <w:tcPr>
            <w:tcW w:w="1020" w:type="dxa"/>
            <w:vAlign w:val="bottom"/>
          </w:tcPr>
          <w:p>
            <w:pPr>
              <w:jc w:val="right"/>
              <w:ind w:right="881"/>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2,089</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545465</wp:posOffset>
            </wp:positionV>
            <wp:extent cx="695960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is a summary of RSU activity.</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323"/>
              <w:spacing w:after="0"/>
              <w:rPr>
                <w:sz w:val="20"/>
                <w:szCs w:val="20"/>
                <w:color w:val="auto"/>
              </w:rPr>
            </w:pPr>
            <w:r>
              <w:rPr>
                <w:rFonts w:ascii="Arial" w:cs="Arial" w:eastAsia="Arial" w:hAnsi="Arial"/>
                <w:sz w:val="11"/>
                <w:szCs w:val="11"/>
                <w:b w:val="1"/>
                <w:bCs w:val="1"/>
                <w:color w:val="auto"/>
              </w:rPr>
              <w:t>Weighted-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0" w:type="dxa"/>
            <w:vAlign w:val="bottom"/>
            <w:vMerge w:val="restart"/>
          </w:tcPr>
          <w:p>
            <w:pPr>
              <w:jc w:val="center"/>
              <w:ind w:left="383"/>
              <w:spacing w:after="0"/>
              <w:rPr>
                <w:sz w:val="20"/>
                <w:szCs w:val="20"/>
                <w:color w:val="auto"/>
              </w:rPr>
            </w:pPr>
            <w:r>
              <w:rPr>
                <w:rFonts w:ascii="Arial" w:cs="Arial" w:eastAsia="Arial" w:hAnsi="Arial"/>
                <w:sz w:val="11"/>
                <w:szCs w:val="11"/>
                <w:b w:val="1"/>
                <w:bCs w:val="1"/>
                <w:color w:val="auto"/>
              </w:rPr>
              <w:t>Number of</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23"/>
              <w:spacing w:after="0" w:line="106" w:lineRule="exact"/>
              <w:rPr>
                <w:sz w:val="20"/>
                <w:szCs w:val="20"/>
                <w:color w:val="auto"/>
              </w:rPr>
            </w:pPr>
            <w:r>
              <w:rPr>
                <w:rFonts w:ascii="Arial" w:cs="Arial" w:eastAsia="Arial" w:hAnsi="Arial"/>
                <w:sz w:val="11"/>
                <w:szCs w:val="11"/>
                <w:b w:val="1"/>
                <w:bCs w:val="1"/>
                <w:color w:val="auto"/>
              </w:rPr>
              <w:t>Average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rPr>
              <w:t>Average</w:t>
            </w:r>
          </w:p>
        </w:tc>
        <w:tc>
          <w:tcPr>
            <w:tcW w:w="220" w:type="dxa"/>
            <w:vAlign w:val="bottom"/>
          </w:tcPr>
          <w:p>
            <w:pPr>
              <w:spacing w:after="0"/>
              <w:rPr>
                <w:sz w:val="9"/>
                <w:szCs w:val="9"/>
                <w:color w:val="auto"/>
              </w:rPr>
            </w:pPr>
          </w:p>
        </w:tc>
        <w:tc>
          <w:tcPr>
            <w:tcW w:w="1220" w:type="dxa"/>
            <w:vAlign w:val="bottom"/>
            <w:vMerge w:val="restart"/>
          </w:tcPr>
          <w:p>
            <w:pPr>
              <w:jc w:val="center"/>
              <w:ind w:right="160"/>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23"/>
              <w:spacing w:after="0" w:line="106" w:lineRule="exact"/>
              <w:rPr>
                <w:sz w:val="20"/>
                <w:szCs w:val="20"/>
                <w:color w:val="auto"/>
              </w:rPr>
            </w:pPr>
            <w:r>
              <w:rPr>
                <w:rFonts w:ascii="Arial" w:cs="Arial" w:eastAsia="Arial" w:hAnsi="Arial"/>
                <w:sz w:val="11"/>
                <w:szCs w:val="11"/>
                <w:b w:val="1"/>
                <w:bCs w:val="1"/>
                <w:color w:val="auto"/>
                <w:w w:val="98"/>
              </w:rPr>
              <w:t>Fair Value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Remaining</w:t>
            </w: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0" w:type="dxa"/>
            <w:vAlign w:val="bottom"/>
          </w:tcPr>
          <w:p>
            <w:pPr>
              <w:jc w:val="center"/>
              <w:ind w:left="363"/>
              <w:spacing w:after="0" w:line="106" w:lineRule="exact"/>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23"/>
              <w:spacing w:after="0" w:line="106" w:lineRule="exact"/>
              <w:rPr>
                <w:sz w:val="20"/>
                <w:szCs w:val="20"/>
                <w:color w:val="auto"/>
              </w:rPr>
            </w:pPr>
            <w:r>
              <w:rPr>
                <w:rFonts w:ascii="Arial" w:cs="Arial" w:eastAsia="Arial" w:hAnsi="Arial"/>
                <w:sz w:val="11"/>
                <w:szCs w:val="11"/>
                <w:b w:val="1"/>
                <w:bCs w:val="1"/>
                <w:color w:val="auto"/>
              </w:rPr>
              <w:t>per Share at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Contractual</w:t>
            </w:r>
          </w:p>
        </w:tc>
        <w:tc>
          <w:tcPr>
            <w:tcW w:w="220" w:type="dxa"/>
            <w:vAlign w:val="bottom"/>
          </w:tcPr>
          <w:p>
            <w:pPr>
              <w:spacing w:after="0"/>
              <w:rPr>
                <w:sz w:val="9"/>
                <w:szCs w:val="9"/>
                <w:color w:val="auto"/>
              </w:rPr>
            </w:pPr>
          </w:p>
        </w:tc>
        <w:tc>
          <w:tcPr>
            <w:tcW w:w="1220" w:type="dxa"/>
            <w:vAlign w:val="bottom"/>
          </w:tcPr>
          <w:p>
            <w:pPr>
              <w:jc w:val="center"/>
              <w:ind w:right="160"/>
              <w:spacing w:after="0" w:line="106"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w w:val="99"/>
              </w:rPr>
              <w:t>Grant Date</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80"/>
              <w:spacing w:after="0" w:line="138" w:lineRule="exact"/>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rPr>
              <w:t>(Years)</w:t>
            </w:r>
          </w:p>
        </w:tc>
        <w:tc>
          <w:tcPr>
            <w:tcW w:w="220" w:type="dxa"/>
            <w:vAlign w:val="bottom"/>
          </w:tcPr>
          <w:p>
            <w:pPr>
              <w:spacing w:after="0"/>
              <w:rPr>
                <w:sz w:val="12"/>
                <w:szCs w:val="12"/>
                <w:color w:val="auto"/>
              </w:rPr>
            </w:pPr>
          </w:p>
        </w:tc>
        <w:tc>
          <w:tcPr>
            <w:tcW w:w="1220" w:type="dxa"/>
            <w:vAlign w:val="bottom"/>
          </w:tcPr>
          <w:p>
            <w:pPr>
              <w:jc w:val="center"/>
              <w:ind w:right="160"/>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170"/>
        </w:trPr>
        <w:tc>
          <w:tcPr>
            <w:tcW w:w="62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Outstanding at December 31, 2017</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w:t>
            </w:r>
          </w:p>
        </w:tc>
        <w:tc>
          <w:tcPr>
            <w:tcW w:w="1160" w:type="dxa"/>
            <w:vAlign w:val="bottom"/>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40" w:type="dxa"/>
            <w:vAlign w:val="bottom"/>
            <w:gridSpan w:val="4"/>
          </w:tcPr>
          <w:p>
            <w:pPr>
              <w:ind w:left="160"/>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3,152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(1,399)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6,657</w:t>
            </w:r>
          </w:p>
        </w:tc>
        <w:tc>
          <w:tcPr>
            <w:tcW w:w="0" w:type="dxa"/>
            <w:vAlign w:val="bottom"/>
          </w:tcPr>
          <w:p>
            <w:pPr>
              <w:spacing w:after="0"/>
              <w:rPr>
                <w:sz w:val="1"/>
                <w:szCs w:val="1"/>
                <w:color w:val="auto"/>
              </w:rPr>
            </w:pPr>
          </w:p>
        </w:tc>
      </w:tr>
      <w:tr>
        <w:trPr>
          <w:trHeight w:val="170"/>
        </w:trPr>
        <w:tc>
          <w:tcPr>
            <w:tcW w:w="6240" w:type="dxa"/>
            <w:vAlign w:val="bottom"/>
            <w:gridSpan w:val="4"/>
          </w:tcPr>
          <w:p>
            <w:pPr>
              <w:ind w:left="160"/>
              <w:spacing w:after="0"/>
              <w:rPr>
                <w:sz w:val="20"/>
                <w:szCs w:val="20"/>
                <w:color w:val="auto"/>
              </w:rPr>
            </w:pPr>
            <w:r>
              <w:rPr>
                <w:rFonts w:ascii="Arial" w:cs="Arial" w:eastAsia="Arial" w:hAnsi="Arial"/>
                <w:sz w:val="13"/>
                <w:szCs w:val="13"/>
                <w:color w:val="auto"/>
              </w:rPr>
              <w:t>Canceled</w:t>
            </w:r>
          </w:p>
        </w:tc>
        <w:tc>
          <w:tcPr>
            <w:tcW w:w="420" w:type="dxa"/>
            <w:vAlign w:val="bottom"/>
          </w:tcPr>
          <w:p>
            <w:pPr>
              <w:jc w:val="right"/>
              <w:spacing w:after="0"/>
              <w:rPr>
                <w:sz w:val="20"/>
                <w:szCs w:val="20"/>
                <w:color w:val="auto"/>
              </w:rPr>
            </w:pPr>
            <w:r>
              <w:rPr>
                <w:rFonts w:ascii="Arial" w:cs="Arial" w:eastAsia="Arial" w:hAnsi="Arial"/>
                <w:sz w:val="13"/>
                <w:szCs w:val="13"/>
                <w:color w:val="auto"/>
              </w:rPr>
              <w:t>(906)</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2018</w:t>
            </w:r>
          </w:p>
        </w:tc>
        <w:tc>
          <w:tcPr>
            <w:tcW w:w="10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4,352</w:t>
            </w:r>
          </w:p>
        </w:tc>
        <w:tc>
          <w:tcPr>
            <w:tcW w:w="1160" w:type="dxa"/>
            <w:vAlign w:val="bottom"/>
            <w:tcBorders>
              <w:top w:val="single" w:sz="8" w:color="CCEEFF"/>
            </w:tcBorders>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gridSpan w:val="4"/>
          </w:tcPr>
          <w:p>
            <w:pPr>
              <w:ind w:left="160"/>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2,112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11.50</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(1,707)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27,156</w:t>
            </w:r>
          </w:p>
        </w:tc>
        <w:tc>
          <w:tcPr>
            <w:tcW w:w="0" w:type="dxa"/>
            <w:vAlign w:val="bottom"/>
          </w:tcPr>
          <w:p>
            <w:pPr>
              <w:spacing w:after="0"/>
              <w:rPr>
                <w:sz w:val="1"/>
                <w:szCs w:val="1"/>
                <w:color w:val="auto"/>
              </w:rPr>
            </w:pPr>
          </w:p>
        </w:tc>
      </w:tr>
      <w:tr>
        <w:trPr>
          <w:trHeight w:val="170"/>
        </w:trPr>
        <w:tc>
          <w:tcPr>
            <w:tcW w:w="6240" w:type="dxa"/>
            <w:vAlign w:val="bottom"/>
            <w:gridSpan w:val="4"/>
          </w:tcPr>
          <w:p>
            <w:pPr>
              <w:ind w:left="160"/>
              <w:spacing w:after="0"/>
              <w:rPr>
                <w:sz w:val="20"/>
                <w:szCs w:val="20"/>
                <w:color w:val="auto"/>
              </w:rPr>
            </w:pPr>
            <w:r>
              <w:rPr>
                <w:rFonts w:ascii="Arial" w:cs="Arial" w:eastAsia="Arial" w:hAnsi="Arial"/>
                <w:sz w:val="13"/>
                <w:szCs w:val="13"/>
                <w:color w:val="auto"/>
              </w:rPr>
              <w:t>Canceled</w:t>
            </w:r>
          </w:p>
        </w:tc>
        <w:tc>
          <w:tcPr>
            <w:tcW w:w="420" w:type="dxa"/>
            <w:vAlign w:val="bottom"/>
          </w:tcPr>
          <w:p>
            <w:pPr>
              <w:jc w:val="right"/>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2019</w:t>
            </w:r>
          </w:p>
        </w:tc>
        <w:tc>
          <w:tcPr>
            <w:tcW w:w="10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160" w:type="dxa"/>
            <w:vAlign w:val="bottom"/>
            <w:tcBorders>
              <w:top w:val="single" w:sz="8" w:color="CCEEFF"/>
            </w:tcBorders>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240" w:type="dxa"/>
            <w:vAlign w:val="bottom"/>
            <w:gridSpan w:val="4"/>
          </w:tcPr>
          <w:p>
            <w:pPr>
              <w:ind w:left="160"/>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55.66</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(2,085)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125,578</w:t>
            </w:r>
          </w:p>
        </w:tc>
        <w:tc>
          <w:tcPr>
            <w:tcW w:w="0" w:type="dxa"/>
            <w:vAlign w:val="bottom"/>
          </w:tcPr>
          <w:p>
            <w:pPr>
              <w:spacing w:after="0"/>
              <w:rPr>
                <w:sz w:val="1"/>
                <w:szCs w:val="1"/>
                <w:color w:val="auto"/>
              </w:rPr>
            </w:pPr>
          </w:p>
        </w:tc>
      </w:tr>
      <w:tr>
        <w:trPr>
          <w:trHeight w:val="170"/>
        </w:trPr>
        <w:tc>
          <w:tcPr>
            <w:tcW w:w="5240" w:type="dxa"/>
            <w:vAlign w:val="bottom"/>
            <w:tcBorders>
              <w:bottom w:val="single" w:sz="8" w:color="CCEEFF"/>
            </w:tcBorders>
            <w:gridSpan w:val="3"/>
          </w:tcPr>
          <w:p>
            <w:pPr>
              <w:ind w:left="160"/>
              <w:spacing w:after="0"/>
              <w:rPr>
                <w:sz w:val="20"/>
                <w:szCs w:val="20"/>
                <w:color w:val="auto"/>
              </w:rPr>
            </w:pPr>
            <w:r>
              <w:rPr>
                <w:rFonts w:ascii="Arial" w:cs="Arial" w:eastAsia="Arial" w:hAnsi="Arial"/>
                <w:sz w:val="13"/>
                <w:szCs w:val="13"/>
                <w:color w:val="auto"/>
              </w:rPr>
              <w:t>Canceled</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2020</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3,588</w:t>
            </w:r>
          </w:p>
        </w:tc>
        <w:tc>
          <w:tcPr>
            <w:tcW w:w="1160" w:type="dxa"/>
            <w:vAlign w:val="bottom"/>
            <w:tcBorders>
              <w:bottom w:val="single" w:sz="8" w:color="CCEEFF"/>
            </w:tcBorders>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27.61</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629,633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40" w:type="dxa"/>
            <w:vAlign w:val="bottom"/>
            <w:gridSpan w:val="4"/>
          </w:tcPr>
          <w:p>
            <w:pPr>
              <w:spacing w:after="0" w:line="133" w:lineRule="exact"/>
              <w:rPr>
                <w:sz w:val="20"/>
                <w:szCs w:val="20"/>
                <w:color w:val="auto"/>
              </w:rPr>
            </w:pPr>
            <w:r>
              <w:rPr>
                <w:rFonts w:ascii="Arial" w:cs="Arial" w:eastAsia="Arial" w:hAnsi="Arial"/>
                <w:sz w:val="13"/>
                <w:szCs w:val="13"/>
                <w:color w:val="auto"/>
              </w:rPr>
              <w:t>Expected to vest at December 31, 2020</w:t>
            </w:r>
          </w:p>
        </w:tc>
        <w:tc>
          <w:tcPr>
            <w:tcW w:w="420" w:type="dxa"/>
            <w:vAlign w:val="bottom"/>
          </w:tcPr>
          <w:p>
            <w:pPr>
              <w:jc w:val="right"/>
              <w:spacing w:after="0" w:line="133" w:lineRule="exact"/>
              <w:rPr>
                <w:sz w:val="20"/>
                <w:szCs w:val="20"/>
                <w:color w:val="auto"/>
              </w:rPr>
            </w:pPr>
            <w:r>
              <w:rPr>
                <w:rFonts w:ascii="Arial" w:cs="Arial" w:eastAsia="Arial" w:hAnsi="Arial"/>
                <w:sz w:val="13"/>
                <w:szCs w:val="13"/>
                <w:color w:val="auto"/>
              </w:rPr>
              <w:t>3,588</w:t>
            </w:r>
          </w:p>
        </w:tc>
        <w:tc>
          <w:tcPr>
            <w:tcW w:w="1160" w:type="dxa"/>
            <w:vAlign w:val="bottom"/>
            <w:gridSpan w:val="2"/>
          </w:tcPr>
          <w:p>
            <w:pPr>
              <w:jc w:val="right"/>
              <w:ind w:right="923"/>
              <w:spacing w:after="0" w:line="133"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3" w:lineRule="exact"/>
              <w:rPr>
                <w:sz w:val="20"/>
                <w:szCs w:val="20"/>
                <w:color w:val="auto"/>
              </w:rPr>
            </w:pPr>
            <w:r>
              <w:rPr>
                <w:rFonts w:ascii="Arial" w:cs="Arial" w:eastAsia="Arial" w:hAnsi="Arial"/>
                <w:sz w:val="13"/>
                <w:szCs w:val="13"/>
                <w:color w:val="auto"/>
                <w:w w:val="92"/>
              </w:rPr>
              <w:t>27.61</w:t>
            </w:r>
          </w:p>
        </w:tc>
        <w:tc>
          <w:tcPr>
            <w:tcW w:w="10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220" w:type="dxa"/>
            <w:vAlign w:val="bottom"/>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line="133" w:lineRule="exact"/>
              <w:rPr>
                <w:sz w:val="20"/>
                <w:szCs w:val="20"/>
                <w:color w:val="auto"/>
              </w:rPr>
            </w:pPr>
            <w:r>
              <w:rPr>
                <w:rFonts w:ascii="Arial" w:cs="Arial" w:eastAsia="Arial" w:hAnsi="Arial"/>
                <w:sz w:val="13"/>
                <w:szCs w:val="13"/>
                <w:color w:val="auto"/>
              </w:rPr>
              <w:t>629,633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36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380" w:hanging="375"/>
        <w:spacing w:after="0" w:line="274" w:lineRule="auto"/>
        <w:tabs>
          <w:tab w:leader="none" w:pos="409"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intrinsic value of RSUs vested is based upon the value of the Company’s stock when vested. The intrinsic value of RSUs outstanding and expected to vest as of December 31, 2020 is based on the closing price of the last trading day during the period ended December 31, 2020. The Company’s stock fair value used in this computation was $175.47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695960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18" w:name="page119"/>
    <w:bookmarkEnd w:id="11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Stock Units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is a summary of PSU activity.</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323"/>
              <w:spacing w:after="0"/>
              <w:rPr>
                <w:sz w:val="20"/>
                <w:szCs w:val="20"/>
                <w:color w:val="auto"/>
              </w:rPr>
            </w:pPr>
            <w:r>
              <w:rPr>
                <w:rFonts w:ascii="Arial" w:cs="Arial" w:eastAsia="Arial" w:hAnsi="Arial"/>
                <w:sz w:val="11"/>
                <w:szCs w:val="11"/>
                <w:b w:val="1"/>
                <w:bCs w:val="1"/>
                <w:color w:val="auto"/>
              </w:rPr>
              <w:t>Weighted-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0" w:type="dxa"/>
            <w:vAlign w:val="bottom"/>
            <w:vMerge w:val="restart"/>
          </w:tcPr>
          <w:p>
            <w:pPr>
              <w:jc w:val="center"/>
              <w:ind w:left="383"/>
              <w:spacing w:after="0"/>
              <w:rPr>
                <w:sz w:val="20"/>
                <w:szCs w:val="20"/>
                <w:color w:val="auto"/>
              </w:rPr>
            </w:pPr>
            <w:r>
              <w:rPr>
                <w:rFonts w:ascii="Arial" w:cs="Arial" w:eastAsia="Arial" w:hAnsi="Arial"/>
                <w:sz w:val="11"/>
                <w:szCs w:val="11"/>
                <w:b w:val="1"/>
                <w:bCs w:val="1"/>
                <w:color w:val="auto"/>
              </w:rPr>
              <w:t>Number of</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23"/>
              <w:spacing w:after="0" w:line="106" w:lineRule="exact"/>
              <w:rPr>
                <w:sz w:val="20"/>
                <w:szCs w:val="20"/>
                <w:color w:val="auto"/>
              </w:rPr>
            </w:pPr>
            <w:r>
              <w:rPr>
                <w:rFonts w:ascii="Arial" w:cs="Arial" w:eastAsia="Arial" w:hAnsi="Arial"/>
                <w:sz w:val="11"/>
                <w:szCs w:val="11"/>
                <w:b w:val="1"/>
                <w:bCs w:val="1"/>
                <w:color w:val="auto"/>
              </w:rPr>
              <w:t>Average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rPr>
              <w:t>Average</w:t>
            </w:r>
          </w:p>
        </w:tc>
        <w:tc>
          <w:tcPr>
            <w:tcW w:w="220" w:type="dxa"/>
            <w:vAlign w:val="bottom"/>
          </w:tcPr>
          <w:p>
            <w:pPr>
              <w:spacing w:after="0"/>
              <w:rPr>
                <w:sz w:val="9"/>
                <w:szCs w:val="9"/>
                <w:color w:val="auto"/>
              </w:rPr>
            </w:pPr>
          </w:p>
        </w:tc>
        <w:tc>
          <w:tcPr>
            <w:tcW w:w="1220" w:type="dxa"/>
            <w:vAlign w:val="bottom"/>
            <w:vMerge w:val="restart"/>
          </w:tcPr>
          <w:p>
            <w:pPr>
              <w:jc w:val="center"/>
              <w:ind w:right="160"/>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23"/>
              <w:spacing w:after="0" w:line="106" w:lineRule="exact"/>
              <w:rPr>
                <w:sz w:val="20"/>
                <w:szCs w:val="20"/>
                <w:color w:val="auto"/>
              </w:rPr>
            </w:pPr>
            <w:r>
              <w:rPr>
                <w:rFonts w:ascii="Arial" w:cs="Arial" w:eastAsia="Arial" w:hAnsi="Arial"/>
                <w:sz w:val="11"/>
                <w:szCs w:val="11"/>
                <w:b w:val="1"/>
                <w:bCs w:val="1"/>
                <w:color w:val="auto"/>
                <w:w w:val="98"/>
              </w:rPr>
              <w:t>Fair Value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Remaining</w:t>
            </w: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0" w:type="dxa"/>
            <w:vAlign w:val="bottom"/>
          </w:tcPr>
          <w:p>
            <w:pPr>
              <w:jc w:val="center"/>
              <w:ind w:left="363"/>
              <w:spacing w:after="0" w:line="106" w:lineRule="exact"/>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jc w:val="center"/>
              <w:ind w:left="323"/>
              <w:spacing w:after="0" w:line="106" w:lineRule="exact"/>
              <w:rPr>
                <w:sz w:val="20"/>
                <w:szCs w:val="20"/>
                <w:color w:val="auto"/>
              </w:rPr>
            </w:pPr>
            <w:r>
              <w:rPr>
                <w:rFonts w:ascii="Arial" w:cs="Arial" w:eastAsia="Arial" w:hAnsi="Arial"/>
                <w:sz w:val="11"/>
                <w:szCs w:val="11"/>
                <w:b w:val="1"/>
                <w:bCs w:val="1"/>
                <w:color w:val="auto"/>
              </w:rPr>
              <w:t>per Share at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Contractual</w:t>
            </w:r>
          </w:p>
        </w:tc>
        <w:tc>
          <w:tcPr>
            <w:tcW w:w="220" w:type="dxa"/>
            <w:vAlign w:val="bottom"/>
          </w:tcPr>
          <w:p>
            <w:pPr>
              <w:spacing w:after="0"/>
              <w:rPr>
                <w:sz w:val="9"/>
                <w:szCs w:val="9"/>
                <w:color w:val="auto"/>
              </w:rPr>
            </w:pPr>
          </w:p>
        </w:tc>
        <w:tc>
          <w:tcPr>
            <w:tcW w:w="1220" w:type="dxa"/>
            <w:vAlign w:val="bottom"/>
          </w:tcPr>
          <w:p>
            <w:pPr>
              <w:jc w:val="center"/>
              <w:ind w:right="160"/>
              <w:spacing w:after="0" w:line="106"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w w:val="99"/>
              </w:rPr>
              <w:t>Grant Date</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80"/>
              <w:spacing w:after="0" w:line="138" w:lineRule="exact"/>
              <w:rPr>
                <w:sz w:val="20"/>
                <w:szCs w:val="20"/>
                <w:color w:val="auto"/>
              </w:rPr>
            </w:pPr>
            <w:r>
              <w:rPr>
                <w:rFonts w:ascii="Arial" w:cs="Arial" w:eastAsia="Arial" w:hAnsi="Arial"/>
                <w:sz w:val="11"/>
                <w:szCs w:val="11"/>
                <w:b w:val="1"/>
                <w:bCs w:val="1"/>
                <w:color w:val="auto"/>
                <w:w w:val="95"/>
              </w:rPr>
              <w:t xml:space="preserve">Value </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i w:val="1"/>
                <w:iCs w:val="1"/>
                <w:color w:val="auto"/>
              </w:rPr>
              <w:t>(Years)</w:t>
            </w:r>
          </w:p>
        </w:tc>
        <w:tc>
          <w:tcPr>
            <w:tcW w:w="220" w:type="dxa"/>
            <w:vAlign w:val="bottom"/>
          </w:tcPr>
          <w:p>
            <w:pPr>
              <w:spacing w:after="0"/>
              <w:rPr>
                <w:sz w:val="12"/>
                <w:szCs w:val="12"/>
                <w:color w:val="auto"/>
              </w:rPr>
            </w:pPr>
          </w:p>
        </w:tc>
        <w:tc>
          <w:tcPr>
            <w:tcW w:w="1220" w:type="dxa"/>
            <w:vAlign w:val="bottom"/>
          </w:tcPr>
          <w:p>
            <w:pPr>
              <w:jc w:val="center"/>
              <w:ind w:right="160"/>
              <w:spacing w:after="0"/>
              <w:rPr>
                <w:sz w:val="20"/>
                <w:szCs w:val="20"/>
                <w:color w:val="auto"/>
              </w:rPr>
            </w:pPr>
            <w:r>
              <w:rPr>
                <w:rFonts w:ascii="Arial" w:cs="Arial" w:eastAsia="Arial" w:hAnsi="Arial"/>
                <w:sz w:val="11"/>
                <w:szCs w:val="11"/>
                <w:i w:val="1"/>
                <w:iCs w:val="1"/>
                <w:color w:val="auto"/>
              </w:rPr>
              <w:t>(In thousands)</w:t>
            </w:r>
          </w:p>
        </w:tc>
        <w:tc>
          <w:tcPr>
            <w:tcW w:w="0" w:type="dxa"/>
            <w:vAlign w:val="bottom"/>
          </w:tcPr>
          <w:p>
            <w:pPr>
              <w:spacing w:after="0"/>
              <w:rPr>
                <w:sz w:val="1"/>
                <w:szCs w:val="1"/>
                <w:color w:val="auto"/>
              </w:rPr>
            </w:pPr>
          </w:p>
        </w:tc>
      </w:tr>
      <w:tr>
        <w:trPr>
          <w:trHeight w:val="170"/>
        </w:trPr>
        <w:tc>
          <w:tcPr>
            <w:tcW w:w="62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Outstanding at December 31, 2017</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1,477</w:t>
            </w:r>
          </w:p>
        </w:tc>
        <w:tc>
          <w:tcPr>
            <w:tcW w:w="1160" w:type="dxa"/>
            <w:vAlign w:val="bottom"/>
            <w:gridSpan w:val="2"/>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Canceled</w:t>
            </w:r>
          </w:p>
        </w:tc>
        <w:tc>
          <w:tcPr>
            <w:tcW w:w="42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2018</w:t>
            </w:r>
          </w:p>
        </w:tc>
        <w:tc>
          <w:tcPr>
            <w:tcW w:w="10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1160" w:type="dxa"/>
            <w:vAlign w:val="bottom"/>
            <w:tcBorders>
              <w:top w:val="single" w:sz="8" w:color="CCEEFF"/>
            </w:tcBorders>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1,052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(1,063)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Canceled</w:t>
            </w:r>
          </w:p>
        </w:tc>
        <w:tc>
          <w:tcPr>
            <w:tcW w:w="420" w:type="dxa"/>
            <w:vAlign w:val="bottom"/>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2019</w:t>
            </w:r>
          </w:p>
        </w:tc>
        <w:tc>
          <w:tcPr>
            <w:tcW w:w="10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160" w:type="dxa"/>
            <w:vAlign w:val="bottom"/>
            <w:tcBorders>
              <w:top w:val="single" w:sz="8" w:color="CCEEFF"/>
            </w:tcBorders>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Granted</w:t>
            </w:r>
          </w:p>
        </w:tc>
        <w:tc>
          <w:tcPr>
            <w:tcW w:w="420" w:type="dxa"/>
            <w:vAlign w:val="bottom"/>
          </w:tcPr>
          <w:p>
            <w:pPr>
              <w:jc w:val="right"/>
              <w:spacing w:after="0"/>
              <w:rPr>
                <w:sz w:val="20"/>
                <w:szCs w:val="20"/>
                <w:color w:val="auto"/>
              </w:rPr>
            </w:pPr>
            <w:r>
              <w:rPr>
                <w:rFonts w:ascii="Arial" w:cs="Arial" w:eastAsia="Arial" w:hAnsi="Arial"/>
                <w:sz w:val="13"/>
                <w:szCs w:val="13"/>
                <w:color w:val="auto"/>
              </w:rPr>
              <w:t>989</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31.12</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(1,450)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52,144</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5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Canceled</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Outstanding at December 31, 2020</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160" w:type="dxa"/>
            <w:vAlign w:val="bottom"/>
            <w:gridSpan w:val="2"/>
            <w:shd w:val="clear" w:color="auto" w:fill="CCEEFF"/>
          </w:tcPr>
          <w:p>
            <w:pPr>
              <w:jc w:val="right"/>
              <w:ind w:right="92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51.10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380" w:hanging="375"/>
        <w:spacing w:after="0" w:line="274" w:lineRule="auto"/>
        <w:tabs>
          <w:tab w:leader="none" w:pos="41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intrinsic value of PSUs vested is based upon the value of the Company’s stock when vested. The intrinsic value of PSUs outstanding and expected to vest as of December 31, 2020 is based on the closing price of the last trading day during the period ended December 31, 2020. The Company’s stock fair value used in this computation was $175.47 per share.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Purchase Plan</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summary of ESPP activity for the years presented is as follows: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39"/>
        </w:trPr>
        <w:tc>
          <w:tcPr>
            <w:tcW w:w="68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2018</w:t>
            </w:r>
          </w:p>
        </w:tc>
      </w:tr>
      <w:tr>
        <w:trPr>
          <w:trHeight w:val="16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common stock issued under ESPP</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170"/>
        </w:trPr>
        <w:tc>
          <w:tcPr>
            <w:tcW w:w="6800" w:type="dxa"/>
            <w:vAlign w:val="bottom"/>
          </w:tcPr>
          <w:p>
            <w:pPr>
              <w:ind w:left="20"/>
              <w:spacing w:after="0"/>
              <w:rPr>
                <w:sz w:val="20"/>
                <w:szCs w:val="20"/>
                <w:color w:val="auto"/>
              </w:rPr>
            </w:pPr>
            <w:r>
              <w:rPr>
                <w:rFonts w:ascii="Arial" w:cs="Arial" w:eastAsia="Arial" w:hAnsi="Arial"/>
                <w:sz w:val="13"/>
                <w:szCs w:val="13"/>
                <w:color w:val="auto"/>
              </w:rPr>
              <w:t>Shares of common stock issued</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price per share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44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0.90</w:t>
            </w:r>
          </w:p>
        </w:tc>
      </w:tr>
    </w:tbl>
    <w:p>
      <w:pPr>
        <w:spacing w:after="0" w:line="200" w:lineRule="exact"/>
        <w:rPr>
          <w:sz w:val="20"/>
          <w:szCs w:val="20"/>
          <w:color w:val="auto"/>
        </w:rPr>
      </w:pPr>
    </w:p>
    <w:p>
      <w:pPr>
        <w:spacing w:after="0" w:line="246" w:lineRule="exact"/>
        <w:rPr>
          <w:sz w:val="20"/>
          <w:szCs w:val="20"/>
          <w:color w:val="auto"/>
        </w:rPr>
      </w:pPr>
    </w:p>
    <w:p>
      <w:pPr>
        <w:ind w:left="360" w:hanging="355"/>
        <w:spacing w:after="0"/>
        <w:tabs>
          <w:tab w:leader="none" w:pos="36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domestic and foreign components of income (loss) before income taxes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1"/>
        </w:trPr>
        <w:tc>
          <w:tcPr>
            <w:tcW w:w="68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59"/>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18"/>
              <w:spacing w:after="0"/>
              <w:rPr>
                <w:sz w:val="20"/>
                <w:szCs w:val="20"/>
                <w:color w:val="auto"/>
              </w:rPr>
            </w:pPr>
            <w:r>
              <w:rPr>
                <w:rFonts w:ascii="Arial" w:cs="Arial" w:eastAsia="Arial" w:hAnsi="Arial"/>
                <w:sz w:val="11"/>
                <w:szCs w:val="11"/>
                <w:b w:val="1"/>
                <w:bCs w:val="1"/>
                <w:color w:val="auto"/>
              </w:rPr>
              <w:t>2018</w:t>
            </w:r>
          </w:p>
        </w:tc>
      </w:tr>
      <w:tr>
        <w:trPr>
          <w:trHeight w:val="146"/>
        </w:trPr>
        <w:tc>
          <w:tcPr>
            <w:tcW w:w="6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112,727</w:t>
            </w:r>
          </w:p>
        </w:tc>
        <w:tc>
          <w:tcPr>
            <w:tcW w:w="32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(14,322)</w:t>
            </w:r>
          </w:p>
        </w:tc>
      </w:tr>
      <w:tr>
        <w:trPr>
          <w:trHeight w:val="17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4,093</w:t>
            </w:r>
          </w:p>
        </w:tc>
      </w:tr>
      <w:tr>
        <w:trPr>
          <w:trHeight w:val="185"/>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Income (loss) before income taxes</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370840</wp:posOffset>
            </wp:positionV>
            <wp:extent cx="695960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income taxes (benefit) provision for the years presented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Years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39"/>
        </w:trPr>
        <w:tc>
          <w:tcPr>
            <w:tcW w:w="67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r>
      <w:tr>
        <w:trPr>
          <w:trHeight w:val="139"/>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780" w:type="dxa"/>
            <w:vAlign w:val="bottom"/>
          </w:tcPr>
          <w:p>
            <w:pPr>
              <w:ind w:left="120"/>
              <w:spacing w:after="0"/>
              <w:rPr>
                <w:sz w:val="20"/>
                <w:szCs w:val="20"/>
                <w:color w:val="auto"/>
              </w:rPr>
            </w:pPr>
            <w:r>
              <w:rPr>
                <w:rFonts w:ascii="Arial" w:cs="Arial" w:eastAsia="Arial" w:hAnsi="Arial"/>
                <w:sz w:val="13"/>
                <w:szCs w:val="13"/>
                <w:color w:val="auto"/>
              </w:rPr>
              <w:t>Federal</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7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Foreign</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w:t>
            </w:r>
          </w:p>
        </w:tc>
      </w:tr>
      <w:tr>
        <w:trPr>
          <w:trHeight w:val="160"/>
        </w:trPr>
        <w:tc>
          <w:tcPr>
            <w:tcW w:w="67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1,275</w:t>
            </w:r>
          </w:p>
        </w:tc>
      </w:tr>
      <w:tr>
        <w:trPr>
          <w:trHeight w:val="150"/>
        </w:trPr>
        <w:tc>
          <w:tcPr>
            <w:tcW w:w="6780" w:type="dxa"/>
            <w:vAlign w:val="bottom"/>
          </w:tcPr>
          <w:p>
            <w:pPr>
              <w:ind w:left="20"/>
              <w:spacing w:after="0"/>
              <w:rPr>
                <w:sz w:val="20"/>
                <w:szCs w:val="20"/>
                <w:color w:val="auto"/>
              </w:rPr>
            </w:pPr>
            <w:r>
              <w:rPr>
                <w:rFonts w:ascii="Arial" w:cs="Arial" w:eastAsia="Arial" w:hAnsi="Arial"/>
                <w:sz w:val="13"/>
                <w:szCs w:val="13"/>
                <w:color w:val="auto"/>
              </w:rPr>
              <w:t>Deferred:</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(56,959)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6780" w:type="dxa"/>
            <w:vAlign w:val="bottom"/>
          </w:tcPr>
          <w:p>
            <w:pPr>
              <w:ind w:left="120"/>
              <w:spacing w:after="0"/>
              <w:rPr>
                <w:sz w:val="20"/>
                <w:szCs w:val="20"/>
                <w:color w:val="auto"/>
              </w:rPr>
            </w:pPr>
            <w:r>
              <w:rPr>
                <w:rFonts w:ascii="Arial" w:cs="Arial" w:eastAsia="Arial" w:hAnsi="Arial"/>
                <w:sz w:val="13"/>
                <w:szCs w:val="13"/>
                <w:color w:val="auto"/>
              </w:rPr>
              <w:t>State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(17,458)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0"/>
        </w:trPr>
        <w:tc>
          <w:tcPr>
            <w:tcW w:w="6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Foreign</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r>
      <w:tr>
        <w:trPr>
          <w:trHeight w:val="160"/>
        </w:trPr>
        <w:tc>
          <w:tcPr>
            <w:tcW w:w="67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(17,117)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(72,950)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r>
      <w:tr>
        <w:trPr>
          <w:trHeight w:val="185"/>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Income taxes (benefit) provision</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(71,034)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 reconciliation of the income tax (benefit) provision and the amount computed by applying the statutory federal income tax rate of 21% to income (loss) before income taxes for the years presented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Years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39"/>
        </w:trPr>
        <w:tc>
          <w:tcPr>
            <w:tcW w:w="678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r>
      <w:tr>
        <w:trPr>
          <w:trHeight w:val="139"/>
        </w:trPr>
        <w:tc>
          <w:tcPr>
            <w:tcW w:w="6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 at statutory federal rate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25,076</w:t>
            </w:r>
          </w:p>
        </w:tc>
        <w:tc>
          <w:tcPr>
            <w:tcW w:w="32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w:t>
            </w:r>
          </w:p>
        </w:tc>
      </w:tr>
      <w:tr>
        <w:trPr>
          <w:trHeight w:val="170"/>
        </w:trPr>
        <w:tc>
          <w:tcPr>
            <w:tcW w:w="6780" w:type="dxa"/>
            <w:vAlign w:val="bottom"/>
          </w:tcPr>
          <w:p>
            <w:pPr>
              <w:ind w:left="20"/>
              <w:spacing w:after="0"/>
              <w:rPr>
                <w:sz w:val="20"/>
                <w:szCs w:val="20"/>
                <w:color w:val="auto"/>
              </w:rPr>
            </w:pPr>
            <w:r>
              <w:rPr>
                <w:rFonts w:ascii="Arial" w:cs="Arial" w:eastAsia="Arial" w:hAnsi="Arial"/>
                <w:sz w:val="13"/>
                <w:szCs w:val="13"/>
                <w:color w:val="auto"/>
              </w:rPr>
              <w:t>State taxes, net of federal benefit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(17,197)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valuation allowance</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8,198</w:t>
            </w:r>
          </w:p>
        </w:tc>
      </w:tr>
      <w:tr>
        <w:trPr>
          <w:trHeight w:val="170"/>
        </w:trPr>
        <w:tc>
          <w:tcPr>
            <w:tcW w:w="6780" w:type="dxa"/>
            <w:vAlign w:val="bottom"/>
          </w:tcPr>
          <w:p>
            <w:pPr>
              <w:ind w:left="20"/>
              <w:spacing w:after="0"/>
              <w:rPr>
                <w:sz w:val="20"/>
                <w:szCs w:val="20"/>
                <w:color w:val="auto"/>
              </w:rPr>
            </w:pPr>
            <w:r>
              <w:rPr>
                <w:rFonts w:ascii="Arial" w:cs="Arial" w:eastAsia="Arial" w:hAnsi="Arial"/>
                <w:sz w:val="13"/>
                <w:szCs w:val="13"/>
                <w:color w:val="auto"/>
              </w:rPr>
              <w:t>Foreign tax rate and tax law differential</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1,206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313</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credits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r>
      <w:tr>
        <w:trPr>
          <w:trHeight w:val="170"/>
        </w:trPr>
        <w:tc>
          <w:tcPr>
            <w:tcW w:w="67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(50,818)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(953)</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permanent items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70"/>
        </w:trPr>
        <w:tc>
          <w:tcPr>
            <w:tcW w:w="6780" w:type="dxa"/>
            <w:vAlign w:val="bottom"/>
          </w:tcPr>
          <w:p>
            <w:pPr>
              <w:ind w:left="20"/>
              <w:spacing w:after="0"/>
              <w:rPr>
                <w:sz w:val="20"/>
                <w:szCs w:val="20"/>
                <w:color w:val="auto"/>
              </w:rPr>
            </w:pPr>
            <w:r>
              <w:rPr>
                <w:rFonts w:ascii="Arial" w:cs="Arial" w:eastAsia="Arial" w:hAnsi="Arial"/>
                <w:sz w:val="13"/>
                <w:szCs w:val="13"/>
                <w:color w:val="auto"/>
              </w:rPr>
              <w:t>Other nondeductible/nontaxable items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(5,112)</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Uncertain tax positions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r>
      <w:tr>
        <w:trPr>
          <w:trHeight w:val="170"/>
        </w:trPr>
        <w:tc>
          <w:tcPr>
            <w:tcW w:w="6780" w:type="dxa"/>
            <w:vAlign w:val="bottom"/>
          </w:tcPr>
          <w:p>
            <w:pPr>
              <w:ind w:left="20"/>
              <w:spacing w:after="0"/>
              <w:rPr>
                <w:sz w:val="20"/>
                <w:szCs w:val="20"/>
                <w:color w:val="auto"/>
              </w:rPr>
            </w:pPr>
            <w:r>
              <w:rPr>
                <w:rFonts w:ascii="Arial" w:cs="Arial" w:eastAsia="Arial" w:hAnsi="Arial"/>
                <w:sz w:val="13"/>
                <w:szCs w:val="13"/>
                <w:color w:val="auto"/>
              </w:rPr>
              <w:t>GILTI</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1,086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917</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Section 162(m)</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r>
      <w:tr>
        <w:trPr>
          <w:trHeight w:val="170"/>
        </w:trPr>
        <w:tc>
          <w:tcPr>
            <w:tcW w:w="6780" w:type="dxa"/>
            <w:vAlign w:val="bottom"/>
          </w:tcPr>
          <w:p>
            <w:pPr>
              <w:ind w:left="20"/>
              <w:spacing w:after="0"/>
              <w:rPr>
                <w:sz w:val="20"/>
                <w:szCs w:val="20"/>
                <w:color w:val="auto"/>
              </w:rPr>
            </w:pPr>
            <w:r>
              <w:rPr>
                <w:rFonts w:ascii="Arial" w:cs="Arial" w:eastAsia="Arial" w:hAnsi="Arial"/>
                <w:sz w:val="13"/>
                <w:szCs w:val="13"/>
                <w:color w:val="auto"/>
              </w:rPr>
              <w:t>Warrant mark-to-mark adjustment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Income tax (benefit) provision</w:t>
            </w:r>
          </w:p>
        </w:tc>
        <w:tc>
          <w:tcPr>
            <w:tcW w:w="88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370840</wp:posOffset>
            </wp:positionV>
            <wp:extent cx="695960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summary of significant components of the Company’s deferred tax assets and liabilities as of December 31, 2020 and 2019 is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3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39"/>
        </w:trPr>
        <w:tc>
          <w:tcPr>
            <w:tcW w:w="83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2019</w:t>
            </w:r>
          </w:p>
        </w:tc>
      </w:tr>
      <w:tr>
        <w:trPr>
          <w:trHeight w:val="15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0"/>
        </w:trPr>
        <w:tc>
          <w:tcPr>
            <w:tcW w:w="8300" w:type="dxa"/>
            <w:vAlign w:val="bottom"/>
          </w:tcPr>
          <w:p>
            <w:pPr>
              <w:ind w:left="120"/>
              <w:spacing w:after="0"/>
              <w:rPr>
                <w:sz w:val="20"/>
                <w:szCs w:val="20"/>
                <w:color w:val="auto"/>
              </w:rPr>
            </w:pPr>
            <w:r>
              <w:rPr>
                <w:rFonts w:ascii="Arial" w:cs="Arial" w:eastAsia="Arial" w:hAnsi="Arial"/>
                <w:sz w:val="13"/>
                <w:szCs w:val="13"/>
                <w:color w:val="auto"/>
              </w:rPr>
              <w:t>Allowances and reserves</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13,146</w:t>
            </w:r>
          </w:p>
        </w:tc>
        <w:tc>
          <w:tcPr>
            <w:tcW w:w="8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10,726</w:t>
            </w:r>
          </w:p>
        </w:tc>
      </w:tr>
      <w:tr>
        <w:trPr>
          <w:trHeight w:val="17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operating loss and tax credit carryforwards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53,116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54,369</w:t>
            </w:r>
          </w:p>
        </w:tc>
      </w:tr>
      <w:tr>
        <w:trPr>
          <w:trHeight w:val="170"/>
        </w:trPr>
        <w:tc>
          <w:tcPr>
            <w:tcW w:w="830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4,598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3,753</w:t>
            </w:r>
          </w:p>
        </w:tc>
      </w:tr>
      <w:tr>
        <w:trPr>
          <w:trHeight w:val="17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20,765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16,736</w:t>
            </w:r>
          </w:p>
        </w:tc>
      </w:tr>
      <w:tr>
        <w:trPr>
          <w:trHeight w:val="170"/>
        </w:trPr>
        <w:tc>
          <w:tcPr>
            <w:tcW w:w="8300" w:type="dxa"/>
            <w:vAlign w:val="bottom"/>
          </w:tcPr>
          <w:p>
            <w:pPr>
              <w:ind w:left="120"/>
              <w:spacing w:after="0"/>
              <w:rPr>
                <w:sz w:val="20"/>
                <w:szCs w:val="20"/>
                <w:color w:val="auto"/>
              </w:rPr>
            </w:pPr>
            <w:r>
              <w:rPr>
                <w:rFonts w:ascii="Arial" w:cs="Arial" w:eastAsia="Arial" w:hAnsi="Arial"/>
                <w:sz w:val="13"/>
                <w:szCs w:val="13"/>
                <w:color w:val="auto"/>
              </w:rPr>
              <w:t>Fixed assets and intangibles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8,706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2,720</w:t>
            </w:r>
          </w:p>
        </w:tc>
      </w:tr>
      <w:tr>
        <w:trPr>
          <w:trHeight w:val="17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 163(j) interest carryforward</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7,007</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w:t>
            </w:r>
          </w:p>
        </w:tc>
      </w:tr>
      <w:tr>
        <w:trPr>
          <w:trHeight w:val="160"/>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Subtotal</w:t>
            </w: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111,739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89,413</w:t>
            </w:r>
          </w:p>
        </w:tc>
      </w:tr>
      <w:tr>
        <w:trPr>
          <w:trHeight w:val="160"/>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deferred tax assets</w:t>
            </w: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111,739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89,413</w:t>
            </w:r>
          </w:p>
        </w:tc>
      </w:tr>
      <w:tr>
        <w:trPr>
          <w:trHeight w:val="15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0"/>
        </w:trPr>
        <w:tc>
          <w:tcPr>
            <w:tcW w:w="8300" w:type="dxa"/>
            <w:vAlign w:val="bottom"/>
          </w:tcPr>
          <w:p>
            <w:pPr>
              <w:ind w:left="120"/>
              <w:spacing w:after="0"/>
              <w:rPr>
                <w:sz w:val="20"/>
                <w:szCs w:val="20"/>
                <w:color w:val="auto"/>
              </w:rPr>
            </w:pPr>
            <w:r>
              <w:rPr>
                <w:rFonts w:ascii="Arial" w:cs="Arial" w:eastAsia="Arial" w:hAnsi="Arial"/>
                <w:sz w:val="13"/>
                <w:szCs w:val="13"/>
                <w:color w:val="auto"/>
              </w:rPr>
              <w:t>Goodwill</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(1,368)</w:t>
            </w:r>
          </w:p>
        </w:tc>
      </w:tr>
      <w:tr>
        <w:trPr>
          <w:trHeight w:val="17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Unremitted foreign earnings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Deferred cost of goods sold</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(17,545)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(14,374)</w:t>
            </w:r>
          </w:p>
        </w:tc>
      </w:tr>
      <w:tr>
        <w:trPr>
          <w:trHeight w:val="160"/>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deferred tax liabilities</w:t>
            </w: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(19,271)</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(15,747)</w:t>
            </w:r>
          </w:p>
        </w:tc>
      </w:tr>
      <w:tr>
        <w:trPr>
          <w:trHeight w:val="160"/>
        </w:trPr>
        <w:tc>
          <w:tcPr>
            <w:tcW w:w="8300" w:type="dxa"/>
            <w:vAlign w:val="bottom"/>
          </w:tcPr>
          <w:p>
            <w:pPr>
              <w:ind w:left="440"/>
              <w:spacing w:after="0"/>
              <w:rPr>
                <w:sz w:val="20"/>
                <w:szCs w:val="20"/>
                <w:color w:val="auto"/>
              </w:rPr>
            </w:pPr>
            <w:r>
              <w:rPr>
                <w:rFonts w:ascii="Arial" w:cs="Arial" w:eastAsia="Arial" w:hAnsi="Arial"/>
                <w:sz w:val="13"/>
                <w:szCs w:val="13"/>
                <w:color w:val="auto"/>
              </w:rPr>
              <w:t>Net deferred tax asset</w:t>
            </w:r>
          </w:p>
        </w:tc>
        <w:tc>
          <w:tcPr>
            <w:tcW w:w="880" w:type="dxa"/>
            <w:vAlign w:val="bottom"/>
            <w:tcBorders>
              <w:bottom w:val="single" w:sz="8" w:color="auto"/>
            </w:tcBorders>
          </w:tcPr>
          <w:p>
            <w:pPr>
              <w:jc w:val="right"/>
              <w:ind w:right="73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92,468</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73,666</w:t>
            </w: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Company's accounting for deferred taxes involves the evaluation of a number of factors concerning the realizability of the Company's deferred tax assets. Assessing the realizability of deferred tax assets is dependent upon several factors, including the likelihood and amount, if any, of future taxable income in relevant jurisdictions during the periods in which those temporary differences become deductible. The Company's management forecasts taxable income by considering all available positive and negative evidence including its history of operating income or losses and its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52"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has net operating loss carryforwards for federal and California income tax purposes of approximately $113.7 million and $87.3 million, respectively, as of December 31, 2020. The federal and state net operating loss carryforwards, if not utilized, will expire beginning in 2036 and 2029, respectively.</w:t>
      </w:r>
    </w:p>
    <w:p>
      <w:pPr>
        <w:spacing w:after="0" w:line="2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has approximately $18.2 million of federal research credit and $12.6 million of state research credit carryforwards. The federal credits begin to expire in 2026 and the state credits can be carried forward indefinitely.</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Utilization of some of the federal and state net operating loss and credit carryforwards are subject to annual limitations due to the “change in ownership” provisions of the Internal Revenue Code of 1986 and similar state provisions. The Company has completed a Section 382 analysis through December 31, 2020, which indicated no such change has occurred through December 31, 2020.</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Company recorded a net charge for unrecognized tax benefits in 2020 of $1.8 million.</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305435</wp:posOffset>
            </wp:positionV>
            <wp:extent cx="695960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tabular reconciliation of the total amounts of unrecognized tax benefits for the years presented is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9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Years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39"/>
        </w:trPr>
        <w:tc>
          <w:tcPr>
            <w:tcW w:w="69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2018</w:t>
            </w:r>
          </w:p>
        </w:tc>
      </w:tr>
      <w:tr>
        <w:trPr>
          <w:trHeight w:val="160"/>
        </w:trPr>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Unrecognized tax benefits—at beginning of year</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6,106</w:t>
            </w:r>
          </w:p>
        </w:tc>
      </w:tr>
      <w:tr>
        <w:trPr>
          <w:trHeight w:val="170"/>
        </w:trPr>
        <w:tc>
          <w:tcPr>
            <w:tcW w:w="6980" w:type="dxa"/>
            <w:vAlign w:val="bottom"/>
          </w:tcPr>
          <w:p>
            <w:pPr>
              <w:ind w:left="120"/>
              <w:spacing w:after="0"/>
              <w:rPr>
                <w:sz w:val="20"/>
                <w:szCs w:val="20"/>
                <w:color w:val="auto"/>
              </w:rPr>
            </w:pPr>
            <w:r>
              <w:rPr>
                <w:rFonts w:ascii="Arial" w:cs="Arial" w:eastAsia="Arial" w:hAnsi="Arial"/>
                <w:sz w:val="13"/>
                <w:szCs w:val="13"/>
                <w:color w:val="auto"/>
              </w:rPr>
              <w:t>Decreases in balances related to tax positions taken in prior years</w:t>
            </w: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Increases in balances related to tax positions taken in current year</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70"/>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Lapses in statutes of limitations</w:t>
            </w: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r>
      <w:tr>
        <w:trPr>
          <w:trHeight w:val="180"/>
        </w:trPr>
        <w:tc>
          <w:tcPr>
            <w:tcW w:w="6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Unrecognized tax benefits—at end of year</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8,421</w:t>
            </w:r>
          </w:p>
        </w:tc>
        <w:tc>
          <w:tcPr>
            <w:tcW w:w="42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includes interest and penalties related to unrecognized tax benefits within the benefit from (provision for) income taxes. As of years ended December 31, 2020, 2019 and 2018, the total amount of gross interest and penalties accrued in each year was immaterial. Both the unrecognized tax benefits and the associated interest and penalties that are not expected to result in payment or receipt of cash within one year are classified as other non-current liabilities in the consolidated balance sheets. In connection with tax matters, the Company’s interest and penalty expense recognized in 2020, 2019 and 2018 in the consolidated statements of operations was immaterial.</w:t>
      </w:r>
    </w:p>
    <w:p>
      <w:pPr>
        <w:spacing w:after="0" w:line="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Company’s tax returns continue to remain effectively subject to examination by U.S. federal authorities for the years 2006 through 2020 and by California state authorities for the years 2006 through 2020 due to use and carryovers of net operating losses and credits.</w:t>
      </w:r>
    </w:p>
    <w:p>
      <w:pPr>
        <w:spacing w:after="0" w:line="68" w:lineRule="exact"/>
        <w:rPr>
          <w:sz w:val="20"/>
          <w:szCs w:val="20"/>
          <w:color w:val="auto"/>
        </w:rPr>
      </w:pPr>
    </w:p>
    <w:p>
      <w:pPr>
        <w:ind w:left="360" w:hanging="355"/>
        <w:spacing w:after="0"/>
        <w:tabs>
          <w:tab w:leader="none" w:pos="36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 OF CREDIT RISK AND MAJOR CUSTOMERS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Accounts receivable can be potentially exposed to a concentration of credit risk with its major customers. As of December 31, 2020, amounts due from one customer represented approximately 36% of the total accounts receivable balance. As of December 31, 2019, amounts due from three customers represented 34%, 14% and 11% of the total accounts receivable balance.</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In 2020, one customer accounted for approximately 29% of total net revenues. In 2019, two customers accounted for approximately 21% and 12% of total net revenues. In 2018, one customer accounted for approximately 19% of total net revenues.</w:t>
      </w:r>
    </w:p>
    <w:p>
      <w:pPr>
        <w:spacing w:after="0" w:line="68" w:lineRule="exact"/>
        <w:rPr>
          <w:sz w:val="20"/>
          <w:szCs w:val="20"/>
          <w:color w:val="auto"/>
        </w:rPr>
      </w:pPr>
    </w:p>
    <w:p>
      <w:pPr>
        <w:ind w:left="360" w:hanging="355"/>
        <w:spacing w:after="0"/>
        <w:tabs>
          <w:tab w:leader="none" w:pos="36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(LOSS) PER SHARE</w:t>
      </w:r>
    </w:p>
    <w:p>
      <w:pPr>
        <w:spacing w:after="0" w:line="9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 Potential common shares include Stock Options, RSUs, PSUs, shares to be purchased under the Company’s ESPP, the Notes due 2023, the Notes due 2024, Warrants issued in conjunction with the Notes due 2024, and from May 20, 2020 to the end of the reporting period, the Notes due 2025 and Warrants issued in conjunction with the Notes due 2025. See Note 11. “Debt” for additional information.</w:t>
      </w:r>
    </w:p>
    <w:p>
      <w:pPr>
        <w:spacing w:after="0" w:line="5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dilutive effect of potentially dilutive common shares is reflected in diluted earnings per share by application of the treasury stock method for stock options, RSUs, PSUs, Notes due 2024, warrants issued in conjunction with the Notes due 2024, Notes due 2025, warrants issued in conjunction with the Notes due 2025 and shares to be purchased under the ESPP, and by application of the if-converted method for the Notes due 2023. To the extent these potential common shares are antidilutive, they are excluded from the calculation of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318135</wp:posOffset>
            </wp:positionV>
            <wp:extent cx="695960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computation of basic and diluted net income (loss) per share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rPr>
              <w:t>Years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39"/>
        </w:trPr>
        <w:tc>
          <w:tcPr>
            <w:tcW w:w="664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r>
      <w:tr>
        <w:trPr>
          <w:trHeight w:val="139"/>
        </w:trPr>
        <w:tc>
          <w:tcPr>
            <w:tcW w:w="6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40" w:type="dxa"/>
            <w:vAlign w:val="bottom"/>
            <w:gridSpan w:val="6"/>
          </w:tcPr>
          <w:p>
            <w:pPr>
              <w:jc w:val="center"/>
              <w:ind w:left="57"/>
              <w:spacing w:after="0"/>
              <w:rPr>
                <w:sz w:val="20"/>
                <w:szCs w:val="20"/>
                <w:color w:val="auto"/>
              </w:rPr>
            </w:pPr>
            <w:r>
              <w:rPr>
                <w:rFonts w:ascii="Arial" w:cs="Arial" w:eastAsia="Arial" w:hAnsi="Arial"/>
                <w:sz w:val="11"/>
                <w:szCs w:val="11"/>
                <w:i w:val="1"/>
                <w:iCs w:val="1"/>
                <w:color w:val="auto"/>
              </w:rPr>
              <w:t>(In thousands, except per share data)</w:t>
            </w:r>
          </w:p>
        </w:tc>
        <w:tc>
          <w:tcPr>
            <w:tcW w:w="1060" w:type="dxa"/>
            <w:vAlign w:val="bottom"/>
          </w:tcPr>
          <w:p>
            <w:pPr>
              <w:spacing w:after="0"/>
              <w:rPr>
                <w:sz w:val="12"/>
                <w:szCs w:val="12"/>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ind w:right="79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133,995</w:t>
            </w:r>
          </w:p>
        </w:tc>
        <w:tc>
          <w:tcPr>
            <w:tcW w:w="460" w:type="dxa"/>
            <w:vAlign w:val="bottom"/>
            <w:gridSpan w:val="2"/>
          </w:tcPr>
          <w:p>
            <w:pPr>
              <w:jc w:val="right"/>
              <w:ind w:right="21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161,148</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(11,627)</w:t>
            </w:r>
          </w:p>
        </w:tc>
      </w:tr>
      <w:tr>
        <w:trPr>
          <w:trHeight w:val="170"/>
        </w:trPr>
        <w:tc>
          <w:tcPr>
            <w:tcW w:w="6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Notes due 2023 interest and financing costs, net</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640" w:type="dxa"/>
            <w:vAlign w:val="bottom"/>
          </w:tcPr>
          <w:p>
            <w:pPr>
              <w:ind w:left="20"/>
              <w:spacing w:after="0"/>
              <w:rPr>
                <w:sz w:val="20"/>
                <w:szCs w:val="20"/>
                <w:color w:val="auto"/>
              </w:rPr>
            </w:pPr>
            <w:r>
              <w:rPr>
                <w:rFonts w:ascii="Arial" w:cs="Arial" w:eastAsia="Arial" w:hAnsi="Arial"/>
                <w:sz w:val="13"/>
                <w:szCs w:val="13"/>
                <w:color w:val="auto"/>
              </w:rPr>
              <w:t>Adjusted net income (loss)</w:t>
            </w:r>
          </w:p>
        </w:tc>
        <w:tc>
          <w:tcPr>
            <w:tcW w:w="940" w:type="dxa"/>
            <w:vAlign w:val="bottom"/>
            <w:tcBorders>
              <w:bottom w:val="single" w:sz="8" w:color="auto"/>
            </w:tcBorders>
          </w:tcPr>
          <w:p>
            <w:pPr>
              <w:jc w:val="right"/>
              <w:ind w:right="79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134,172</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162,236</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3"/>
        </w:trPr>
        <w:tc>
          <w:tcPr>
            <w:tcW w:w="6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used in basic per share amounts:</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640" w:type="dxa"/>
            <w:vAlign w:val="bottom"/>
          </w:tcPr>
          <w:p>
            <w:pPr>
              <w:ind w:left="160"/>
              <w:spacing w:after="0"/>
              <w:rPr>
                <w:sz w:val="20"/>
                <w:szCs w:val="20"/>
                <w:color w:val="auto"/>
              </w:rPr>
            </w:pPr>
            <w:r>
              <w:rPr>
                <w:rFonts w:ascii="Arial" w:cs="Arial" w:eastAsia="Arial" w:hAnsi="Arial"/>
                <w:sz w:val="13"/>
                <w:szCs w:val="13"/>
                <w:color w:val="auto"/>
              </w:rPr>
              <w:t>Weighted average common shares outstanding</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125,561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116,713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99,619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3"/>
        </w:trPr>
        <w:tc>
          <w:tcPr>
            <w:tcW w:w="6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Shares used in diluted per share amounts:</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Weighted average common shares outstanding</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99,619</w:t>
            </w:r>
          </w:p>
        </w:tc>
      </w:tr>
      <w:tr>
        <w:trPr>
          <w:trHeight w:val="170"/>
        </w:trPr>
        <w:tc>
          <w:tcPr>
            <w:tcW w:w="6640" w:type="dxa"/>
            <w:vAlign w:val="bottom"/>
          </w:tcPr>
          <w:p>
            <w:pPr>
              <w:ind w:left="160"/>
              <w:spacing w:after="0"/>
              <w:rPr>
                <w:sz w:val="20"/>
                <w:szCs w:val="20"/>
                <w:color w:val="auto"/>
              </w:rPr>
            </w:pPr>
            <w:r>
              <w:rPr>
                <w:rFonts w:ascii="Arial" w:cs="Arial" w:eastAsia="Arial" w:hAnsi="Arial"/>
                <w:sz w:val="13"/>
                <w:szCs w:val="13"/>
                <w:color w:val="auto"/>
              </w:rPr>
              <w:t>Effect of dilutive securities:</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Employee stock-based awards</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40" w:type="dxa"/>
            <w:vAlign w:val="bottom"/>
          </w:tcPr>
          <w:p>
            <w:pPr>
              <w:ind w:left="220"/>
              <w:spacing w:after="0"/>
              <w:rPr>
                <w:sz w:val="20"/>
                <w:szCs w:val="20"/>
                <w:color w:val="auto"/>
              </w:rPr>
            </w:pPr>
            <w:r>
              <w:rPr>
                <w:rFonts w:ascii="Arial" w:cs="Arial" w:eastAsia="Arial" w:hAnsi="Arial"/>
                <w:sz w:val="13"/>
                <w:szCs w:val="13"/>
                <w:color w:val="auto"/>
              </w:rPr>
              <w:t>Warrants (issued in conjunction with Notes due 2024)</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Notes due 2024</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Notes due 2023</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Weighted average common shares outstanding for diluted calculation</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141,918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131,644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99,619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Basic and diluted net income (loss) per share</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640" w:type="dxa"/>
            <w:vAlign w:val="bottom"/>
          </w:tcPr>
          <w:p>
            <w:pPr>
              <w:ind w:left="20"/>
              <w:spacing w:after="0"/>
              <w:rPr>
                <w:sz w:val="20"/>
                <w:szCs w:val="20"/>
                <w:color w:val="auto"/>
              </w:rPr>
            </w:pPr>
            <w:r>
              <w:rPr>
                <w:rFonts w:ascii="Arial" w:cs="Arial" w:eastAsia="Arial" w:hAnsi="Arial"/>
                <w:sz w:val="13"/>
                <w:szCs w:val="13"/>
                <w:color w:val="auto"/>
              </w:rPr>
              <w:t>Net income (loss) per share, basic</w:t>
            </w:r>
          </w:p>
        </w:tc>
        <w:tc>
          <w:tcPr>
            <w:tcW w:w="940" w:type="dxa"/>
            <w:vAlign w:val="bottom"/>
          </w:tcPr>
          <w:p>
            <w:pPr>
              <w:jc w:val="right"/>
              <w:ind w:right="79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1.07</w:t>
            </w:r>
          </w:p>
        </w:tc>
        <w:tc>
          <w:tcPr>
            <w:tcW w:w="460" w:type="dxa"/>
            <w:vAlign w:val="bottom"/>
            <w:gridSpan w:val="2"/>
          </w:tcPr>
          <w:p>
            <w:pPr>
              <w:jc w:val="right"/>
              <w:ind w:right="21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(0.12)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share, diluted</w:t>
            </w:r>
          </w:p>
        </w:tc>
        <w:tc>
          <w:tcPr>
            <w:tcW w:w="94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55"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8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2020</w:t>
            </w:r>
          </w:p>
        </w:tc>
        <w:tc>
          <w:tcPr>
            <w:tcW w:w="1680" w:type="dxa"/>
            <w:vAlign w:val="bottom"/>
            <w:tcBorders>
              <w:top w:val="single" w:sz="8" w:color="auto"/>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2018</w:t>
            </w:r>
          </w:p>
        </w:tc>
      </w:tr>
      <w:tr>
        <w:trPr>
          <w:trHeight w:val="139"/>
        </w:trPr>
        <w:tc>
          <w:tcPr>
            <w:tcW w:w="6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243"/>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Employee stock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7,710</w:t>
            </w:r>
          </w:p>
        </w:tc>
      </w:tr>
      <w:tr>
        <w:trPr>
          <w:trHeight w:val="170"/>
        </w:trPr>
        <w:tc>
          <w:tcPr>
            <w:tcW w:w="7780" w:type="dxa"/>
            <w:vAlign w:val="bottom"/>
            <w:gridSpan w:val="2"/>
          </w:tcPr>
          <w:p>
            <w:pPr>
              <w:ind w:left="20"/>
              <w:spacing w:after="0"/>
              <w:rPr>
                <w:sz w:val="20"/>
                <w:szCs w:val="20"/>
                <w:color w:val="auto"/>
              </w:rPr>
            </w:pPr>
            <w:r>
              <w:rPr>
                <w:rFonts w:ascii="Arial" w:cs="Arial" w:eastAsia="Arial" w:hAnsi="Arial"/>
                <w:sz w:val="13"/>
                <w:szCs w:val="13"/>
                <w:color w:val="auto"/>
              </w:rPr>
              <w:t>RSUs and PSUs</w:t>
            </w:r>
          </w:p>
        </w:tc>
        <w:tc>
          <w:tcPr>
            <w:tcW w:w="4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5,273</w:t>
            </w:r>
          </w:p>
        </w:tc>
      </w:tr>
      <w:tr>
        <w:trPr>
          <w:trHeight w:val="17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Warrants (issued in conjunction with Notes due 2024)</w:t>
            </w:r>
          </w:p>
        </w:tc>
        <w:tc>
          <w:tcPr>
            <w:tcW w:w="1680" w:type="dxa"/>
            <w:vAlign w:val="bottom"/>
            <w:gridSpan w:val="3"/>
            <w:shd w:val="clear" w:color="auto" w:fill="CCEEFF"/>
          </w:tcPr>
          <w:p>
            <w:pPr>
              <w:jc w:val="right"/>
              <w:ind w:right="120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780" w:type="dxa"/>
            <w:vAlign w:val="bottom"/>
            <w:gridSpan w:val="2"/>
          </w:tcPr>
          <w:p>
            <w:pPr>
              <w:ind w:left="20"/>
              <w:spacing w:after="0"/>
              <w:rPr>
                <w:sz w:val="20"/>
                <w:szCs w:val="20"/>
                <w:color w:val="auto"/>
              </w:rPr>
            </w:pPr>
            <w:r>
              <w:rPr>
                <w:rFonts w:ascii="Arial" w:cs="Arial" w:eastAsia="Arial" w:hAnsi="Arial"/>
                <w:sz w:val="13"/>
                <w:szCs w:val="13"/>
                <w:color w:val="auto"/>
              </w:rPr>
              <w:t>Warrants (issued in conjunction with Notes due 2025)</w:t>
            </w:r>
          </w:p>
        </w:tc>
        <w:tc>
          <w:tcPr>
            <w:tcW w:w="480" w:type="dxa"/>
            <w:vAlign w:val="bottom"/>
          </w:tcPr>
          <w:p>
            <w:pPr>
              <w:jc w:val="right"/>
              <w:spacing w:after="0"/>
              <w:rPr>
                <w:sz w:val="20"/>
                <w:szCs w:val="20"/>
                <w:color w:val="auto"/>
              </w:rPr>
            </w:pPr>
            <w:r>
              <w:rPr>
                <w:rFonts w:ascii="Arial" w:cs="Arial" w:eastAsia="Arial" w:hAnsi="Arial"/>
                <w:sz w:val="13"/>
                <w:szCs w:val="13"/>
                <w:color w:val="auto"/>
              </w:rPr>
              <w:t>1,254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Notes due 2025</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spacing w:after="0"/>
              <w:rPr>
                <w:sz w:val="14"/>
                <w:szCs w:val="14"/>
                <w:color w:val="auto"/>
              </w:rPr>
            </w:pPr>
          </w:p>
        </w:tc>
      </w:tr>
      <w:tr>
        <w:trPr>
          <w:trHeight w:val="17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Notes due 2023</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11,701</w:t>
            </w:r>
          </w:p>
        </w:tc>
      </w:tr>
      <w:tr>
        <w:trPr>
          <w:trHeight w:val="180"/>
        </w:trPr>
        <w:tc>
          <w:tcPr>
            <w:tcW w:w="77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Diluted earnings per share for the year ended December 31, 2020 includes the dilutive effect of stock options, RSUs, PSUs, shares to be purchased under the ESPP, the Notes due 2023, the Notes due 2024, and warrants issued in conjunction with the Notes due 2024. Certain common stock issuable under stock options, RSUs, PSUs, Notes due 2025 and warrants issued in conjunction with the Notes due 2025 have been omitted from the diluted net income per share calculation because including such shares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311785</wp:posOffset>
            </wp:positionV>
            <wp:extent cx="695960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i w:val="1"/>
          <w:iCs w:val="1"/>
          <w:color w:val="0000FF"/>
        </w:rPr>
        <w:t>Table of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Diluted earnings per share for the year ended December 31, 2019 includes the dilutive effect of stock options, RSUs, PSUs, shares to be purchased under the ESPP, the Notes due 2023 and Notes due 2024. Certain common stock issuable under stock options, RSUs, PSUs and warrants issued in conjunction with the Notes due 2024 have been omitted from the diluted net income per share calculation because including such shares would have been antidilutive.</w:t>
      </w:r>
    </w:p>
    <w:p>
      <w:pPr>
        <w:spacing w:after="0" w:line="43"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Since the Company has the intent and ability to settle the aggregate principal amount of the Notes due 2024 and Notes due 2025 in cash and any excess in shares of the Company’s common stock, the Company uses the treasury stock method for calculating any potential dilutive effect of the conversion spread on diluted net income per share, if applicable. In order to compute the dilutive effect, the number of shares included in the denominator of diluted net income per share is determined by dividing the conversion spread value of the “in-the-money” Notes due 2024 and Notes due 2025 by the Company’s average share price during the period and including the resulting share amount in the diluted net income per share denominator. The conversion spread will have a dilutive impact on net income per share of common stock when the average market price of the Company’s common stock for a given period exceeds the conversion price of $20.50 per share and $81.54 per share for the Notes due 2024 and Notes due 2025, respectively.</w:t>
      </w:r>
    </w:p>
    <w:p>
      <w:pPr>
        <w:spacing w:after="0" w:line="93" w:lineRule="exact"/>
        <w:rPr>
          <w:sz w:val="20"/>
          <w:szCs w:val="20"/>
          <w:color w:val="auto"/>
        </w:rPr>
      </w:pPr>
    </w:p>
    <w:p>
      <w:pPr>
        <w:ind w:left="360" w:hanging="355"/>
        <w:spacing w:after="0"/>
        <w:tabs>
          <w:tab w:leader="none" w:pos="36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SEGMENT AND GEOGRAPHIC INFORMATION</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solutions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See Note 3. “Revenue Recognition for the table presenting net revenues (based on the destination of shipments). The following table presents long-lived assets by geographic region as of and for the periods presented (in thousands):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Long-Lived 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26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39"/>
        </w:trPr>
        <w:tc>
          <w:tcPr>
            <w:tcW w:w="8020" w:type="dxa"/>
            <w:vAlign w:val="bottom"/>
          </w:tcPr>
          <w:p>
            <w:pPr>
              <w:spacing w:after="0"/>
              <w:rPr>
                <w:sz w:val="12"/>
                <w:szCs w:val="1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2019</w:t>
            </w:r>
          </w:p>
        </w:tc>
      </w:tr>
      <w:tr>
        <w:trPr>
          <w:trHeight w:val="139"/>
        </w:trPr>
        <w:tc>
          <w:tcPr>
            <w:tcW w:w="8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gridSpan w:val="3"/>
          </w:tcPr>
          <w:p>
            <w:pPr>
              <w:ind w:left="280"/>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Pr>
          <w:p>
            <w:pPr>
              <w:spacing w:after="0"/>
              <w:rPr>
                <w:sz w:val="12"/>
                <w:szCs w:val="12"/>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16,754</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9,948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4,635</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Mexico</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4,371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1,315</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Zealand</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60"/>
        </w:trPr>
        <w:tc>
          <w:tcPr>
            <w:tcW w:w="8020" w:type="dxa"/>
            <w:vAlign w:val="bottom"/>
          </w:tcPr>
          <w:p>
            <w:pPr>
              <w:ind w:left="18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42,985</w:t>
            </w:r>
          </w:p>
        </w:tc>
        <w:tc>
          <w:tcPr>
            <w:tcW w:w="100" w:type="dxa"/>
            <w:vAlign w:val="bottom"/>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28,936</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360" w:hanging="355"/>
        <w:spacing w:after="0"/>
        <w:tabs>
          <w:tab w:leader="none" w:pos="36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2018, a member of the Company’s board of directors and one of its principal stockholders, Thurman John Rodgers, purchased $5.0 million aggregate principal amount of the Notes due 2023 in a concurrent private placement. As of both December 31, 2020 and December 31, 2019, $5.0 million aggregate principal amount of the Notes due 2023 were outstanding. See Note 11. “Debt” for additional information related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314960</wp:posOffset>
            </wp:positionV>
            <wp:extent cx="69596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4" w:name="page125"/>
    <w:bookmarkEnd w:id="124"/>
    <w:p>
      <w:pPr>
        <w:spacing w:after="0"/>
        <w:rPr>
          <w:rFonts w:ascii="Arial" w:cs="Arial" w:eastAsia="Arial" w:hAnsi="Arial"/>
          <w:sz w:val="14"/>
          <w:szCs w:val="14"/>
          <w:i w:val="1"/>
          <w:iCs w:val="1"/>
          <w:color w:val="0000FF"/>
        </w:rPr>
      </w:pPr>
      <w:hyperlink w:anchor="page1">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sells products to SunPower under the August 2018 MSA. As of December 31, 2019, SunPower via its wholly owned subsidiary, held 6.5 million shares of the Company’s common stock. Revenue recognized under the MSA for the year ended December 31, 2019 was $70.9 million, net of amortization of the customer relationship intangible asset (see Note 6. “Goodwill and Intangible Assets”). As of December 31, 2019, the Company had accounts receivable of $15.9 million from SunPower. As of December 31, 2019, the Company received $5.2 million as a safe harbor prepayment from SunPower in the fourth quarter of 2019 for product delivered in the first quarter of 2020.</w:t>
      </w:r>
    </w:p>
    <w:p>
      <w:pPr>
        <w:spacing w:after="0" w:line="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As of December 31, 2020, SunPower via its wholly owned subsidiary held 3.5 million shares of the Company’s common stock which is less than 5% of the Company’s common stock outstanding and is no longer a considered a related party.</w:t>
      </w:r>
    </w:p>
    <w:p>
      <w:pPr>
        <w:spacing w:after="0" w:line="68" w:lineRule="exact"/>
        <w:rPr>
          <w:sz w:val="20"/>
          <w:szCs w:val="20"/>
          <w:color w:val="auto"/>
        </w:rPr>
      </w:pPr>
    </w:p>
    <w:p>
      <w:pPr>
        <w:ind w:left="360" w:hanging="355"/>
        <w:spacing w:after="0"/>
        <w:tabs>
          <w:tab w:leader="none" w:pos="36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On August 9, 2018, the Company completed its acquisition of SunPower’s microinverter business pursuant to an APA by which the Company acquired certain assets and liabilities of SunPower relating to the research and development and manufacturing of microinverters. The acquisition was accounted for as a business combination and, accordingly, the total purchase price was allocated to the preliminary net tangible and intangible assets and liabilities based on their preliminary fair values on the acquisition date.</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In conjunction with the APA, the Company entered into an MSA with SunPower. Pursuant to the terms of the MSA, the Company becomes the exclusive supplier of MLPEs for SunPower’s residential business in the U.S. for a period of five years. The resulting customer relationship intangible is accounted for as a distinct transaction from the acquired business.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acquisition date fair value of the consideration transferred was approximately $57.3 million, which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consideration</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r>
      <w:tr>
        <w:trPr>
          <w:trHeight w:val="17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Common stock issued</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32,319</w:t>
            </w:r>
          </w:p>
        </w:tc>
      </w:tr>
      <w:tr>
        <w:trPr>
          <w:trHeight w:val="185"/>
        </w:trPr>
        <w:tc>
          <w:tcPr>
            <w:tcW w:w="9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57,319</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fair value of the Company’s 7.5 million shares of common stock issued, valued at $ 32.3 million, was determined based on the closing market price of the Company’s common stock on the acquisition date, less a discount of 14% to 30% (depending on the year) for lack of marketability as the shares issued are subject to a restriction that limits their trade or transfer with a lock-up period of six months and restrictions on the number of shares that can be transferred by SunPower in each six-month period following the lock-up period.</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preliminary estimated fair values of the assets acquired and liabilities assumed at the acquisition date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36,200</w:t>
            </w:r>
          </w:p>
        </w:tc>
      </w:tr>
      <w:tr>
        <w:trPr>
          <w:trHeight w:val="17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Goodwill</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21,119</w:t>
            </w:r>
          </w:p>
        </w:tc>
      </w:tr>
      <w:tr>
        <w:trPr>
          <w:trHeight w:val="185"/>
        </w:trPr>
        <w:tc>
          <w:tcPr>
            <w:tcW w:w="9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assets acquired</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57,319</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excess of the consideration paid over the fair values assigned to the assets acquired and liabilities assumed represents the goodwill resulting from the acquisition. The $21.1 million of goodwill recognized is attributable primarily to the benefits the Company expects to derive from enhanced scale and efficiency to better serve its markets. Goodwill is expected to be deductible over the next 15 years for income tax purposes.</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fair values assigned to tangible and identifiable intangible assets acquired are based on management’s estimates and assumptions. The fair values of assets acquired are preliminary and may be subject to change within the measurement period as the fair value assessments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298450</wp:posOffset>
            </wp:positionV>
            <wp:extent cx="69596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5" w:name="page126"/>
    <w:bookmarkEnd w:id="12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following table shows the fair value of the separately identifiable intangible assets at the time of acquisition and the period over which each intangible asset will be amortized: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Preliminary Fair Value</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Useful Life</w:t>
            </w:r>
          </w:p>
        </w:tc>
      </w:tr>
      <w:tr>
        <w:trPr>
          <w:trHeight w:val="139"/>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299"/>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1"/>
                <w:szCs w:val="11"/>
                <w:i w:val="1"/>
                <w:iCs w:val="1"/>
                <w:color w:val="auto"/>
                <w:w w:val="99"/>
              </w:rPr>
              <w:t>(Years)</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13,100</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6</w:t>
            </w:r>
          </w:p>
        </w:tc>
      </w:tr>
      <w:tr>
        <w:trPr>
          <w:trHeight w:val="17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Customer relationship</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23,100</w:t>
            </w:r>
          </w:p>
        </w:tc>
        <w:tc>
          <w:tcPr>
            <w:tcW w:w="1520" w:type="dxa"/>
            <w:vAlign w:val="bottom"/>
            <w:tcBorders>
              <w:bottom w:val="single" w:sz="8" w:color="CCEEFF"/>
            </w:tcBorders>
            <w:gridSpan w:val="2"/>
          </w:tcPr>
          <w:p>
            <w:pPr>
              <w:jc w:val="center"/>
              <w:ind w:left="36"/>
              <w:spacing w:after="0"/>
              <w:rPr>
                <w:sz w:val="20"/>
                <w:szCs w:val="20"/>
                <w:color w:val="auto"/>
              </w:rPr>
            </w:pPr>
            <w:r>
              <w:rPr>
                <w:rFonts w:ascii="Arial" w:cs="Arial" w:eastAsia="Arial" w:hAnsi="Arial"/>
                <w:sz w:val="13"/>
                <w:szCs w:val="13"/>
                <w:color w:val="auto"/>
                <w:w w:val="82"/>
              </w:rPr>
              <w:t>9</w:t>
            </w:r>
          </w:p>
        </w:tc>
      </w:tr>
      <w:tr>
        <w:trPr>
          <w:trHeight w:val="18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identifiable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36,200</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The developed technology acquired is embedded in the microinverters that SunPower sells to its customers. The Company already has developed microinverter technology and the Company will supply its microinverters to SunPower through the term of the MSA. The Company does not intend to actively use the developed technology acquired from SunPower but does plan to hold the developed technology to prevent others from using it. Therefore, the Company will account for the developed technology as a defensive intangible asset. The Company expects to realize the benefits of the developed technology over the period of time in which the Company will supply microinverters to SunPower. The Company does expect changes in microinverter technology during the life of the customer relationship with SunPower and expects to benefit from preventing competitors’ access to the technology over a period of six years, therefore, the Company will amortize the value of the developed technology intangible asset over a period of six years.</w:t>
      </w:r>
    </w:p>
    <w:p>
      <w:pPr>
        <w:spacing w:after="0" w:line="5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The MSA was negotiated together with the APA and provides the Company with the exclusive right to supply SunPower with MLPEs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the microinverter business by the Company. As the fair value ascribed to the customer relationship intangible asset represents payments to a customer, the Company will amortize the value of the customer relationship intangible asset as a reduction to revenue using a pattern of economic benefit method over a useful life of nine years.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table below shows estimated fair values of the assets acquired funded by cash and issuance of common stock at the acquisition date: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Cash Purchase Price</w:t>
            </w:r>
          </w:p>
        </w:tc>
        <w:tc>
          <w:tcPr>
            <w:tcW w:w="120" w:type="dxa"/>
            <w:vAlign w:val="bottom"/>
          </w:tcPr>
          <w:p>
            <w:pPr>
              <w:spacing w:after="0"/>
              <w:rPr>
                <w:sz w:val="10"/>
                <w:szCs w:val="1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Issuance of Common</w:t>
            </w:r>
          </w:p>
        </w:tc>
        <w:tc>
          <w:tcPr>
            <w:tcW w:w="140" w:type="dxa"/>
            <w:vAlign w:val="bottom"/>
          </w:tcPr>
          <w:p>
            <w:pPr>
              <w:spacing w:after="0"/>
              <w:rPr>
                <w:sz w:val="10"/>
                <w:szCs w:val="10"/>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Total Consideration</w:t>
            </w:r>
          </w:p>
        </w:tc>
        <w:tc>
          <w:tcPr>
            <w:tcW w:w="152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rPr>
              <w:t>% of Total Consideration</w:t>
            </w:r>
          </w:p>
        </w:tc>
        <w:tc>
          <w:tcPr>
            <w:tcW w:w="0" w:type="dxa"/>
            <w:vAlign w:val="bottom"/>
          </w:tcPr>
          <w:p>
            <w:pPr>
              <w:spacing w:after="0"/>
              <w:rPr>
                <w:sz w:val="1"/>
                <w:szCs w:val="1"/>
                <w:color w:val="auto"/>
              </w:rPr>
            </w:pPr>
          </w:p>
        </w:tc>
      </w:tr>
      <w:tr>
        <w:trPr>
          <w:trHeight w:val="138"/>
        </w:trPr>
        <w:tc>
          <w:tcPr>
            <w:tcW w:w="5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vMerge w:val="continue"/>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5"/>
          </w:tcPr>
          <w:p>
            <w:pPr>
              <w:ind w:left="1040"/>
              <w:spacing w:after="0"/>
              <w:rPr>
                <w:sz w:val="20"/>
                <w:szCs w:val="20"/>
                <w:color w:val="auto"/>
              </w:rPr>
            </w:pPr>
            <w:r>
              <w:rPr>
                <w:rFonts w:ascii="Arial" w:cs="Arial" w:eastAsia="Arial" w:hAnsi="Arial"/>
                <w:sz w:val="11"/>
                <w:szCs w:val="11"/>
                <w:i w:val="1"/>
                <w:iCs w:val="1"/>
                <w:color w:val="auto"/>
              </w:rPr>
              <w:t>(In thousands)</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 and 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34,219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7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Customer relationship</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23,100</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40 %</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57,319</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allocated $10.0 million of the $25.0 million paid of the cash purchase price to cash flows from operating activities and the remaining $15.0 million to cash used in investing activities in the consolidated statements of cash flows for the year ended December 31, 2018. The allocation was based on the valuation of the customer relationship relative to the overall consideration. In addition, the Company disclosed $ 19.2 million from issuance of common stock and $15.0 million of cash purchase price paid for the developed technology and goodwill as investing activities in the consolidated statements of cash flows for the year ended December 31, 2018.</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During 2018, total acquisition-related costs were approximately $0.8 million, which were included in general and administrative expenses.</w:t>
      </w:r>
    </w:p>
    <w:p>
      <w:pPr>
        <w:spacing w:after="0" w:line="94"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Company determined it is impractical to include such pro forma information given the difficulty in obtaining the historical financial information for the SunPower microinverter business as the business was part of SunPower and did not have discrete financial information prior to the acquisition. Inclusion of such information would require the Company to make estimates and assumptions regarding the acquired business historical financial results that the Company believes may ultimately prove inaccurate.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308610</wp:posOffset>
            </wp:positionV>
            <wp:extent cx="69596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6" w:name="page127"/>
    <w:bookmarkEnd w:id="12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ENPHASE ENERGY,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 w:hanging="355"/>
        <w:spacing w:after="0"/>
        <w:tabs>
          <w:tab w:leader="none" w:pos="36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6"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4"/>
          <w:szCs w:val="14"/>
          <w:color w:val="auto"/>
        </w:rPr>
        <w:t>In January 2021, the Company invested $ 25.0 million in cash in a privately-held company. The investment does not require consolidation into the Company’s financial statements because the privately-held company is not a variable interest entity and the Company does not hold a majority voting interest.</w:t>
      </w:r>
    </w:p>
    <w:p>
      <w:pPr>
        <w:spacing w:after="0" w:line="2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January 25, 2021, the Company completed the acquisition of 100% of the voting interest of Sofdesk Inc. (“Sofdesk”), a privately-held company. Sofdesk provides design software for residential solar installers and roofing companies. As part of the consideration, the Company paid approximately $32.0 million in cash on January 25, 2021. The Company is currently in the process of completing the preliminary purchase price allocation, which will be included in the Company’s Quarterly Report on Form 10-Q for the quarter ended March 31, 2021.</w:t>
      </w:r>
    </w:p>
    <w:p>
      <w:pPr>
        <w:spacing w:after="0" w:line="4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On February 8, 2021, the Company announced that it has agreed to acquire the solar design services business of DIN Engineering Services LLP (“DIN”). DIN provides proposal drawings and permit plan sets for residential solar installers in North America. The acquisition is subject to customary closing conditions and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473710</wp:posOffset>
            </wp:positionV>
            <wp:extent cx="695960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828282"/>
        </w:rPr>
        <w:t>Enphase Energy, Inc. | 2020 Form 10-K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27" w:name="page128"/>
    <w:bookmarkEnd w:id="12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SELECTED UNAUDITED QUARTERLY FINANCIAL INFORMATION</w:t>
      </w:r>
    </w:p>
    <w:p>
      <w:pPr>
        <w:spacing w:after="0" w:line="3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tables show a summary of the Company’s quarterly financial information for each of the four quarters of 2020 and 2019 (in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5"/>
          </w:tcPr>
          <w:p>
            <w:pPr>
              <w:ind w:left="98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0"/>
        </w:trPr>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March 31, 2020</w:t>
            </w:r>
          </w:p>
        </w:tc>
        <w:tc>
          <w:tcPr>
            <w:tcW w:w="300" w:type="dxa"/>
            <w:vAlign w:val="bottom"/>
          </w:tcPr>
          <w:p>
            <w:pPr>
              <w:spacing w:after="0"/>
              <w:rPr>
                <w:sz w:val="13"/>
                <w:szCs w:val="13"/>
                <w:color w:val="auto"/>
              </w:rPr>
            </w:pPr>
          </w:p>
        </w:tc>
        <w:tc>
          <w:tcPr>
            <w:tcW w:w="158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2020</w:t>
            </w:r>
          </w:p>
        </w:tc>
        <w:tc>
          <w:tcPr>
            <w:tcW w:w="22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 2020</w:t>
            </w:r>
          </w:p>
        </w:tc>
        <w:tc>
          <w:tcPr>
            <w:tcW w:w="240" w:type="dxa"/>
            <w:vAlign w:val="bottom"/>
          </w:tcPr>
          <w:p>
            <w:pPr>
              <w:spacing w:after="0"/>
              <w:rPr>
                <w:sz w:val="13"/>
                <w:szCs w:val="13"/>
                <w:color w:val="auto"/>
              </w:rPr>
            </w:pPr>
          </w:p>
        </w:tc>
        <w:tc>
          <w:tcPr>
            <w:tcW w:w="1540" w:type="dxa"/>
            <w:vAlign w:val="bottom"/>
          </w:tcPr>
          <w:p>
            <w:pPr>
              <w:jc w:val="right"/>
              <w:ind w:right="317"/>
              <w:spacing w:after="0"/>
              <w:rPr>
                <w:sz w:val="20"/>
                <w:szCs w:val="20"/>
                <w:color w:val="auto"/>
              </w:rPr>
            </w:pPr>
            <w:r>
              <w:rPr>
                <w:rFonts w:ascii="Arial" w:cs="Arial" w:eastAsia="Arial" w:hAnsi="Arial"/>
                <w:sz w:val="11"/>
                <w:szCs w:val="11"/>
                <w:b w:val="1"/>
                <w:bCs w:val="1"/>
                <w:color w:val="auto"/>
              </w:rPr>
              <w:t>December 31, 2020</w:t>
            </w:r>
          </w:p>
        </w:tc>
      </w:tr>
      <w:tr>
        <w:trPr>
          <w:trHeight w:val="16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205,545</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125,538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178,503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264,839</w:t>
            </w:r>
          </w:p>
        </w:tc>
      </w:tr>
      <w:tr>
        <w:trPr>
          <w:trHeight w:val="17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124,870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77,151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142,901</w:t>
            </w:r>
          </w:p>
        </w:tc>
      </w:tr>
      <w:tr>
        <w:trPr>
          <w:trHeight w:val="16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80,675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48,387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94,981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121,938</w:t>
            </w:r>
          </w:p>
        </w:tc>
      </w:tr>
      <w:tr>
        <w:trPr>
          <w:trHeight w:val="150"/>
        </w:trPr>
        <w:tc>
          <w:tcPr>
            <w:tcW w:w="38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70"/>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Research and development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15,801</w:t>
            </w:r>
          </w:p>
        </w:tc>
      </w:tr>
      <w:tr>
        <w:trPr>
          <w:trHeight w:val="170"/>
        </w:trPr>
        <w:tc>
          <w:tcPr>
            <w:tcW w:w="388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11,772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12,371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14,645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14,139</w:t>
            </w:r>
          </w:p>
        </w:tc>
      </w:tr>
      <w:tr>
        <w:trPr>
          <w:trHeight w:val="170"/>
        </w:trPr>
        <w:tc>
          <w:tcPr>
            <w:tcW w:w="3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12,315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13,525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12,884</w:t>
            </w:r>
          </w:p>
        </w:tc>
      </w:tr>
      <w:tr>
        <w:trPr>
          <w:trHeight w:val="160"/>
        </w:trPr>
        <w:tc>
          <w:tcPr>
            <w:tcW w:w="38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35,963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37,533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43,222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42,824</w:t>
            </w:r>
          </w:p>
        </w:tc>
      </w:tr>
      <w:tr>
        <w:trPr>
          <w:trHeight w:val="16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51,759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79,114</w:t>
            </w:r>
          </w:p>
        </w:tc>
      </w:tr>
      <w:tr>
        <w:trPr>
          <w:trHeight w:val="170"/>
        </w:trPr>
        <w:tc>
          <w:tcPr>
            <w:tcW w:w="388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Income</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w:t>
            </w:r>
          </w:p>
        </w:tc>
      </w:tr>
      <w:tr>
        <w:trPr>
          <w:trHeight w:val="170"/>
        </w:trPr>
        <w:tc>
          <w:tcPr>
            <w:tcW w:w="388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(3,155)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(5,952)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(5,993)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(5,901)</w:t>
            </w:r>
          </w:p>
        </w:tc>
      </w:tr>
      <w:tr>
        <w:trPr>
          <w:trHeight w:val="170"/>
        </w:trPr>
        <w:tc>
          <w:tcPr>
            <w:tcW w:w="38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income (expense)</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w:t>
            </w:r>
          </w:p>
        </w:tc>
      </w:tr>
      <w:tr>
        <w:trPr>
          <w:trHeight w:val="170"/>
        </w:trPr>
        <w:tc>
          <w:tcPr>
            <w:tcW w:w="3880" w:type="dxa"/>
            <w:vAlign w:val="bottom"/>
          </w:tcPr>
          <w:p>
            <w:pPr>
              <w:ind w:left="280"/>
              <w:spacing w:after="0"/>
              <w:rPr>
                <w:sz w:val="20"/>
                <w:szCs w:val="20"/>
                <w:color w:val="auto"/>
              </w:rPr>
            </w:pPr>
            <w:r>
              <w:rPr>
                <w:rFonts w:ascii="Arial" w:cs="Arial" w:eastAsia="Arial" w:hAnsi="Arial"/>
                <w:sz w:val="13"/>
                <w:szCs w:val="13"/>
                <w:color w:val="auto"/>
              </w:rPr>
              <w:t>Change in fair value of derivatives</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15,344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(59,692)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38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other income (expense), net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12,356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(64,709)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(6,914)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(7,762)</w:t>
            </w:r>
          </w:p>
        </w:tc>
      </w:tr>
      <w:tr>
        <w:trPr>
          <w:trHeight w:val="160"/>
        </w:trPr>
        <w:tc>
          <w:tcPr>
            <w:tcW w:w="388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57,068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(53,855)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44,845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71,352</w:t>
            </w:r>
          </w:p>
        </w:tc>
      </w:tr>
      <w:tr>
        <w:trPr>
          <w:trHeight w:val="17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w:t>
            </w:r>
          </w:p>
        </w:tc>
      </w:tr>
      <w:tr>
        <w:trPr>
          <w:trHeight w:val="160"/>
        </w:trPr>
        <w:tc>
          <w:tcPr>
            <w:tcW w:w="38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68,936</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(47,294)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39,362</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72,991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share, basic</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3880" w:type="dxa"/>
            <w:vAlign w:val="bottom"/>
          </w:tcPr>
          <w:p>
            <w:pPr>
              <w:ind w:left="20"/>
              <w:spacing w:after="0" w:line="133" w:lineRule="exact"/>
              <w:rPr>
                <w:sz w:val="20"/>
                <w:szCs w:val="20"/>
                <w:color w:val="auto"/>
              </w:rPr>
            </w:pPr>
            <w:r>
              <w:rPr>
                <w:rFonts w:ascii="Arial" w:cs="Arial" w:eastAsia="Arial" w:hAnsi="Arial"/>
                <w:sz w:val="13"/>
                <w:szCs w:val="13"/>
                <w:color w:val="auto"/>
              </w:rPr>
              <w:t>Net income (loss) per share, diluted</w:t>
            </w: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0.50</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(0.38)</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0.28</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0.50</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518795</wp:posOffset>
            </wp:positionV>
            <wp:extent cx="695960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28" w:name="page129"/>
    <w:bookmarkEnd w:id="128"/>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5"/>
          </w:tcPr>
          <w:p>
            <w:pPr>
              <w:ind w:left="94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0"/>
        </w:trPr>
        <w:tc>
          <w:tcPr>
            <w:tcW w:w="3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March 31, 2019</w:t>
            </w:r>
          </w:p>
        </w:tc>
        <w:tc>
          <w:tcPr>
            <w:tcW w:w="30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2019</w:t>
            </w:r>
          </w:p>
        </w:tc>
        <w:tc>
          <w:tcPr>
            <w:tcW w:w="220" w:type="dxa"/>
            <w:vAlign w:val="bottom"/>
          </w:tcPr>
          <w:p>
            <w:pPr>
              <w:spacing w:after="0"/>
              <w:rPr>
                <w:sz w:val="13"/>
                <w:szCs w:val="13"/>
                <w:color w:val="auto"/>
              </w:rPr>
            </w:pPr>
          </w:p>
        </w:tc>
        <w:tc>
          <w:tcPr>
            <w:tcW w:w="16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 2019</w:t>
            </w:r>
          </w:p>
        </w:tc>
        <w:tc>
          <w:tcPr>
            <w:tcW w:w="240" w:type="dxa"/>
            <w:vAlign w:val="bottom"/>
          </w:tcPr>
          <w:p>
            <w:pPr>
              <w:spacing w:after="0"/>
              <w:rPr>
                <w:sz w:val="13"/>
                <w:szCs w:val="13"/>
                <w:color w:val="auto"/>
              </w:rPr>
            </w:pPr>
          </w:p>
        </w:tc>
        <w:tc>
          <w:tcPr>
            <w:tcW w:w="1540" w:type="dxa"/>
            <w:vAlign w:val="bottom"/>
          </w:tcPr>
          <w:p>
            <w:pPr>
              <w:jc w:val="right"/>
              <w:ind w:right="317"/>
              <w:spacing w:after="0"/>
              <w:rPr>
                <w:sz w:val="20"/>
                <w:szCs w:val="20"/>
                <w:color w:val="auto"/>
              </w:rPr>
            </w:pPr>
            <w:r>
              <w:rPr>
                <w:rFonts w:ascii="Arial" w:cs="Arial" w:eastAsia="Arial" w:hAnsi="Arial"/>
                <w:sz w:val="11"/>
                <w:szCs w:val="11"/>
                <w:b w:val="1"/>
                <w:bCs w:val="1"/>
                <w:color w:val="auto"/>
              </w:rPr>
              <w:t>December 31, 2019</w:t>
            </w:r>
          </w:p>
        </w:tc>
      </w:tr>
      <w:tr>
        <w:trPr>
          <w:trHeight w:val="16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100,150</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134,094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180,057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210,032</w:t>
            </w:r>
          </w:p>
        </w:tc>
      </w:tr>
      <w:tr>
        <w:trPr>
          <w:trHeight w:val="17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revenues</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66,811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88,775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115,351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132,151</w:t>
            </w:r>
          </w:p>
        </w:tc>
      </w:tr>
      <w:tr>
        <w:trPr>
          <w:trHeight w:val="16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33,339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45,319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64,706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77,881</w:t>
            </w:r>
          </w:p>
        </w:tc>
      </w:tr>
      <w:tr>
        <w:trPr>
          <w:trHeight w:val="150"/>
        </w:trPr>
        <w:tc>
          <w:tcPr>
            <w:tcW w:w="380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70"/>
        </w:trPr>
        <w:tc>
          <w:tcPr>
            <w:tcW w:w="3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Research and development</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11,168</w:t>
            </w:r>
          </w:p>
        </w:tc>
      </w:tr>
      <w:tr>
        <w:trPr>
          <w:trHeight w:val="170"/>
        </w:trPr>
        <w:tc>
          <w:tcPr>
            <w:tcW w:w="38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7,433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9,054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9,551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10,690</w:t>
            </w:r>
          </w:p>
        </w:tc>
      </w:tr>
      <w:tr>
        <w:trPr>
          <w:trHeight w:val="170"/>
        </w:trPr>
        <w:tc>
          <w:tcPr>
            <w:tcW w:w="3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10,450</w:t>
            </w:r>
          </w:p>
        </w:tc>
      </w:tr>
      <w:tr>
        <w:trPr>
          <w:trHeight w:val="170"/>
        </w:trPr>
        <w:tc>
          <w:tcPr>
            <w:tcW w:w="38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Restructuring charges</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1,131</w:t>
            </w:r>
          </w:p>
        </w:tc>
      </w:tr>
      <w:tr>
        <w:trPr>
          <w:trHeight w:val="160"/>
        </w:trPr>
        <w:tc>
          <w:tcPr>
            <w:tcW w:w="38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3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26,205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27,872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31,000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33,439</w:t>
            </w:r>
          </w:p>
        </w:tc>
      </w:tr>
      <w:tr>
        <w:trPr>
          <w:trHeight w:val="160"/>
        </w:trPr>
        <w:tc>
          <w:tcPr>
            <w:tcW w:w="3800" w:type="dxa"/>
            <w:vAlign w:val="bottom"/>
          </w:tcPr>
          <w:p>
            <w:pPr>
              <w:ind w:left="20"/>
              <w:spacing w:after="0"/>
              <w:rPr>
                <w:sz w:val="20"/>
                <w:szCs w:val="20"/>
                <w:color w:val="auto"/>
              </w:rPr>
            </w:pPr>
            <w:r>
              <w:rPr>
                <w:rFonts w:ascii="Arial" w:cs="Arial" w:eastAsia="Arial" w:hAnsi="Arial"/>
                <w:sz w:val="13"/>
                <w:szCs w:val="13"/>
                <w:color w:val="auto"/>
              </w:rPr>
              <w:t>Income from operations</w:t>
            </w: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7,134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17,447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33,706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44,442</w:t>
            </w:r>
          </w:p>
        </w:tc>
      </w:tr>
      <w:tr>
        <w:trPr>
          <w:trHeight w:val="17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70"/>
        </w:trPr>
        <w:tc>
          <w:tcPr>
            <w:tcW w:w="3800" w:type="dxa"/>
            <w:vAlign w:val="bottom"/>
          </w:tcPr>
          <w:p>
            <w:pPr>
              <w:ind w:left="26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815</w:t>
            </w:r>
          </w:p>
        </w:tc>
      </w:tr>
      <w:tr>
        <w:trPr>
          <w:trHeight w:val="170"/>
        </w:trPr>
        <w:tc>
          <w:tcPr>
            <w:tcW w:w="3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(2,303)</w:t>
            </w:r>
          </w:p>
        </w:tc>
      </w:tr>
      <w:tr>
        <w:trPr>
          <w:trHeight w:val="170"/>
        </w:trPr>
        <w:tc>
          <w:tcPr>
            <w:tcW w:w="38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income (expense), net</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1,467</w:t>
            </w:r>
          </w:p>
        </w:tc>
      </w:tr>
      <w:tr>
        <w:trPr>
          <w:trHeight w:val="160"/>
        </w:trPr>
        <w:tc>
          <w:tcPr>
            <w:tcW w:w="3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expense, net</w:t>
            </w:r>
          </w:p>
        </w:tc>
        <w:tc>
          <w:tcPr>
            <w:tcW w:w="3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70"/>
        </w:trPr>
        <w:tc>
          <w:tcPr>
            <w:tcW w:w="380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3,113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11,209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31,371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44,421</w:t>
            </w:r>
          </w:p>
        </w:tc>
      </w:tr>
      <w:tr>
        <w:trPr>
          <w:trHeight w:val="17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72,245</w:t>
            </w:r>
          </w:p>
        </w:tc>
      </w:tr>
      <w:tr>
        <w:trPr>
          <w:trHeight w:val="160"/>
        </w:trPr>
        <w:tc>
          <w:tcPr>
            <w:tcW w:w="3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2,765</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10,618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31,099</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116,666</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per share, basic</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3800" w:type="dxa"/>
            <w:vAlign w:val="bottom"/>
          </w:tcPr>
          <w:p>
            <w:pPr>
              <w:ind w:left="20"/>
              <w:spacing w:after="0" w:line="133" w:lineRule="exact"/>
              <w:rPr>
                <w:sz w:val="20"/>
                <w:szCs w:val="20"/>
                <w:color w:val="auto"/>
              </w:rPr>
            </w:pPr>
            <w:r>
              <w:rPr>
                <w:rFonts w:ascii="Arial" w:cs="Arial" w:eastAsia="Arial" w:hAnsi="Arial"/>
                <w:sz w:val="13"/>
                <w:szCs w:val="13"/>
                <w:color w:val="auto"/>
              </w:rPr>
              <w:t>Net income per diluted share</w:t>
            </w:r>
          </w:p>
        </w:tc>
        <w:tc>
          <w:tcPr>
            <w:tcW w:w="30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0.02</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0.08</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0.23</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0.88</w:t>
            </w:r>
          </w:p>
        </w:tc>
      </w:tr>
      <w:tr>
        <w:trPr>
          <w:trHeight w:val="20"/>
        </w:trPr>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518795</wp:posOffset>
            </wp:positionV>
            <wp:extent cx="695960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8"/>
          <w:szCs w:val="8"/>
          <w:color w:val="828282"/>
        </w:rPr>
        <w:t>Enphase Energy, Inc. | 2020 Form 10-K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250" w:right="359" w:bottom="1440" w:gutter="0" w:footer="0" w:header="0"/>
        </w:sectPr>
      </w:pPr>
    </w:p>
    <w:bookmarkStart w:id="129" w:name="page130"/>
    <w:bookmarkEnd w:id="129"/>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9.</w:t>
        <w:tab/>
        <w:t>Changes in and Disagreements with Accountants on Accounting and Financial Disclosure</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9A.</w:t>
        <w:tab/>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2020 based on criteria set forth in Internal Control – Integrated Framework issued by the Committee of Sponsoring Organizations of the Treadway Commission (2013). As a result of this assessment, management concluded that, as of December 2020, our internal control over financial reporting was effective. The Company’s independent registered public accounting firm, Deloitte &amp; Touche LLP, has issued an audit report on our internal control over financial reporting, which appears in Part II, Item 8 of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There were no changes in our internal control over financial reporting that occurred during the most recent quarter ended December 31, 2020 that materially affected, or are reasonably likely to materially affect, our internal control over financial reporting. We have not experienced any material impact to our internal controls over financial reporting despite the fact that most of our employees are continuing to work remotely due to the COVID-19 pandemic. We continue to monitor and assess the impact of the ongoing COVID-19 pandemic on our internal controls to minimize the impact on their design and operating effectiveness.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Controls</w:t>
      </w:r>
    </w:p>
    <w:p>
      <w:pPr>
        <w:spacing w:after="0" w:line="96"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0" w:name="page131"/>
    <w:bookmarkEnd w:id="130"/>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10.</w:t>
        <w:tab/>
        <w:t>Directors, Executive Officers and Corporate Governance</w:t>
      </w:r>
    </w:p>
    <w:p>
      <w:pPr>
        <w:spacing w:after="0" w:line="96"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information required regarding our directors is incorporated by reference from the information contained in the section entitled “Election of Directors” in our definitive Proxy Statement for the 2021 Annual Meeting of Stockholders (our “Proxy Statement”), a copy of which will be filed with the Securities and Exchange Commission on or before April 30, 2021.</w:t>
      </w:r>
    </w:p>
    <w:p>
      <w:pPr>
        <w:spacing w:after="0" w:line="43"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regarding our executive officers is incorporated by reference from the information contained in the section entitled “Management” in our Proxy Statement.</w:t>
      </w:r>
    </w:p>
    <w:p>
      <w:pPr>
        <w:spacing w:after="0" w:line="27"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regarding Section 16(a) beneficial ownership reporting compliance is incorporated by reference from the information contained in the section entitled “Delinquent Section 16(a) Reports” in our Proxy Statement.</w:t>
      </w:r>
    </w:p>
    <w:p>
      <w:pPr>
        <w:spacing w:after="0" w:line="2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Conduct</w:t>
      </w:r>
    </w:p>
    <w:p>
      <w:pPr>
        <w:spacing w:after="0" w:line="9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 xml:space="preserve">We have a written code of conduct that applies to all our executive officers, directors and employees. Our Code of Conduct is available on our website at </w:t>
      </w:r>
      <w:r>
        <w:rPr>
          <w:rFonts w:ascii="Arial" w:cs="Arial" w:eastAsia="Arial" w:hAnsi="Arial"/>
          <w:sz w:val="14"/>
          <w:szCs w:val="14"/>
          <w:i w:val="1"/>
          <w:iCs w:val="1"/>
          <w:color w:val="auto"/>
        </w:rPr>
        <w:t>http://investor.enphase.com/corporate-governance</w:t>
      </w:r>
      <w:r>
        <w:rPr>
          <w:rFonts w:ascii="Arial" w:cs="Arial" w:eastAsia="Arial" w:hAnsi="Arial"/>
          <w:sz w:val="14"/>
          <w:szCs w:val="14"/>
          <w:color w:val="auto"/>
        </w:rPr>
        <w:t>. A copy of our Code of Conduct may also be obtained free of charge by writing to our Secretary, Enphase Energy, Inc., 47281</w:t>
      </w:r>
      <w:r>
        <w:rPr>
          <w:rFonts w:ascii="Arial" w:cs="Arial" w:eastAsia="Arial" w:hAnsi="Arial"/>
          <w:sz w:val="14"/>
          <w:szCs w:val="14"/>
          <w:i w:val="1"/>
          <w:iCs w:val="1"/>
          <w:color w:val="auto"/>
        </w:rPr>
        <w:t xml:space="preserve"> </w:t>
      </w:r>
      <w:r>
        <w:rPr>
          <w:rFonts w:ascii="Arial" w:cs="Arial" w:eastAsia="Arial" w:hAnsi="Arial"/>
          <w:sz w:val="14"/>
          <w:szCs w:val="14"/>
          <w:color w:val="auto"/>
        </w:rPr>
        <w:t>Bayside Parkway, Fremont, CA 94538.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11.</w:t>
        <w:tab/>
        <w:t>Executive Compensation</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regarding the compensation of our directors and executive officers is incorporated by reference from the information contained in the sections entitled “Executive Compensation,” “Director Compensation” and “Compensation Committee Interlocks and Insider Participation” in our Proxy Statement.</w:t>
      </w:r>
    </w:p>
    <w:p>
      <w:pPr>
        <w:spacing w:after="0" w:line="11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12.</w:t>
        <w:tab/>
        <w:t>Security Ownership of Certain Beneficial Owners and Management and Related Stockholder Matters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regarding security ownership of our 5% or greater stockholders and of our directors and executive officers is incorporated by reference from the information contained in the section entitled “Security Ownership of Certain Beneficial Owners and Management” in our Proxy Statement.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regarding securities authorized for issuance under our equity compensation plans is incorporated by reference from the information contained in the section entitled “Equity Compensation Plan Information” in our Proxy Statement.</w:t>
      </w:r>
    </w:p>
    <w:p>
      <w:pPr>
        <w:spacing w:after="0" w:line="11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13.</w:t>
        <w:tab/>
        <w:t>Certain Relationships and Related Transactions, and Director Independence</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regarding related transactions is incorporated herein by reference from the information contained in the section entitled “Transactions With Related Persons” and, with respect to director independence, the section entitled “Election of Directors” in our Proxy Statement.</w:t>
      </w:r>
    </w:p>
    <w:p>
      <w:pPr>
        <w:spacing w:after="0" w:line="11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14.</w:t>
        <w:tab/>
        <w:t>Principal Accounting Fees and Services</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The information required is incorporated by reference from the information contained in the sections entitled “Principal Accountant Fees and Services” and “Pre-Approval Policies and Procedures” in the Proposal entitled “Ratification of Selection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379730</wp:posOffset>
            </wp:positionV>
            <wp:extent cx="695960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sectPr>
      </w:pPr>
    </w:p>
    <w:bookmarkStart w:id="131" w:name="page132"/>
    <w:bookmarkEnd w:id="131"/>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15.</w:t>
        <w:tab/>
        <w:t>Exhibits,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Statements</w:t>
      </w:r>
    </w:p>
    <w:p>
      <w:pPr>
        <w:spacing w:after="0" w:line="96"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 xml:space="preserve">The information concerning our consolidated financial statements, and Report of Independent Registered Public Accounting Firm required by this Item is incorporated by reference herein to the section of this Annual Report on Form 10-K in Part II, Item 8, </w:t>
      </w:r>
      <w:r>
        <w:rPr>
          <w:rFonts w:ascii="Arial" w:cs="Arial" w:eastAsia="Arial" w:hAnsi="Arial"/>
          <w:sz w:val="14"/>
          <w:szCs w:val="14"/>
          <w:i w:val="1"/>
          <w:iCs w:val="1"/>
          <w:color w:val="auto"/>
        </w:rPr>
        <w:t>Consolidated Financial Statements and Supplementary Data</w:t>
      </w:r>
      <w:r>
        <w:rPr>
          <w:rFonts w:ascii="Arial" w:cs="Arial" w:eastAsia="Arial" w:hAnsi="Arial"/>
          <w:sz w:val="14"/>
          <w:szCs w:val="14"/>
          <w:color w:val="auto"/>
        </w:rPr>
        <w:t>.</w:t>
      </w:r>
    </w:p>
    <w:p>
      <w:pPr>
        <w:spacing w:after="0" w:line="27"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No schedules are provided because they are not applicable, not required under the instructions, or the requested information is shown in the financial statements or related notes thereto.</w:t>
      </w:r>
    </w:p>
    <w:p>
      <w:pPr>
        <w:sectPr>
          <w:pgSz w:w="11900" w:h="16838" w:orient="portrait"/>
          <w:cols w:equalWidth="0" w:num="1">
            <w:col w:w="11280"/>
          </w:cols>
          <w:pgMar w:left="300" w:top="250" w:right="31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Exhibit Number</w:t>
      </w:r>
    </w:p>
    <w:p>
      <w:pPr>
        <w:spacing w:after="0" w:line="204" w:lineRule="exact"/>
        <w:rPr>
          <w:sz w:val="20"/>
          <w:szCs w:val="20"/>
          <w:color w:val="auto"/>
        </w:rPr>
      </w:pPr>
    </w:p>
    <w:p>
      <w:pPr>
        <w:ind w:left="420"/>
        <w:spacing w:after="0"/>
        <w:rPr>
          <w:rFonts w:ascii="Arial" w:cs="Arial" w:eastAsia="Arial" w:hAnsi="Arial"/>
          <w:sz w:val="11"/>
          <w:szCs w:val="11"/>
          <w:color w:val="0000FF"/>
        </w:rPr>
      </w:pPr>
      <w:hyperlink r:id="rId310">
        <w:r>
          <w:rPr>
            <w:rFonts w:ascii="Arial" w:cs="Arial" w:eastAsia="Arial" w:hAnsi="Arial"/>
            <w:sz w:val="11"/>
            <w:szCs w:val="11"/>
            <w:color w:val="0000FF"/>
          </w:rPr>
          <w:t>2.1</w:t>
        </w:r>
      </w:hyperlink>
    </w:p>
    <w:p>
      <w:pPr>
        <w:spacing w:after="0" w:line="277" w:lineRule="exact"/>
        <w:rPr>
          <w:sz w:val="20"/>
          <w:szCs w:val="20"/>
          <w:color w:val="auto"/>
        </w:rPr>
      </w:pPr>
    </w:p>
    <w:p>
      <w:pPr>
        <w:ind w:left="420"/>
        <w:spacing w:after="0"/>
        <w:rPr>
          <w:rFonts w:ascii="Arial" w:cs="Arial" w:eastAsia="Arial" w:hAnsi="Arial"/>
          <w:sz w:val="11"/>
          <w:szCs w:val="11"/>
          <w:color w:val="0000FF"/>
        </w:rPr>
      </w:pPr>
      <w:hyperlink r:id="rId311">
        <w:r>
          <w:rPr>
            <w:rFonts w:ascii="Arial" w:cs="Arial" w:eastAsia="Arial" w:hAnsi="Arial"/>
            <w:sz w:val="11"/>
            <w:szCs w:val="11"/>
            <w:color w:val="0000FF"/>
          </w:rPr>
          <w:t>3.1</w:t>
        </w:r>
      </w:hyperlink>
    </w:p>
    <w:p>
      <w:pPr>
        <w:spacing w:after="0" w:line="277" w:lineRule="exact"/>
        <w:rPr>
          <w:sz w:val="20"/>
          <w:szCs w:val="20"/>
          <w:color w:val="auto"/>
        </w:rPr>
      </w:pPr>
    </w:p>
    <w:p>
      <w:pPr>
        <w:ind w:left="420"/>
        <w:spacing w:after="0"/>
        <w:rPr>
          <w:rFonts w:ascii="Arial" w:cs="Arial" w:eastAsia="Arial" w:hAnsi="Arial"/>
          <w:sz w:val="11"/>
          <w:szCs w:val="11"/>
          <w:color w:val="0000FF"/>
        </w:rPr>
      </w:pPr>
      <w:hyperlink r:id="rId312">
        <w:r>
          <w:rPr>
            <w:rFonts w:ascii="Arial" w:cs="Arial" w:eastAsia="Arial" w:hAnsi="Arial"/>
            <w:sz w:val="11"/>
            <w:szCs w:val="11"/>
            <w:color w:val="0000FF"/>
          </w:rPr>
          <w:t>3.2</w:t>
        </w:r>
      </w:hyperlink>
    </w:p>
    <w:p>
      <w:pPr>
        <w:spacing w:after="0" w:line="340" w:lineRule="exact"/>
        <w:rPr>
          <w:sz w:val="20"/>
          <w:szCs w:val="20"/>
          <w:color w:val="auto"/>
        </w:rPr>
      </w:pPr>
    </w:p>
    <w:p>
      <w:pPr>
        <w:ind w:left="420"/>
        <w:spacing w:after="0"/>
        <w:rPr>
          <w:rFonts w:ascii="Arial" w:cs="Arial" w:eastAsia="Arial" w:hAnsi="Arial"/>
          <w:sz w:val="11"/>
          <w:szCs w:val="11"/>
          <w:color w:val="0000FF"/>
        </w:rPr>
      </w:pPr>
      <w:hyperlink r:id="rId313">
        <w:r>
          <w:rPr>
            <w:rFonts w:ascii="Arial" w:cs="Arial" w:eastAsia="Arial" w:hAnsi="Arial"/>
            <w:sz w:val="11"/>
            <w:szCs w:val="11"/>
            <w:color w:val="0000FF"/>
          </w:rPr>
          <w:t>3.3</w:t>
        </w:r>
      </w:hyperlink>
    </w:p>
    <w:p>
      <w:pPr>
        <w:spacing w:after="0" w:line="362" w:lineRule="exact"/>
        <w:rPr>
          <w:sz w:val="20"/>
          <w:szCs w:val="20"/>
          <w:color w:val="auto"/>
        </w:rPr>
      </w:pPr>
    </w:p>
    <w:p>
      <w:pPr>
        <w:ind w:left="420"/>
        <w:spacing w:after="0"/>
        <w:rPr>
          <w:rFonts w:ascii="Arial" w:cs="Arial" w:eastAsia="Arial" w:hAnsi="Arial"/>
          <w:sz w:val="11"/>
          <w:szCs w:val="11"/>
          <w:color w:val="0000FF"/>
        </w:rPr>
      </w:pPr>
      <w:hyperlink r:id="rId314">
        <w:r>
          <w:rPr>
            <w:rFonts w:ascii="Arial" w:cs="Arial" w:eastAsia="Arial" w:hAnsi="Arial"/>
            <w:sz w:val="11"/>
            <w:szCs w:val="11"/>
            <w:color w:val="0000FF"/>
          </w:rPr>
          <w:t>3.4</w:t>
        </w:r>
      </w:hyperlink>
    </w:p>
    <w:p>
      <w:pPr>
        <w:spacing w:after="0" w:line="213" w:lineRule="exact"/>
        <w:rPr>
          <w:sz w:val="20"/>
          <w:szCs w:val="20"/>
          <w:color w:val="auto"/>
        </w:rPr>
      </w:pPr>
    </w:p>
    <w:p>
      <w:pPr>
        <w:ind w:left="420"/>
        <w:spacing w:after="0"/>
        <w:rPr>
          <w:rFonts w:ascii="Arial" w:cs="Arial" w:eastAsia="Arial" w:hAnsi="Arial"/>
          <w:sz w:val="11"/>
          <w:szCs w:val="11"/>
          <w:color w:val="0000FF"/>
        </w:rPr>
      </w:pPr>
      <w:hyperlink r:id="rId315">
        <w:r>
          <w:rPr>
            <w:rFonts w:ascii="Arial" w:cs="Arial" w:eastAsia="Arial" w:hAnsi="Arial"/>
            <w:sz w:val="11"/>
            <w:szCs w:val="11"/>
            <w:color w:val="0000FF"/>
          </w:rPr>
          <w:t>3.5</w:t>
        </w:r>
      </w:hyperlink>
    </w:p>
    <w:p>
      <w:pPr>
        <w:spacing w:after="0" w:line="213" w:lineRule="exact"/>
        <w:rPr>
          <w:sz w:val="20"/>
          <w:szCs w:val="20"/>
          <w:color w:val="auto"/>
        </w:rPr>
      </w:pPr>
    </w:p>
    <w:p>
      <w:pPr>
        <w:ind w:left="420"/>
        <w:spacing w:after="0"/>
        <w:rPr>
          <w:rFonts w:ascii="Arial" w:cs="Arial" w:eastAsia="Arial" w:hAnsi="Arial"/>
          <w:sz w:val="11"/>
          <w:szCs w:val="11"/>
          <w:color w:val="0000FF"/>
        </w:rPr>
      </w:pPr>
      <w:hyperlink r:id="rId316">
        <w:r>
          <w:rPr>
            <w:rFonts w:ascii="Arial" w:cs="Arial" w:eastAsia="Arial" w:hAnsi="Arial"/>
            <w:sz w:val="11"/>
            <w:szCs w:val="11"/>
            <w:color w:val="0000FF"/>
          </w:rPr>
          <w:t>4.1</w:t>
        </w:r>
      </w:hyperlink>
    </w:p>
    <w:p>
      <w:pPr>
        <w:spacing w:after="0" w:line="277" w:lineRule="exact"/>
        <w:rPr>
          <w:sz w:val="20"/>
          <w:szCs w:val="20"/>
          <w:color w:val="auto"/>
        </w:rPr>
      </w:pPr>
    </w:p>
    <w:p>
      <w:pPr>
        <w:ind w:left="420"/>
        <w:spacing w:after="0"/>
        <w:rPr>
          <w:rFonts w:ascii="Arial" w:cs="Arial" w:eastAsia="Arial" w:hAnsi="Arial"/>
          <w:sz w:val="11"/>
          <w:szCs w:val="11"/>
          <w:color w:val="0000FF"/>
        </w:rPr>
      </w:pPr>
      <w:hyperlink r:id="rId317">
        <w:r>
          <w:rPr>
            <w:rFonts w:ascii="Arial" w:cs="Arial" w:eastAsia="Arial" w:hAnsi="Arial"/>
            <w:sz w:val="11"/>
            <w:szCs w:val="11"/>
            <w:color w:val="0000FF"/>
          </w:rPr>
          <w:t>4.2</w:t>
        </w:r>
      </w:hyperlink>
    </w:p>
    <w:p>
      <w:pPr>
        <w:spacing w:after="0" w:line="277" w:lineRule="exact"/>
        <w:rPr>
          <w:sz w:val="20"/>
          <w:szCs w:val="20"/>
          <w:color w:val="auto"/>
        </w:rPr>
      </w:pPr>
    </w:p>
    <w:p>
      <w:pPr>
        <w:ind w:left="420"/>
        <w:spacing w:after="0"/>
        <w:rPr>
          <w:rFonts w:ascii="Arial" w:cs="Arial" w:eastAsia="Arial" w:hAnsi="Arial"/>
          <w:sz w:val="11"/>
          <w:szCs w:val="11"/>
          <w:color w:val="0000FF"/>
        </w:rPr>
      </w:pPr>
      <w:hyperlink r:id="rId317">
        <w:r>
          <w:rPr>
            <w:rFonts w:ascii="Arial" w:cs="Arial" w:eastAsia="Arial" w:hAnsi="Arial"/>
            <w:sz w:val="11"/>
            <w:szCs w:val="11"/>
            <w:color w:val="0000FF"/>
          </w:rPr>
          <w:t>4.3</w:t>
        </w:r>
      </w:hyperlink>
    </w:p>
    <w:p>
      <w:pPr>
        <w:spacing w:after="0" w:line="277" w:lineRule="exact"/>
        <w:rPr>
          <w:sz w:val="20"/>
          <w:szCs w:val="20"/>
          <w:color w:val="auto"/>
        </w:rPr>
      </w:pPr>
    </w:p>
    <w:p>
      <w:pPr>
        <w:ind w:left="420"/>
        <w:spacing w:after="0"/>
        <w:rPr>
          <w:rFonts w:ascii="Arial" w:cs="Arial" w:eastAsia="Arial" w:hAnsi="Arial"/>
          <w:sz w:val="11"/>
          <w:szCs w:val="11"/>
          <w:color w:val="0000FF"/>
        </w:rPr>
      </w:pPr>
      <w:hyperlink r:id="rId318">
        <w:r>
          <w:rPr>
            <w:rFonts w:ascii="Arial" w:cs="Arial" w:eastAsia="Arial" w:hAnsi="Arial"/>
            <w:sz w:val="11"/>
            <w:szCs w:val="11"/>
            <w:color w:val="0000FF"/>
          </w:rPr>
          <w:t>4.4</w:t>
        </w:r>
      </w:hyperlink>
    </w:p>
    <w:p>
      <w:pPr>
        <w:spacing w:after="0" w:line="277" w:lineRule="exact"/>
        <w:rPr>
          <w:sz w:val="20"/>
          <w:szCs w:val="20"/>
          <w:color w:val="auto"/>
        </w:rPr>
      </w:pPr>
    </w:p>
    <w:p>
      <w:pPr>
        <w:ind w:left="420"/>
        <w:spacing w:after="0"/>
        <w:rPr>
          <w:rFonts w:ascii="Arial" w:cs="Arial" w:eastAsia="Arial" w:hAnsi="Arial"/>
          <w:sz w:val="11"/>
          <w:szCs w:val="11"/>
          <w:color w:val="0000FF"/>
        </w:rPr>
      </w:pPr>
      <w:hyperlink r:id="rId318">
        <w:r>
          <w:rPr>
            <w:rFonts w:ascii="Arial" w:cs="Arial" w:eastAsia="Arial" w:hAnsi="Arial"/>
            <w:sz w:val="11"/>
            <w:szCs w:val="11"/>
            <w:color w:val="0000FF"/>
          </w:rPr>
          <w:t>4.5</w:t>
        </w:r>
      </w:hyperlink>
    </w:p>
    <w:p>
      <w:pPr>
        <w:spacing w:after="0" w:line="255" w:lineRule="exact"/>
        <w:rPr>
          <w:sz w:val="20"/>
          <w:szCs w:val="20"/>
          <w:color w:val="auto"/>
        </w:rPr>
      </w:pPr>
    </w:p>
    <w:p>
      <w:pPr>
        <w:ind w:left="420"/>
        <w:spacing w:after="0"/>
        <w:rPr>
          <w:rFonts w:ascii="Arial" w:cs="Arial" w:eastAsia="Arial" w:hAnsi="Arial"/>
          <w:sz w:val="11"/>
          <w:szCs w:val="11"/>
          <w:color w:val="0000FF"/>
        </w:rPr>
      </w:pPr>
      <w:hyperlink r:id="rId319">
        <w:r>
          <w:rPr>
            <w:rFonts w:ascii="Arial" w:cs="Arial" w:eastAsia="Arial" w:hAnsi="Arial"/>
            <w:sz w:val="11"/>
            <w:szCs w:val="11"/>
            <w:color w:val="0000FF"/>
          </w:rPr>
          <w:t>4.6</w:t>
        </w:r>
      </w:hyperlink>
    </w:p>
    <w:p>
      <w:pPr>
        <w:spacing w:after="0" w:line="234" w:lineRule="exact"/>
        <w:rPr>
          <w:sz w:val="20"/>
          <w:szCs w:val="20"/>
          <w:color w:val="auto"/>
        </w:rPr>
      </w:pPr>
    </w:p>
    <w:p>
      <w:pPr>
        <w:ind w:left="420"/>
        <w:spacing w:after="0"/>
        <w:rPr>
          <w:rFonts w:ascii="Arial" w:cs="Arial" w:eastAsia="Arial" w:hAnsi="Arial"/>
          <w:sz w:val="11"/>
          <w:szCs w:val="11"/>
          <w:color w:val="0000FF"/>
        </w:rPr>
      </w:pPr>
      <w:hyperlink r:id="rId319">
        <w:r>
          <w:rPr>
            <w:rFonts w:ascii="Arial" w:cs="Arial" w:eastAsia="Arial" w:hAnsi="Arial"/>
            <w:sz w:val="11"/>
            <w:szCs w:val="11"/>
            <w:color w:val="0000FF"/>
          </w:rPr>
          <w:t>4.7</w:t>
        </w:r>
      </w:hyperlink>
    </w:p>
    <w:p>
      <w:pPr>
        <w:spacing w:after="0" w:line="171" w:lineRule="exact"/>
        <w:rPr>
          <w:sz w:val="20"/>
          <w:szCs w:val="20"/>
          <w:color w:val="auto"/>
        </w:rPr>
      </w:pPr>
    </w:p>
    <w:p>
      <w:pPr>
        <w:ind w:left="420"/>
        <w:spacing w:after="0"/>
        <w:rPr>
          <w:rFonts w:ascii="Arial" w:cs="Arial" w:eastAsia="Arial" w:hAnsi="Arial"/>
          <w:sz w:val="11"/>
          <w:szCs w:val="11"/>
          <w:color w:val="0000FF"/>
        </w:rPr>
      </w:pPr>
      <w:hyperlink w:anchor="page139">
        <w:r>
          <w:rPr>
            <w:rFonts w:ascii="Arial" w:cs="Arial" w:eastAsia="Arial" w:hAnsi="Arial"/>
            <w:sz w:val="11"/>
            <w:szCs w:val="11"/>
            <w:color w:val="0000FF"/>
          </w:rPr>
          <w:t>4.8</w:t>
        </w:r>
      </w:hyperlink>
    </w:p>
    <w:p>
      <w:pPr>
        <w:spacing w:after="0" w:line="255" w:lineRule="exact"/>
        <w:rPr>
          <w:sz w:val="20"/>
          <w:szCs w:val="20"/>
          <w:color w:val="auto"/>
        </w:rPr>
      </w:pPr>
    </w:p>
    <w:p>
      <w:pPr>
        <w:ind w:left="380"/>
        <w:spacing w:after="0"/>
        <w:rPr>
          <w:rFonts w:ascii="Arial" w:cs="Arial" w:eastAsia="Arial" w:hAnsi="Arial"/>
          <w:sz w:val="11"/>
          <w:szCs w:val="11"/>
          <w:color w:val="0000FF"/>
        </w:rPr>
      </w:pPr>
      <w:hyperlink r:id="rId320">
        <w:r>
          <w:rPr>
            <w:rFonts w:ascii="Arial" w:cs="Arial" w:eastAsia="Arial" w:hAnsi="Arial"/>
            <w:sz w:val="11"/>
            <w:szCs w:val="11"/>
            <w:color w:val="0000FF"/>
          </w:rPr>
          <w:t>10.1</w:t>
        </w:r>
      </w:hyperlink>
      <w:r>
        <w:rPr>
          <w:rFonts w:ascii="Arial" w:cs="Arial" w:eastAsia="Arial" w:hAnsi="Arial"/>
          <w:sz w:val="14"/>
          <w:szCs w:val="14"/>
          <w:color w:val="000000"/>
          <w:vertAlign w:val="superscript"/>
        </w:rPr>
        <w:t>+</w:t>
      </w:r>
    </w:p>
    <w:p>
      <w:pPr>
        <w:spacing w:after="0" w:line="242" w:lineRule="exact"/>
        <w:rPr>
          <w:sz w:val="20"/>
          <w:szCs w:val="20"/>
          <w:color w:val="auto"/>
        </w:rPr>
      </w:pPr>
    </w:p>
    <w:p>
      <w:pPr>
        <w:ind w:left="380"/>
        <w:spacing w:after="0"/>
        <w:rPr>
          <w:rFonts w:ascii="Arial" w:cs="Arial" w:eastAsia="Arial" w:hAnsi="Arial"/>
          <w:sz w:val="11"/>
          <w:szCs w:val="11"/>
          <w:color w:val="0000FF"/>
        </w:rPr>
      </w:pPr>
      <w:hyperlink r:id="rId321">
        <w:r>
          <w:rPr>
            <w:rFonts w:ascii="Arial" w:cs="Arial" w:eastAsia="Arial" w:hAnsi="Arial"/>
            <w:sz w:val="11"/>
            <w:szCs w:val="11"/>
            <w:color w:val="0000FF"/>
          </w:rPr>
          <w:t>10.2</w:t>
        </w:r>
      </w:hyperlink>
      <w:r>
        <w:rPr>
          <w:rFonts w:ascii="Arial" w:cs="Arial" w:eastAsia="Arial" w:hAnsi="Arial"/>
          <w:sz w:val="14"/>
          <w:szCs w:val="14"/>
          <w:color w:val="000000"/>
          <w:vertAlign w:val="superscript"/>
        </w:rPr>
        <w:t>+</w:t>
      </w:r>
    </w:p>
    <w:p>
      <w:pPr>
        <w:spacing w:after="0" w:line="179" w:lineRule="exact"/>
        <w:rPr>
          <w:sz w:val="20"/>
          <w:szCs w:val="20"/>
          <w:color w:val="auto"/>
        </w:rPr>
      </w:pPr>
    </w:p>
    <w:p>
      <w:pPr>
        <w:ind w:left="380"/>
        <w:spacing w:after="0"/>
        <w:rPr>
          <w:rFonts w:ascii="Arial" w:cs="Arial" w:eastAsia="Arial" w:hAnsi="Arial"/>
          <w:sz w:val="11"/>
          <w:szCs w:val="11"/>
          <w:color w:val="0000FF"/>
        </w:rPr>
      </w:pPr>
      <w:hyperlink r:id="rId322">
        <w:r>
          <w:rPr>
            <w:rFonts w:ascii="Arial" w:cs="Arial" w:eastAsia="Arial" w:hAnsi="Arial"/>
            <w:sz w:val="11"/>
            <w:szCs w:val="11"/>
            <w:color w:val="0000FF"/>
          </w:rPr>
          <w:t>10.3</w:t>
        </w:r>
      </w:hyperlink>
      <w:r>
        <w:rPr>
          <w:rFonts w:ascii="Arial" w:cs="Arial" w:eastAsia="Arial" w:hAnsi="Arial"/>
          <w:sz w:val="14"/>
          <w:szCs w:val="14"/>
          <w:color w:val="000000"/>
          <w:vertAlign w:val="superscript"/>
        </w:rPr>
        <w:t>+</w:t>
      </w:r>
    </w:p>
    <w:p>
      <w:pPr>
        <w:spacing w:after="0" w:line="179" w:lineRule="exact"/>
        <w:rPr>
          <w:sz w:val="20"/>
          <w:szCs w:val="20"/>
          <w:color w:val="auto"/>
        </w:rPr>
      </w:pPr>
    </w:p>
    <w:p>
      <w:pPr>
        <w:ind w:left="380"/>
        <w:spacing w:after="0"/>
        <w:rPr>
          <w:rFonts w:ascii="Arial" w:cs="Arial" w:eastAsia="Arial" w:hAnsi="Arial"/>
          <w:sz w:val="11"/>
          <w:szCs w:val="11"/>
          <w:color w:val="0000FF"/>
        </w:rPr>
      </w:pPr>
      <w:hyperlink r:id="rId323">
        <w:r>
          <w:rPr>
            <w:rFonts w:ascii="Arial" w:cs="Arial" w:eastAsia="Arial" w:hAnsi="Arial"/>
            <w:sz w:val="11"/>
            <w:szCs w:val="11"/>
            <w:color w:val="0000FF"/>
          </w:rPr>
          <w:t>10.4</w:t>
        </w:r>
      </w:hyperlink>
      <w:r>
        <w:rPr>
          <w:rFonts w:ascii="Arial" w:cs="Arial" w:eastAsia="Arial" w:hAnsi="Arial"/>
          <w:sz w:val="14"/>
          <w:szCs w:val="14"/>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141" w:lineRule="exact"/>
        <w:rPr>
          <w:sz w:val="20"/>
          <w:szCs w:val="20"/>
          <w:color w:val="auto"/>
        </w:rPr>
      </w:pPr>
    </w:p>
    <w:p>
      <w:pPr>
        <w:spacing w:after="0" w:line="290" w:lineRule="auto"/>
        <w:rPr>
          <w:rFonts w:ascii="Arial" w:cs="Arial" w:eastAsia="Arial" w:hAnsi="Arial"/>
          <w:sz w:val="11"/>
          <w:szCs w:val="11"/>
          <w:color w:val="0000FF"/>
        </w:rPr>
      </w:pPr>
      <w:hyperlink r:id="rId310">
        <w:r>
          <w:rPr>
            <w:rFonts w:ascii="Arial" w:cs="Arial" w:eastAsia="Arial" w:hAnsi="Arial"/>
            <w:sz w:val="11"/>
            <w:szCs w:val="11"/>
            <w:color w:val="0000FF"/>
          </w:rPr>
          <w:t>Asset Purchase Agreement Among SunPower Corporation and Enphase Energy,</w:t>
        </w:r>
      </w:hyperlink>
      <w:r>
        <w:rPr>
          <w:rFonts w:ascii="Arial" w:cs="Arial" w:eastAsia="Arial" w:hAnsi="Arial"/>
          <w:sz w:val="11"/>
          <w:szCs w:val="11"/>
          <w:color w:val="0000FF"/>
        </w:rPr>
        <w:t xml:space="preserve"> </w:t>
      </w:r>
      <w:hyperlink r:id="rId310">
        <w:r>
          <w:rPr>
            <w:rFonts w:ascii="Arial" w:cs="Arial" w:eastAsia="Arial" w:hAnsi="Arial"/>
            <w:sz w:val="11"/>
            <w:szCs w:val="11"/>
            <w:color w:val="0000FF"/>
          </w:rPr>
          <w:t>Inc. dated June 12, 2018.</w:t>
        </w:r>
      </w:hyperlink>
    </w:p>
    <w:p>
      <w:pPr>
        <w:spacing w:after="0" w:line="161" w:lineRule="exact"/>
        <w:rPr>
          <w:sz w:val="20"/>
          <w:szCs w:val="20"/>
          <w:color w:val="auto"/>
        </w:rPr>
      </w:pPr>
    </w:p>
    <w:p>
      <w:pPr>
        <w:spacing w:after="0"/>
        <w:rPr>
          <w:rFonts w:ascii="Arial" w:cs="Arial" w:eastAsia="Arial" w:hAnsi="Arial"/>
          <w:sz w:val="11"/>
          <w:szCs w:val="11"/>
          <w:color w:val="0000FF"/>
        </w:rPr>
      </w:pPr>
      <w:hyperlink r:id="rId311">
        <w:r>
          <w:rPr>
            <w:rFonts w:ascii="Arial" w:cs="Arial" w:eastAsia="Arial" w:hAnsi="Arial"/>
            <w:sz w:val="11"/>
            <w:szCs w:val="11"/>
            <w:color w:val="0000FF"/>
          </w:rPr>
          <w:t>Amended and Restated Certificate of Incorporation of Enphase Energy, Inc.</w:t>
        </w:r>
      </w:hyperlink>
    </w:p>
    <w:p>
      <w:pPr>
        <w:spacing w:after="0" w:line="213" w:lineRule="exact"/>
        <w:rPr>
          <w:sz w:val="20"/>
          <w:szCs w:val="20"/>
          <w:color w:val="auto"/>
        </w:rPr>
      </w:pPr>
    </w:p>
    <w:p>
      <w:pPr>
        <w:ind w:right="580"/>
        <w:spacing w:after="0" w:line="290" w:lineRule="auto"/>
        <w:rPr>
          <w:rFonts w:ascii="Arial" w:cs="Arial" w:eastAsia="Arial" w:hAnsi="Arial"/>
          <w:sz w:val="11"/>
          <w:szCs w:val="11"/>
          <w:color w:val="0000FF"/>
        </w:rPr>
      </w:pPr>
      <w:hyperlink r:id="rId312">
        <w:r>
          <w:rPr>
            <w:rFonts w:ascii="Arial" w:cs="Arial" w:eastAsia="Arial" w:hAnsi="Arial"/>
            <w:sz w:val="11"/>
            <w:szCs w:val="11"/>
            <w:color w:val="0000FF"/>
          </w:rPr>
          <w:t>Certificate of Amendment of the Amended and Restated Certificate of</w:t>
        </w:r>
      </w:hyperlink>
      <w:r>
        <w:rPr>
          <w:rFonts w:ascii="Arial" w:cs="Arial" w:eastAsia="Arial" w:hAnsi="Arial"/>
          <w:sz w:val="11"/>
          <w:szCs w:val="11"/>
          <w:color w:val="0000FF"/>
        </w:rPr>
        <w:t xml:space="preserve"> </w:t>
      </w:r>
      <w:hyperlink r:id="rId312">
        <w:r>
          <w:rPr>
            <w:rFonts w:ascii="Arial" w:cs="Arial" w:eastAsia="Arial" w:hAnsi="Arial"/>
            <w:sz w:val="11"/>
            <w:szCs w:val="11"/>
            <w:color w:val="0000FF"/>
          </w:rPr>
          <w:t>Incorporation of Enphase Energy, Inc.</w:t>
        </w:r>
      </w:hyperlink>
    </w:p>
    <w:p>
      <w:pPr>
        <w:spacing w:after="0" w:line="161" w:lineRule="exact"/>
        <w:rPr>
          <w:sz w:val="20"/>
          <w:szCs w:val="20"/>
          <w:color w:val="auto"/>
        </w:rPr>
      </w:pPr>
    </w:p>
    <w:p>
      <w:pPr>
        <w:ind w:right="580"/>
        <w:spacing w:after="0" w:line="290" w:lineRule="auto"/>
        <w:rPr>
          <w:rFonts w:ascii="Arial" w:cs="Arial" w:eastAsia="Arial" w:hAnsi="Arial"/>
          <w:sz w:val="11"/>
          <w:szCs w:val="11"/>
          <w:color w:val="0000FF"/>
        </w:rPr>
      </w:pPr>
      <w:hyperlink r:id="rId313">
        <w:r>
          <w:rPr>
            <w:rFonts w:ascii="Arial" w:cs="Arial" w:eastAsia="Arial" w:hAnsi="Arial"/>
            <w:sz w:val="11"/>
            <w:szCs w:val="11"/>
            <w:color w:val="0000FF"/>
          </w:rPr>
          <w:t>Certificate of Amendment of the Amended and Restated Certificate of</w:t>
        </w:r>
      </w:hyperlink>
      <w:r>
        <w:rPr>
          <w:rFonts w:ascii="Arial" w:cs="Arial" w:eastAsia="Arial" w:hAnsi="Arial"/>
          <w:sz w:val="11"/>
          <w:szCs w:val="11"/>
          <w:color w:val="0000FF"/>
        </w:rPr>
        <w:t xml:space="preserve"> </w:t>
      </w:r>
      <w:hyperlink r:id="rId313">
        <w:r>
          <w:rPr>
            <w:rFonts w:ascii="Arial" w:cs="Arial" w:eastAsia="Arial" w:hAnsi="Arial"/>
            <w:sz w:val="11"/>
            <w:szCs w:val="11"/>
            <w:color w:val="0000FF"/>
          </w:rPr>
          <w:t>Incorporation of Enphase Energy, Inc.</w:t>
        </w:r>
      </w:hyperlink>
    </w:p>
    <w:p>
      <w:pPr>
        <w:spacing w:after="0" w:line="204" w:lineRule="exact"/>
        <w:rPr>
          <w:sz w:val="20"/>
          <w:szCs w:val="20"/>
          <w:color w:val="auto"/>
        </w:rPr>
      </w:pPr>
    </w:p>
    <w:p>
      <w:pPr>
        <w:ind w:right="580"/>
        <w:spacing w:after="0" w:line="290" w:lineRule="auto"/>
        <w:rPr>
          <w:rFonts w:ascii="Arial" w:cs="Arial" w:eastAsia="Arial" w:hAnsi="Arial"/>
          <w:sz w:val="11"/>
          <w:szCs w:val="11"/>
          <w:color w:val="0000FF"/>
        </w:rPr>
      </w:pPr>
      <w:hyperlink r:id="rId314">
        <w:r>
          <w:rPr>
            <w:rFonts w:ascii="Arial" w:cs="Arial" w:eastAsia="Arial" w:hAnsi="Arial"/>
            <w:sz w:val="11"/>
            <w:szCs w:val="11"/>
            <w:color w:val="0000FF"/>
          </w:rPr>
          <w:t>Certificate of Amendment of the Amended and Restated Certificate of</w:t>
        </w:r>
      </w:hyperlink>
      <w:r>
        <w:rPr>
          <w:rFonts w:ascii="Arial" w:cs="Arial" w:eastAsia="Arial" w:hAnsi="Arial"/>
          <w:sz w:val="11"/>
          <w:szCs w:val="11"/>
          <w:color w:val="0000FF"/>
        </w:rPr>
        <w:t xml:space="preserve"> </w:t>
      </w:r>
      <w:hyperlink r:id="rId314">
        <w:r>
          <w:rPr>
            <w:rFonts w:ascii="Arial" w:cs="Arial" w:eastAsia="Arial" w:hAnsi="Arial"/>
            <w:sz w:val="11"/>
            <w:szCs w:val="11"/>
            <w:color w:val="0000FF"/>
          </w:rPr>
          <w:t>Incorporation of Enphase Energy, Inc.</w:t>
        </w:r>
      </w:hyperlink>
    </w:p>
    <w:p>
      <w:pPr>
        <w:spacing w:after="0" w:line="76" w:lineRule="exact"/>
        <w:rPr>
          <w:sz w:val="20"/>
          <w:szCs w:val="20"/>
          <w:color w:val="auto"/>
        </w:rPr>
      </w:pPr>
    </w:p>
    <w:p>
      <w:pPr>
        <w:spacing w:after="0"/>
        <w:rPr>
          <w:rFonts w:ascii="Arial" w:cs="Arial" w:eastAsia="Arial" w:hAnsi="Arial"/>
          <w:sz w:val="11"/>
          <w:szCs w:val="11"/>
          <w:color w:val="0000FF"/>
        </w:rPr>
      </w:pPr>
      <w:hyperlink r:id="rId315">
        <w:r>
          <w:rPr>
            <w:rFonts w:ascii="Arial" w:cs="Arial" w:eastAsia="Arial" w:hAnsi="Arial"/>
            <w:sz w:val="11"/>
            <w:szCs w:val="11"/>
            <w:color w:val="0000FF"/>
          </w:rPr>
          <w:t>Amended and Restated Bylaws of Enphase Energy, Inc.</w:t>
        </w:r>
      </w:hyperlink>
    </w:p>
    <w:p>
      <w:pPr>
        <w:spacing w:after="0" w:line="213" w:lineRule="exact"/>
        <w:rPr>
          <w:sz w:val="20"/>
          <w:szCs w:val="20"/>
          <w:color w:val="auto"/>
        </w:rPr>
      </w:pPr>
    </w:p>
    <w:p>
      <w:pPr>
        <w:spacing w:after="0"/>
        <w:rPr>
          <w:rFonts w:ascii="Arial" w:cs="Arial" w:eastAsia="Arial" w:hAnsi="Arial"/>
          <w:sz w:val="11"/>
          <w:szCs w:val="11"/>
          <w:color w:val="0000FF"/>
        </w:rPr>
      </w:pPr>
      <w:hyperlink r:id="rId316">
        <w:r>
          <w:rPr>
            <w:rFonts w:ascii="Arial" w:cs="Arial" w:eastAsia="Arial" w:hAnsi="Arial"/>
            <w:sz w:val="11"/>
            <w:szCs w:val="11"/>
            <w:color w:val="0000FF"/>
          </w:rPr>
          <w:t>Specimen Common Stock Certificate of Enphase Energy, Inc.</w:t>
        </w:r>
      </w:hyperlink>
    </w:p>
    <w:p>
      <w:pPr>
        <w:spacing w:after="0" w:line="213" w:lineRule="exact"/>
        <w:rPr>
          <w:sz w:val="20"/>
          <w:szCs w:val="20"/>
          <w:color w:val="auto"/>
        </w:rPr>
      </w:pPr>
    </w:p>
    <w:p>
      <w:pPr>
        <w:ind w:right="20"/>
        <w:spacing w:after="0" w:line="290" w:lineRule="auto"/>
        <w:rPr>
          <w:rFonts w:ascii="Arial" w:cs="Arial" w:eastAsia="Arial" w:hAnsi="Arial"/>
          <w:sz w:val="11"/>
          <w:szCs w:val="11"/>
          <w:color w:val="0000FF"/>
        </w:rPr>
      </w:pPr>
      <w:hyperlink r:id="rId317">
        <w:r>
          <w:rPr>
            <w:rFonts w:ascii="Arial" w:cs="Arial" w:eastAsia="Arial" w:hAnsi="Arial"/>
            <w:sz w:val="11"/>
            <w:szCs w:val="11"/>
            <w:color w:val="0000FF"/>
          </w:rPr>
          <w:t>Indenture, dated August 17, 2018, between Enphase Energy, Inc. and U.S. Bank</w:t>
        </w:r>
      </w:hyperlink>
      <w:r>
        <w:rPr>
          <w:rFonts w:ascii="Arial" w:cs="Arial" w:eastAsia="Arial" w:hAnsi="Arial"/>
          <w:sz w:val="11"/>
          <w:szCs w:val="11"/>
          <w:color w:val="0000FF"/>
        </w:rPr>
        <w:t xml:space="preserve"> </w:t>
      </w:r>
      <w:hyperlink r:id="rId317">
        <w:r>
          <w:rPr>
            <w:rFonts w:ascii="Arial" w:cs="Arial" w:eastAsia="Arial" w:hAnsi="Arial"/>
            <w:sz w:val="11"/>
            <w:szCs w:val="11"/>
            <w:color w:val="0000FF"/>
          </w:rPr>
          <w:t>National Association.</w:t>
        </w:r>
      </w:hyperlink>
    </w:p>
    <w:p>
      <w:pPr>
        <w:spacing w:after="0" w:line="161" w:lineRule="exact"/>
        <w:rPr>
          <w:sz w:val="20"/>
          <w:szCs w:val="20"/>
          <w:color w:val="auto"/>
        </w:rPr>
      </w:pPr>
    </w:p>
    <w:p>
      <w:pPr>
        <w:spacing w:after="0"/>
        <w:rPr>
          <w:rFonts w:ascii="Arial" w:cs="Arial" w:eastAsia="Arial" w:hAnsi="Arial"/>
          <w:sz w:val="11"/>
          <w:szCs w:val="11"/>
          <w:color w:val="0000FF"/>
        </w:rPr>
      </w:pPr>
      <w:hyperlink r:id="rId317">
        <w:r>
          <w:rPr>
            <w:rFonts w:ascii="Arial" w:cs="Arial" w:eastAsia="Arial" w:hAnsi="Arial"/>
            <w:sz w:val="11"/>
            <w:szCs w:val="11"/>
            <w:color w:val="0000FF"/>
          </w:rPr>
          <w:t>Form of 4.00% Convertible Senior Note due 2023 (included in Exhibit 4.2).</w:t>
        </w:r>
      </w:hyperlink>
    </w:p>
    <w:p>
      <w:pPr>
        <w:spacing w:after="0" w:line="213" w:lineRule="exact"/>
        <w:rPr>
          <w:sz w:val="20"/>
          <w:szCs w:val="20"/>
          <w:color w:val="auto"/>
        </w:rPr>
      </w:pPr>
    </w:p>
    <w:p>
      <w:pPr>
        <w:ind w:right="180"/>
        <w:spacing w:after="0" w:line="290" w:lineRule="auto"/>
        <w:rPr>
          <w:rFonts w:ascii="Arial" w:cs="Arial" w:eastAsia="Arial" w:hAnsi="Arial"/>
          <w:sz w:val="11"/>
          <w:szCs w:val="11"/>
          <w:color w:val="0000FF"/>
        </w:rPr>
      </w:pPr>
      <w:hyperlink r:id="rId318">
        <w:r>
          <w:rPr>
            <w:rFonts w:ascii="Arial" w:cs="Arial" w:eastAsia="Arial" w:hAnsi="Arial"/>
            <w:sz w:val="11"/>
            <w:szCs w:val="11"/>
            <w:color w:val="0000FF"/>
          </w:rPr>
          <w:t>Indenture, dated June 5, 2019, between Enphase Energy, Inc. and U.S. Bank</w:t>
        </w:r>
      </w:hyperlink>
      <w:r>
        <w:rPr>
          <w:rFonts w:ascii="Arial" w:cs="Arial" w:eastAsia="Arial" w:hAnsi="Arial"/>
          <w:sz w:val="11"/>
          <w:szCs w:val="11"/>
          <w:color w:val="0000FF"/>
        </w:rPr>
        <w:t xml:space="preserve"> </w:t>
      </w:r>
      <w:hyperlink r:id="rId318">
        <w:r>
          <w:rPr>
            <w:rFonts w:ascii="Arial" w:cs="Arial" w:eastAsia="Arial" w:hAnsi="Arial"/>
            <w:sz w:val="11"/>
            <w:szCs w:val="11"/>
            <w:color w:val="0000FF"/>
          </w:rPr>
          <w:t>National Association.</w:t>
        </w:r>
      </w:hyperlink>
    </w:p>
    <w:p>
      <w:pPr>
        <w:spacing w:after="0" w:line="161" w:lineRule="exact"/>
        <w:rPr>
          <w:sz w:val="20"/>
          <w:szCs w:val="20"/>
          <w:color w:val="auto"/>
        </w:rPr>
      </w:pPr>
    </w:p>
    <w:p>
      <w:pPr>
        <w:spacing w:after="0"/>
        <w:rPr>
          <w:rFonts w:ascii="Arial" w:cs="Arial" w:eastAsia="Arial" w:hAnsi="Arial"/>
          <w:sz w:val="11"/>
          <w:szCs w:val="11"/>
          <w:color w:val="0000FF"/>
        </w:rPr>
      </w:pPr>
      <w:hyperlink r:id="rId318">
        <w:r>
          <w:rPr>
            <w:rFonts w:ascii="Arial" w:cs="Arial" w:eastAsia="Arial" w:hAnsi="Arial"/>
            <w:sz w:val="11"/>
            <w:szCs w:val="11"/>
            <w:color w:val="0000FF"/>
          </w:rPr>
          <w:t>Form of 1.00% Convertible Senior Note due 2024 (included in Exhibit 4.4).</w:t>
        </w:r>
      </w:hyperlink>
    </w:p>
    <w:p>
      <w:pPr>
        <w:spacing w:after="0" w:line="255" w:lineRule="exact"/>
        <w:rPr>
          <w:sz w:val="20"/>
          <w:szCs w:val="20"/>
          <w:color w:val="auto"/>
        </w:rPr>
      </w:pPr>
    </w:p>
    <w:p>
      <w:pPr>
        <w:ind w:right="120"/>
        <w:spacing w:after="0" w:line="290" w:lineRule="auto"/>
        <w:rPr>
          <w:rFonts w:ascii="Arial" w:cs="Arial" w:eastAsia="Arial" w:hAnsi="Arial"/>
          <w:sz w:val="11"/>
          <w:szCs w:val="11"/>
          <w:color w:val="0000FF"/>
        </w:rPr>
      </w:pPr>
      <w:hyperlink r:id="rId319">
        <w:r>
          <w:rPr>
            <w:rFonts w:ascii="Arial" w:cs="Arial" w:eastAsia="Arial" w:hAnsi="Arial"/>
            <w:sz w:val="11"/>
            <w:szCs w:val="11"/>
            <w:color w:val="0000FF"/>
          </w:rPr>
          <w:t>Indenture, dated March 9, 2020, between Enphase Energy, Inc. and U.S. Bank</w:t>
        </w:r>
      </w:hyperlink>
      <w:r>
        <w:rPr>
          <w:rFonts w:ascii="Arial" w:cs="Arial" w:eastAsia="Arial" w:hAnsi="Arial"/>
          <w:sz w:val="11"/>
          <w:szCs w:val="11"/>
          <w:color w:val="0000FF"/>
        </w:rPr>
        <w:t xml:space="preserve"> </w:t>
      </w:r>
      <w:hyperlink r:id="rId319">
        <w:r>
          <w:rPr>
            <w:rFonts w:ascii="Arial" w:cs="Arial" w:eastAsia="Arial" w:hAnsi="Arial"/>
            <w:sz w:val="11"/>
            <w:szCs w:val="11"/>
            <w:color w:val="0000FF"/>
          </w:rPr>
          <w:t>National Association.</w:t>
        </w:r>
      </w:hyperlink>
    </w:p>
    <w:p>
      <w:pPr>
        <w:spacing w:after="0" w:line="119" w:lineRule="exact"/>
        <w:rPr>
          <w:sz w:val="20"/>
          <w:szCs w:val="20"/>
          <w:color w:val="auto"/>
        </w:rPr>
      </w:pPr>
    </w:p>
    <w:p>
      <w:pPr>
        <w:spacing w:after="0"/>
        <w:rPr>
          <w:rFonts w:ascii="Arial" w:cs="Arial" w:eastAsia="Arial" w:hAnsi="Arial"/>
          <w:sz w:val="11"/>
          <w:szCs w:val="11"/>
          <w:color w:val="0000FF"/>
        </w:rPr>
      </w:pPr>
      <w:hyperlink r:id="rId319">
        <w:r>
          <w:rPr>
            <w:rFonts w:ascii="Arial" w:cs="Arial" w:eastAsia="Arial" w:hAnsi="Arial"/>
            <w:sz w:val="11"/>
            <w:szCs w:val="11"/>
            <w:color w:val="0000FF"/>
          </w:rPr>
          <w:t>Form of 0.25% Convertible Senior Note due 2025 (included in Exhibit 4.1).</w:t>
        </w:r>
      </w:hyperlink>
    </w:p>
    <w:p>
      <w:pPr>
        <w:spacing w:after="0" w:line="43" w:lineRule="exact"/>
        <w:rPr>
          <w:sz w:val="20"/>
          <w:szCs w:val="20"/>
          <w:color w:val="auto"/>
        </w:rPr>
      </w:pPr>
    </w:p>
    <w:p>
      <w:pPr>
        <w:ind w:right="140"/>
        <w:spacing w:after="0" w:line="290" w:lineRule="auto"/>
        <w:rPr>
          <w:rFonts w:ascii="Arial" w:cs="Arial" w:eastAsia="Arial" w:hAnsi="Arial"/>
          <w:sz w:val="11"/>
          <w:szCs w:val="11"/>
          <w:color w:val="0000FF"/>
        </w:rPr>
      </w:pPr>
      <w:hyperlink w:anchor="page139">
        <w:r>
          <w:rPr>
            <w:rFonts w:ascii="Arial" w:cs="Arial" w:eastAsia="Arial" w:hAnsi="Arial"/>
            <w:sz w:val="11"/>
            <w:szCs w:val="11"/>
            <w:color w:val="0000FF"/>
          </w:rPr>
          <w:t>Description of Registrant’s Securities Registered Pursuant to Section 12 of the</w:t>
        </w:r>
      </w:hyperlink>
      <w:r>
        <w:rPr>
          <w:rFonts w:ascii="Arial" w:cs="Arial" w:eastAsia="Arial" w:hAnsi="Arial"/>
          <w:sz w:val="11"/>
          <w:szCs w:val="11"/>
          <w:color w:val="0000FF"/>
        </w:rPr>
        <w:t xml:space="preserve"> </w:t>
      </w:r>
      <w:hyperlink w:anchor="page139">
        <w:r>
          <w:rPr>
            <w:rFonts w:ascii="Arial" w:cs="Arial" w:eastAsia="Arial" w:hAnsi="Arial"/>
            <w:sz w:val="11"/>
            <w:szCs w:val="11"/>
            <w:color w:val="0000FF"/>
          </w:rPr>
          <w:t>Securities Exchange Act of 1934, as amended.</w:t>
        </w:r>
      </w:hyperlink>
    </w:p>
    <w:p>
      <w:pPr>
        <w:spacing w:after="0" w:line="76" w:lineRule="exact"/>
        <w:rPr>
          <w:sz w:val="20"/>
          <w:szCs w:val="20"/>
          <w:color w:val="auto"/>
        </w:rPr>
      </w:pPr>
    </w:p>
    <w:p>
      <w:pPr>
        <w:ind w:right="120"/>
        <w:spacing w:after="0" w:line="290" w:lineRule="auto"/>
        <w:rPr>
          <w:rFonts w:ascii="Arial" w:cs="Arial" w:eastAsia="Arial" w:hAnsi="Arial"/>
          <w:sz w:val="11"/>
          <w:szCs w:val="11"/>
          <w:color w:val="0000FF"/>
        </w:rPr>
      </w:pPr>
      <w:hyperlink r:id="rId320">
        <w:r>
          <w:rPr>
            <w:rFonts w:ascii="Arial" w:cs="Arial" w:eastAsia="Arial" w:hAnsi="Arial"/>
            <w:sz w:val="11"/>
            <w:szCs w:val="11"/>
            <w:color w:val="0000FF"/>
          </w:rPr>
          <w:t>Form of Indemnification Agreement by and between Enphase Energy, Inc. and</w:t>
        </w:r>
      </w:hyperlink>
      <w:r>
        <w:rPr>
          <w:rFonts w:ascii="Arial" w:cs="Arial" w:eastAsia="Arial" w:hAnsi="Arial"/>
          <w:sz w:val="11"/>
          <w:szCs w:val="11"/>
          <w:color w:val="0000FF"/>
        </w:rPr>
        <w:t xml:space="preserve"> </w:t>
      </w:r>
      <w:hyperlink r:id="rId320">
        <w:r>
          <w:rPr>
            <w:rFonts w:ascii="Arial" w:cs="Arial" w:eastAsia="Arial" w:hAnsi="Arial"/>
            <w:sz w:val="11"/>
            <w:szCs w:val="11"/>
            <w:color w:val="0000FF"/>
          </w:rPr>
          <w:t>each of its directors and officers.</w:t>
        </w:r>
      </w:hyperlink>
    </w:p>
    <w:p>
      <w:pPr>
        <w:spacing w:after="0" w:line="161" w:lineRule="exact"/>
        <w:rPr>
          <w:sz w:val="20"/>
          <w:szCs w:val="20"/>
          <w:color w:val="auto"/>
        </w:rPr>
      </w:pPr>
    </w:p>
    <w:p>
      <w:pPr>
        <w:spacing w:after="0"/>
        <w:rPr>
          <w:rFonts w:ascii="Arial" w:cs="Arial" w:eastAsia="Arial" w:hAnsi="Arial"/>
          <w:sz w:val="11"/>
          <w:szCs w:val="11"/>
          <w:color w:val="0000FF"/>
        </w:rPr>
      </w:pPr>
      <w:hyperlink r:id="rId321">
        <w:r>
          <w:rPr>
            <w:rFonts w:ascii="Arial" w:cs="Arial" w:eastAsia="Arial" w:hAnsi="Arial"/>
            <w:sz w:val="11"/>
            <w:szCs w:val="11"/>
            <w:color w:val="0000FF"/>
          </w:rPr>
          <w:t>2006 Equity Incentive Plan, as amended, and related documents.</w:t>
        </w:r>
      </w:hyperlink>
    </w:p>
    <w:p>
      <w:pPr>
        <w:spacing w:after="0" w:line="213" w:lineRule="exact"/>
        <w:rPr>
          <w:sz w:val="20"/>
          <w:szCs w:val="20"/>
          <w:color w:val="auto"/>
        </w:rPr>
      </w:pPr>
    </w:p>
    <w:p>
      <w:pPr>
        <w:spacing w:after="0"/>
        <w:rPr>
          <w:rFonts w:ascii="Arial" w:cs="Arial" w:eastAsia="Arial" w:hAnsi="Arial"/>
          <w:sz w:val="11"/>
          <w:szCs w:val="11"/>
          <w:color w:val="0000FF"/>
        </w:rPr>
      </w:pPr>
      <w:hyperlink r:id="rId322">
        <w:r>
          <w:rPr>
            <w:rFonts w:ascii="Arial" w:cs="Arial" w:eastAsia="Arial" w:hAnsi="Arial"/>
            <w:sz w:val="11"/>
            <w:szCs w:val="11"/>
            <w:color w:val="0000FF"/>
          </w:rPr>
          <w:t>2011 Equity Incentive Plan, as amended, and forms of agreement thereunder.</w:t>
        </w:r>
      </w:hyperlink>
    </w:p>
    <w:p>
      <w:pPr>
        <w:spacing w:after="0" w:line="213" w:lineRule="exact"/>
        <w:rPr>
          <w:sz w:val="20"/>
          <w:szCs w:val="20"/>
          <w:color w:val="auto"/>
        </w:rPr>
      </w:pPr>
    </w:p>
    <w:p>
      <w:pPr>
        <w:spacing w:after="0"/>
        <w:rPr>
          <w:rFonts w:ascii="Arial" w:cs="Arial" w:eastAsia="Arial" w:hAnsi="Arial"/>
          <w:sz w:val="11"/>
          <w:szCs w:val="11"/>
          <w:color w:val="0000FF"/>
        </w:rPr>
      </w:pPr>
      <w:hyperlink r:id="rId323">
        <w:r>
          <w:rPr>
            <w:rFonts w:ascii="Arial" w:cs="Arial" w:eastAsia="Arial" w:hAnsi="Arial"/>
            <w:sz w:val="11"/>
            <w:szCs w:val="11"/>
            <w:color w:val="0000FF"/>
          </w:rPr>
          <w:t>2011 Employee Stock Purchase Plan, as amended.</w:t>
        </w:r>
      </w:hyperlink>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Form</w:t>
            </w:r>
          </w:p>
        </w:tc>
        <w:tc>
          <w:tcPr>
            <w:tcW w:w="80" w:type="dxa"/>
            <w:vAlign w:val="bottom"/>
            <w:vMerge w:val="restart"/>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Incorporation by Reference</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9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SEC File No.</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2"/>
                <w:szCs w:val="12"/>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Filing Date</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302"/>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6/12/2018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4/6/2012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10-Q</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8/9/2017</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10-Q</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8/6/2018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6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3.1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5/27/2020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6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60"/>
              <w:spacing w:after="0"/>
              <w:rPr>
                <w:sz w:val="20"/>
                <w:szCs w:val="20"/>
                <w:color w:val="auto"/>
              </w:rPr>
            </w:pPr>
            <w:r>
              <w:rPr>
                <w:rFonts w:ascii="Arial" w:cs="Arial" w:eastAsia="Arial" w:hAnsi="Arial"/>
                <w:sz w:val="11"/>
                <w:szCs w:val="11"/>
                <w:color w:val="auto"/>
              </w:rPr>
              <w:t>S-1/A</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3.5</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60"/>
              <w:spacing w:after="0"/>
              <w:rPr>
                <w:sz w:val="20"/>
                <w:szCs w:val="20"/>
                <w:color w:val="auto"/>
              </w:rPr>
            </w:pPr>
            <w:r>
              <w:rPr>
                <w:rFonts w:ascii="Arial" w:cs="Arial" w:eastAsia="Arial" w:hAnsi="Arial"/>
                <w:sz w:val="11"/>
                <w:szCs w:val="11"/>
                <w:color w:val="auto"/>
              </w:rPr>
              <w:t>S-1/A</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8/17/2018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8/17/2018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3/9/2020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4.2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3/9/2020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382"/>
        </w:trPr>
        <w:tc>
          <w:tcPr>
            <w:tcW w:w="1060" w:type="dxa"/>
            <w:vAlign w:val="bottom"/>
            <w:gridSpan w:val="2"/>
          </w:tcPr>
          <w:p>
            <w:pPr>
              <w:jc w:val="center"/>
              <w:ind w:right="60"/>
              <w:spacing w:after="0"/>
              <w:rPr>
                <w:sz w:val="20"/>
                <w:szCs w:val="20"/>
                <w:color w:val="auto"/>
              </w:rPr>
            </w:pPr>
            <w:r>
              <w:rPr>
                <w:rFonts w:ascii="Arial" w:cs="Arial" w:eastAsia="Arial" w:hAnsi="Arial"/>
                <w:sz w:val="11"/>
                <w:szCs w:val="11"/>
                <w:color w:val="auto"/>
              </w:rPr>
              <w:t>S-1/A</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8/24/2011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S-8</w:t>
            </w:r>
          </w:p>
        </w:tc>
        <w:tc>
          <w:tcPr>
            <w:tcW w:w="1600" w:type="dxa"/>
            <w:vAlign w:val="bottom"/>
          </w:tcPr>
          <w:p>
            <w:pPr>
              <w:jc w:val="center"/>
              <w:spacing w:after="0"/>
              <w:rPr>
                <w:sz w:val="20"/>
                <w:szCs w:val="20"/>
                <w:color w:val="auto"/>
              </w:rPr>
            </w:pPr>
            <w:r>
              <w:rPr>
                <w:rFonts w:ascii="Arial" w:cs="Arial" w:eastAsia="Arial" w:hAnsi="Arial"/>
                <w:sz w:val="11"/>
                <w:szCs w:val="11"/>
                <w:color w:val="auto"/>
              </w:rPr>
              <w:t>333-181382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99.1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5/14/2012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DEF 14A</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color w:val="auto"/>
              </w:rPr>
              <w:t>Appendix A</w:t>
            </w:r>
          </w:p>
        </w:tc>
        <w:tc>
          <w:tcPr>
            <w:tcW w:w="1060" w:type="dxa"/>
            <w:vAlign w:val="bottom"/>
          </w:tcPr>
          <w:p>
            <w:pPr>
              <w:jc w:val="center"/>
              <w:spacing w:after="0"/>
              <w:rPr>
                <w:sz w:val="20"/>
                <w:szCs w:val="20"/>
                <w:color w:val="auto"/>
              </w:rPr>
            </w:pPr>
            <w:r>
              <w:rPr>
                <w:rFonts w:ascii="Arial" w:cs="Arial" w:eastAsia="Arial" w:hAnsi="Arial"/>
                <w:sz w:val="11"/>
                <w:szCs w:val="11"/>
                <w:color w:val="auto"/>
              </w:rPr>
              <w:t>3/18/2016</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DEF 14A</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color w:val="auto"/>
              </w:rPr>
              <w:t>Appendix A</w:t>
            </w:r>
          </w:p>
        </w:tc>
        <w:tc>
          <w:tcPr>
            <w:tcW w:w="1060" w:type="dxa"/>
            <w:vAlign w:val="bottom"/>
          </w:tcPr>
          <w:p>
            <w:pPr>
              <w:jc w:val="center"/>
              <w:spacing w:after="0"/>
              <w:rPr>
                <w:sz w:val="20"/>
                <w:szCs w:val="20"/>
                <w:color w:val="auto"/>
              </w:rPr>
            </w:pPr>
            <w:r>
              <w:rPr>
                <w:rFonts w:ascii="Arial" w:cs="Arial" w:eastAsia="Arial" w:hAnsi="Arial"/>
                <w:sz w:val="11"/>
                <w:szCs w:val="11"/>
                <w:color w:val="auto"/>
              </w:rPr>
              <w:t>3/31/2017</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-3848735</wp:posOffset>
            </wp:positionV>
            <wp:extent cx="7134860" cy="296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-3256280</wp:posOffset>
            </wp:positionV>
            <wp:extent cx="7134860" cy="269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-2771140</wp:posOffset>
            </wp:positionV>
            <wp:extent cx="7134860" cy="2159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-2258695</wp:posOffset>
            </wp:positionV>
            <wp:extent cx="7134860" cy="2159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-1746885</wp:posOffset>
            </wp:positionV>
            <wp:extent cx="7134860" cy="2159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-1261745</wp:posOffset>
            </wp:positionV>
            <wp:extent cx="713486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34860" cy="18859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-884555</wp:posOffset>
            </wp:positionV>
            <wp:extent cx="7134860" cy="296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-372745</wp:posOffset>
            </wp:positionV>
            <wp:extent cx="7134860" cy="2159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-4367530</wp:posOffset>
            </wp:positionV>
            <wp:extent cx="7134860" cy="3028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34860" cy="302895"/>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455295</wp:posOffset>
            </wp:positionV>
            <wp:extent cx="695960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3">
            <w:col w:w="920" w:space="200"/>
            <w:col w:w="4040" w:space="120"/>
            <w:col w:w="6000"/>
          </w:cols>
          <w:pgMar w:left="300" w:top="25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828282"/>
        </w:rPr>
        <w:t>Enphase Energy, Inc. | 2020 Form 10-K |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50" w:right="319" w:bottom="1440" w:gutter="0" w:footer="0" w:header="0"/>
          <w:type w:val="continuous"/>
        </w:sectPr>
      </w:pPr>
    </w:p>
    <w:bookmarkStart w:id="132" w:name="page133"/>
    <w:bookmarkEnd w:id="132"/>
    <w:p>
      <w:pPr>
        <w:spacing w:after="0"/>
        <w:rPr>
          <w:rFonts w:ascii="Arial" w:cs="Arial" w:eastAsia="Arial" w:hAnsi="Arial"/>
          <w:sz w:val="13"/>
          <w:szCs w:val="13"/>
          <w:i w:val="1"/>
          <w:iCs w:val="1"/>
          <w:color w:val="0000FF"/>
        </w:rPr>
      </w:pPr>
      <w:hyperlink w:anchor="page2">
        <w:r>
          <w:rPr>
            <w:rFonts w:ascii="Arial" w:cs="Arial" w:eastAsia="Arial" w:hAnsi="Arial"/>
            <w:sz w:val="13"/>
            <w:szCs w:val="13"/>
            <w:i w:val="1"/>
            <w:iCs w:val="1"/>
            <w:color w:val="0000FF"/>
          </w:rPr>
          <w:t>Table of Contents</w:t>
        </w:r>
      </w:hyperlink>
    </w:p>
    <w:p>
      <w:pPr>
        <w:sectPr>
          <w:pgSz w:w="11900" w:h="16838" w:orient="portrait"/>
          <w:cols w:equalWidth="0" w:num="1">
            <w:col w:w="11240"/>
          </w:cols>
          <w:pgMar w:left="300" w:top="25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Exhibit Number</w:t>
      </w:r>
    </w:p>
    <w:p>
      <w:pPr>
        <w:spacing w:after="0" w:line="204" w:lineRule="exact"/>
        <w:rPr>
          <w:sz w:val="20"/>
          <w:szCs w:val="20"/>
          <w:color w:val="auto"/>
        </w:rPr>
      </w:pPr>
    </w:p>
    <w:p>
      <w:pPr>
        <w:ind w:left="400"/>
        <w:spacing w:after="0"/>
        <w:rPr>
          <w:rFonts w:ascii="Arial" w:cs="Arial" w:eastAsia="Arial" w:hAnsi="Arial"/>
          <w:sz w:val="11"/>
          <w:szCs w:val="11"/>
          <w:color w:val="0000FF"/>
        </w:rPr>
      </w:pPr>
      <w:hyperlink r:id="rId335">
        <w:r>
          <w:rPr>
            <w:rFonts w:ascii="Arial" w:cs="Arial" w:eastAsia="Arial" w:hAnsi="Arial"/>
            <w:sz w:val="11"/>
            <w:szCs w:val="11"/>
            <w:color w:val="0000FF"/>
          </w:rPr>
          <w:t>10.5</w:t>
        </w:r>
      </w:hyperlink>
    </w:p>
    <w:p>
      <w:pPr>
        <w:spacing w:after="0" w:line="340" w:lineRule="exact"/>
        <w:rPr>
          <w:sz w:val="20"/>
          <w:szCs w:val="20"/>
          <w:color w:val="auto"/>
        </w:rPr>
      </w:pPr>
    </w:p>
    <w:p>
      <w:pPr>
        <w:ind w:left="400"/>
        <w:spacing w:after="0"/>
        <w:rPr>
          <w:rFonts w:ascii="Arial" w:cs="Arial" w:eastAsia="Arial" w:hAnsi="Arial"/>
          <w:sz w:val="11"/>
          <w:szCs w:val="11"/>
          <w:color w:val="0000FF"/>
        </w:rPr>
      </w:pPr>
      <w:hyperlink r:id="rId336">
        <w:r>
          <w:rPr>
            <w:rFonts w:ascii="Arial" w:cs="Arial" w:eastAsia="Arial" w:hAnsi="Arial"/>
            <w:sz w:val="11"/>
            <w:szCs w:val="11"/>
            <w:color w:val="0000FF"/>
          </w:rPr>
          <w:t>10.6</w:t>
        </w:r>
      </w:hyperlink>
    </w:p>
    <w:p>
      <w:pPr>
        <w:spacing w:after="0" w:line="340" w:lineRule="exact"/>
        <w:rPr>
          <w:sz w:val="20"/>
          <w:szCs w:val="20"/>
          <w:color w:val="auto"/>
        </w:rPr>
      </w:pPr>
    </w:p>
    <w:p>
      <w:pPr>
        <w:ind w:left="400"/>
        <w:spacing w:after="0"/>
        <w:rPr>
          <w:rFonts w:ascii="Arial" w:cs="Arial" w:eastAsia="Arial" w:hAnsi="Arial"/>
          <w:sz w:val="11"/>
          <w:szCs w:val="11"/>
          <w:color w:val="0000FF"/>
        </w:rPr>
      </w:pPr>
      <w:hyperlink r:id="rId337">
        <w:r>
          <w:rPr>
            <w:rFonts w:ascii="Arial" w:cs="Arial" w:eastAsia="Arial" w:hAnsi="Arial"/>
            <w:sz w:val="11"/>
            <w:szCs w:val="11"/>
            <w:color w:val="0000FF"/>
          </w:rPr>
          <w:t>10.7</w:t>
        </w:r>
      </w:hyperlink>
    </w:p>
    <w:p>
      <w:pPr>
        <w:spacing w:after="0" w:line="340" w:lineRule="exact"/>
        <w:rPr>
          <w:sz w:val="20"/>
          <w:szCs w:val="20"/>
          <w:color w:val="auto"/>
        </w:rPr>
      </w:pPr>
    </w:p>
    <w:p>
      <w:pPr>
        <w:ind w:left="400"/>
        <w:spacing w:after="0"/>
        <w:rPr>
          <w:rFonts w:ascii="Arial" w:cs="Arial" w:eastAsia="Arial" w:hAnsi="Arial"/>
          <w:sz w:val="11"/>
          <w:szCs w:val="11"/>
          <w:color w:val="0000FF"/>
        </w:rPr>
      </w:pPr>
      <w:hyperlink r:id="rId338">
        <w:r>
          <w:rPr>
            <w:rFonts w:ascii="Arial" w:cs="Arial" w:eastAsia="Arial" w:hAnsi="Arial"/>
            <w:sz w:val="11"/>
            <w:szCs w:val="11"/>
            <w:color w:val="0000FF"/>
          </w:rPr>
          <w:t>10.8</w:t>
        </w:r>
      </w:hyperlink>
    </w:p>
    <w:p>
      <w:pPr>
        <w:spacing w:after="0" w:line="340" w:lineRule="exact"/>
        <w:rPr>
          <w:sz w:val="20"/>
          <w:szCs w:val="20"/>
          <w:color w:val="auto"/>
        </w:rPr>
      </w:pPr>
    </w:p>
    <w:p>
      <w:pPr>
        <w:ind w:left="400"/>
        <w:spacing w:after="0"/>
        <w:rPr>
          <w:rFonts w:ascii="Arial" w:cs="Arial" w:eastAsia="Arial" w:hAnsi="Arial"/>
          <w:sz w:val="11"/>
          <w:szCs w:val="11"/>
          <w:color w:val="0000FF"/>
        </w:rPr>
      </w:pPr>
      <w:hyperlink r:id="rId339">
        <w:r>
          <w:rPr>
            <w:rFonts w:ascii="Arial" w:cs="Arial" w:eastAsia="Arial" w:hAnsi="Arial"/>
            <w:sz w:val="11"/>
            <w:szCs w:val="11"/>
            <w:color w:val="0000FF"/>
          </w:rPr>
          <w:t>10.9</w:t>
        </w:r>
      </w:hyperlink>
    </w:p>
    <w:p>
      <w:pPr>
        <w:spacing w:after="0" w:line="200" w:lineRule="exact"/>
        <w:rPr>
          <w:sz w:val="20"/>
          <w:szCs w:val="20"/>
          <w:color w:val="auto"/>
        </w:rPr>
      </w:pPr>
    </w:p>
    <w:p>
      <w:pPr>
        <w:spacing w:after="0" w:line="204" w:lineRule="exact"/>
        <w:rPr>
          <w:sz w:val="20"/>
          <w:szCs w:val="20"/>
          <w:color w:val="auto"/>
        </w:rPr>
      </w:pPr>
    </w:p>
    <w:p>
      <w:pPr>
        <w:ind w:left="360"/>
        <w:spacing w:after="0"/>
        <w:rPr>
          <w:rFonts w:ascii="Arial" w:cs="Arial" w:eastAsia="Arial" w:hAnsi="Arial"/>
          <w:sz w:val="11"/>
          <w:szCs w:val="11"/>
          <w:color w:val="0000FF"/>
        </w:rPr>
      </w:pPr>
      <w:hyperlink r:id="rId340">
        <w:r>
          <w:rPr>
            <w:rFonts w:ascii="Arial" w:cs="Arial" w:eastAsia="Arial" w:hAnsi="Arial"/>
            <w:sz w:val="11"/>
            <w:szCs w:val="11"/>
            <w:color w:val="0000FF"/>
          </w:rPr>
          <w:t>10.10</w:t>
        </w:r>
      </w:hyperlink>
    </w:p>
    <w:p>
      <w:pPr>
        <w:spacing w:after="0" w:line="340" w:lineRule="exact"/>
        <w:rPr>
          <w:sz w:val="20"/>
          <w:szCs w:val="20"/>
          <w:color w:val="auto"/>
        </w:rPr>
      </w:pPr>
    </w:p>
    <w:p>
      <w:pPr>
        <w:ind w:left="340"/>
        <w:spacing w:after="0"/>
        <w:rPr>
          <w:rFonts w:ascii="Arial" w:cs="Arial" w:eastAsia="Arial" w:hAnsi="Arial"/>
          <w:sz w:val="11"/>
          <w:szCs w:val="11"/>
          <w:color w:val="0000FF"/>
        </w:rPr>
      </w:pPr>
      <w:hyperlink w:anchor="page141">
        <w:r>
          <w:rPr>
            <w:rFonts w:ascii="Arial" w:cs="Arial" w:eastAsia="Arial" w:hAnsi="Arial"/>
            <w:sz w:val="11"/>
            <w:szCs w:val="11"/>
            <w:color w:val="0000FF"/>
          </w:rPr>
          <w:t>10.11</w:t>
        </w:r>
      </w:hyperlink>
      <w:r>
        <w:rPr>
          <w:rFonts w:ascii="Arial" w:cs="Arial" w:eastAsia="Arial" w:hAnsi="Arial"/>
          <w:sz w:val="14"/>
          <w:szCs w:val="14"/>
          <w:color w:val="000000"/>
          <w:vertAlign w:val="superscript"/>
        </w:rPr>
        <w:t>+</w:t>
      </w:r>
    </w:p>
    <w:p>
      <w:pPr>
        <w:spacing w:after="0" w:line="242" w:lineRule="exact"/>
        <w:rPr>
          <w:sz w:val="20"/>
          <w:szCs w:val="20"/>
          <w:color w:val="auto"/>
        </w:rPr>
      </w:pPr>
    </w:p>
    <w:p>
      <w:pPr>
        <w:ind w:left="340"/>
        <w:spacing w:after="0"/>
        <w:rPr>
          <w:rFonts w:ascii="Arial" w:cs="Arial" w:eastAsia="Arial" w:hAnsi="Arial"/>
          <w:sz w:val="11"/>
          <w:szCs w:val="11"/>
          <w:color w:val="0000FF"/>
        </w:rPr>
      </w:pPr>
      <w:hyperlink r:id="rId341">
        <w:r>
          <w:rPr>
            <w:rFonts w:ascii="Arial" w:cs="Arial" w:eastAsia="Arial" w:hAnsi="Arial"/>
            <w:sz w:val="11"/>
            <w:szCs w:val="11"/>
            <w:color w:val="0000FF"/>
          </w:rPr>
          <w:t>10.12</w:t>
        </w:r>
      </w:hyperlink>
      <w:r>
        <w:rPr>
          <w:rFonts w:ascii="Arial" w:cs="Arial" w:eastAsia="Arial" w:hAnsi="Arial"/>
          <w:sz w:val="14"/>
          <w:szCs w:val="14"/>
          <w:color w:val="000000"/>
          <w:vertAlign w:val="superscript"/>
        </w:rPr>
        <w:t>+</w:t>
      </w:r>
    </w:p>
    <w:p>
      <w:pPr>
        <w:spacing w:after="0" w:line="242" w:lineRule="exact"/>
        <w:rPr>
          <w:sz w:val="20"/>
          <w:szCs w:val="20"/>
          <w:color w:val="auto"/>
        </w:rPr>
      </w:pPr>
    </w:p>
    <w:p>
      <w:pPr>
        <w:ind w:left="340"/>
        <w:spacing w:after="0"/>
        <w:rPr>
          <w:rFonts w:ascii="Arial" w:cs="Arial" w:eastAsia="Arial" w:hAnsi="Arial"/>
          <w:sz w:val="11"/>
          <w:szCs w:val="11"/>
          <w:color w:val="0000FF"/>
        </w:rPr>
      </w:pPr>
      <w:hyperlink r:id="rId342">
        <w:r>
          <w:rPr>
            <w:rFonts w:ascii="Arial" w:cs="Arial" w:eastAsia="Arial" w:hAnsi="Arial"/>
            <w:sz w:val="11"/>
            <w:szCs w:val="11"/>
            <w:color w:val="0000FF"/>
          </w:rPr>
          <w:t>10.13</w:t>
        </w:r>
      </w:hyperlink>
      <w:r>
        <w:rPr>
          <w:rFonts w:ascii="Arial" w:cs="Arial" w:eastAsia="Arial" w:hAnsi="Arial"/>
          <w:sz w:val="14"/>
          <w:szCs w:val="14"/>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141" w:lineRule="exact"/>
        <w:rPr>
          <w:sz w:val="20"/>
          <w:szCs w:val="20"/>
          <w:color w:val="auto"/>
        </w:rPr>
      </w:pPr>
    </w:p>
    <w:p>
      <w:pPr>
        <w:spacing w:after="0"/>
        <w:rPr>
          <w:rFonts w:ascii="Arial" w:cs="Arial" w:eastAsia="Arial" w:hAnsi="Arial"/>
          <w:sz w:val="11"/>
          <w:szCs w:val="11"/>
          <w:color w:val="0000FF"/>
        </w:rPr>
      </w:pPr>
      <w:hyperlink r:id="rId335">
        <w:r>
          <w:rPr>
            <w:rFonts w:ascii="Arial" w:cs="Arial" w:eastAsia="Arial" w:hAnsi="Arial"/>
            <w:sz w:val="11"/>
            <w:szCs w:val="11"/>
            <w:color w:val="0000FF"/>
          </w:rPr>
          <w:t>Flextronics Logistics Services Agreement by and between Enphase Energy, Inc.</w:t>
        </w:r>
      </w:hyperlink>
    </w:p>
    <w:p>
      <w:pPr>
        <w:spacing w:after="0" w:line="15" w:lineRule="exact"/>
        <w:rPr>
          <w:sz w:val="20"/>
          <w:szCs w:val="20"/>
          <w:color w:val="auto"/>
        </w:rPr>
      </w:pPr>
    </w:p>
    <w:p>
      <w:pPr>
        <w:spacing w:after="0"/>
        <w:rPr>
          <w:rFonts w:ascii="Arial" w:cs="Arial" w:eastAsia="Arial" w:hAnsi="Arial"/>
          <w:sz w:val="11"/>
          <w:szCs w:val="11"/>
          <w:color w:val="0000FF"/>
        </w:rPr>
      </w:pPr>
      <w:hyperlink r:id="rId335">
        <w:r>
          <w:rPr>
            <w:rFonts w:ascii="Arial" w:cs="Arial" w:eastAsia="Arial" w:hAnsi="Arial"/>
            <w:sz w:val="11"/>
            <w:szCs w:val="11"/>
            <w:color w:val="0000FF"/>
          </w:rPr>
          <w:t>and Flextronics America, LLC, dated May 1, 2009.</w:t>
        </w:r>
      </w:hyperlink>
    </w:p>
    <w:p>
      <w:pPr>
        <w:spacing w:after="0" w:line="199" w:lineRule="exact"/>
        <w:rPr>
          <w:sz w:val="20"/>
          <w:szCs w:val="20"/>
          <w:color w:val="auto"/>
        </w:rPr>
      </w:pPr>
    </w:p>
    <w:p>
      <w:pPr>
        <w:ind w:right="20"/>
        <w:spacing w:after="0" w:line="290" w:lineRule="auto"/>
        <w:rPr>
          <w:rFonts w:ascii="Arial" w:cs="Arial" w:eastAsia="Arial" w:hAnsi="Arial"/>
          <w:sz w:val="11"/>
          <w:szCs w:val="11"/>
          <w:color w:val="0000FF"/>
        </w:rPr>
      </w:pPr>
      <w:hyperlink r:id="rId336">
        <w:r>
          <w:rPr>
            <w:rFonts w:ascii="Arial" w:cs="Arial" w:eastAsia="Arial" w:hAnsi="Arial"/>
            <w:sz w:val="11"/>
            <w:szCs w:val="11"/>
            <w:color w:val="0000FF"/>
          </w:rPr>
          <w:t>Amendment #1 to the Flextronics Logistics Services Agreement, by and between</w:t>
        </w:r>
      </w:hyperlink>
      <w:r>
        <w:rPr>
          <w:rFonts w:ascii="Arial" w:cs="Arial" w:eastAsia="Arial" w:hAnsi="Arial"/>
          <w:sz w:val="11"/>
          <w:szCs w:val="11"/>
          <w:color w:val="0000FF"/>
        </w:rPr>
        <w:t xml:space="preserve"> </w:t>
      </w:r>
      <w:hyperlink r:id="rId336">
        <w:r>
          <w:rPr>
            <w:rFonts w:ascii="Arial" w:cs="Arial" w:eastAsia="Arial" w:hAnsi="Arial"/>
            <w:sz w:val="11"/>
            <w:szCs w:val="11"/>
            <w:color w:val="0000FF"/>
          </w:rPr>
          <w:t>Enphase Energy, Inc. and Flextronics America, LLC, dated July 28, 2016.</w:t>
        </w:r>
      </w:hyperlink>
    </w:p>
    <w:p>
      <w:pPr>
        <w:spacing w:after="0" w:line="161" w:lineRule="exact"/>
        <w:rPr>
          <w:sz w:val="20"/>
          <w:szCs w:val="20"/>
          <w:color w:val="auto"/>
        </w:rPr>
      </w:pPr>
    </w:p>
    <w:p>
      <w:pPr>
        <w:spacing w:after="0" w:line="290" w:lineRule="auto"/>
        <w:rPr>
          <w:rFonts w:ascii="Arial" w:cs="Arial" w:eastAsia="Arial" w:hAnsi="Arial"/>
          <w:sz w:val="11"/>
          <w:szCs w:val="11"/>
          <w:color w:val="0000FF"/>
        </w:rPr>
      </w:pPr>
      <w:hyperlink r:id="rId337">
        <w:r>
          <w:rPr>
            <w:rFonts w:ascii="Arial" w:cs="Arial" w:eastAsia="Arial" w:hAnsi="Arial"/>
            <w:sz w:val="11"/>
            <w:szCs w:val="11"/>
            <w:color w:val="0000FF"/>
          </w:rPr>
          <w:t>Flextronics Manufacturing Services Agreement by and between Enphase Energy,</w:t>
        </w:r>
      </w:hyperlink>
      <w:r>
        <w:rPr>
          <w:rFonts w:ascii="Arial" w:cs="Arial" w:eastAsia="Arial" w:hAnsi="Arial"/>
          <w:sz w:val="11"/>
          <w:szCs w:val="11"/>
          <w:color w:val="0000FF"/>
        </w:rPr>
        <w:t xml:space="preserve"> </w:t>
      </w:r>
      <w:hyperlink r:id="rId337">
        <w:r>
          <w:rPr>
            <w:rFonts w:ascii="Arial" w:cs="Arial" w:eastAsia="Arial" w:hAnsi="Arial"/>
            <w:sz w:val="11"/>
            <w:szCs w:val="11"/>
            <w:color w:val="0000FF"/>
          </w:rPr>
          <w:t>Inc. and Flextronics Industrial, Ltd., dated March 1, 2009, as amended.</w:t>
        </w:r>
      </w:hyperlink>
    </w:p>
    <w:p>
      <w:pPr>
        <w:spacing w:after="0" w:line="161" w:lineRule="exact"/>
        <w:rPr>
          <w:sz w:val="20"/>
          <w:szCs w:val="20"/>
          <w:color w:val="auto"/>
        </w:rPr>
      </w:pPr>
    </w:p>
    <w:p>
      <w:pPr>
        <w:ind w:right="120"/>
        <w:spacing w:after="0" w:line="290" w:lineRule="auto"/>
        <w:rPr>
          <w:rFonts w:ascii="Arial" w:cs="Arial" w:eastAsia="Arial" w:hAnsi="Arial"/>
          <w:sz w:val="11"/>
          <w:szCs w:val="11"/>
          <w:color w:val="0000FF"/>
        </w:rPr>
      </w:pPr>
      <w:hyperlink r:id="rId338">
        <w:r>
          <w:rPr>
            <w:rFonts w:ascii="Arial" w:cs="Arial" w:eastAsia="Arial" w:hAnsi="Arial"/>
            <w:sz w:val="11"/>
            <w:szCs w:val="11"/>
            <w:color w:val="0000FF"/>
          </w:rPr>
          <w:t>Master Development and Production Agreement by and between Enphase</w:t>
        </w:r>
      </w:hyperlink>
      <w:r>
        <w:rPr>
          <w:rFonts w:ascii="Arial" w:cs="Arial" w:eastAsia="Arial" w:hAnsi="Arial"/>
          <w:sz w:val="11"/>
          <w:szCs w:val="11"/>
          <w:color w:val="0000FF"/>
        </w:rPr>
        <w:t xml:space="preserve"> </w:t>
      </w:r>
      <w:hyperlink r:id="rId338">
        <w:r>
          <w:rPr>
            <w:rFonts w:ascii="Arial" w:cs="Arial" w:eastAsia="Arial" w:hAnsi="Arial"/>
            <w:sz w:val="11"/>
            <w:szCs w:val="11"/>
            <w:color w:val="0000FF"/>
          </w:rPr>
          <w:t>Energy, Inc. and Fujitsu Microelectronics America, Inc., dated August 19, 2009.</w:t>
        </w:r>
      </w:hyperlink>
    </w:p>
    <w:p>
      <w:pPr>
        <w:spacing w:after="0" w:line="161" w:lineRule="exact"/>
        <w:rPr>
          <w:sz w:val="20"/>
          <w:szCs w:val="20"/>
          <w:color w:val="auto"/>
        </w:rPr>
      </w:pPr>
    </w:p>
    <w:p>
      <w:pPr>
        <w:ind w:right="100"/>
        <w:spacing w:after="0" w:line="290" w:lineRule="auto"/>
        <w:rPr>
          <w:rFonts w:ascii="Arial" w:cs="Arial" w:eastAsia="Arial" w:hAnsi="Arial"/>
          <w:sz w:val="11"/>
          <w:szCs w:val="11"/>
          <w:color w:val="0000FF"/>
        </w:rPr>
      </w:pPr>
      <w:hyperlink r:id="rId339">
        <w:r>
          <w:rPr>
            <w:rFonts w:ascii="Arial" w:cs="Arial" w:eastAsia="Arial" w:hAnsi="Arial"/>
            <w:sz w:val="11"/>
            <w:szCs w:val="11"/>
            <w:color w:val="0000FF"/>
          </w:rPr>
          <w:t>License and Technology Transfer Agreement by and between Enphase Energy,</w:t>
        </w:r>
      </w:hyperlink>
      <w:r>
        <w:rPr>
          <w:rFonts w:ascii="Arial" w:cs="Arial" w:eastAsia="Arial" w:hAnsi="Arial"/>
          <w:sz w:val="11"/>
          <w:szCs w:val="11"/>
          <w:color w:val="0000FF"/>
        </w:rPr>
        <w:t xml:space="preserve"> </w:t>
      </w:r>
      <w:hyperlink r:id="rId339">
        <w:r>
          <w:rPr>
            <w:rFonts w:ascii="Arial" w:cs="Arial" w:eastAsia="Arial" w:hAnsi="Arial"/>
            <w:sz w:val="11"/>
            <w:szCs w:val="11"/>
            <w:color w:val="0000FF"/>
          </w:rPr>
          <w:t>Inc. and Ariane Controls, Inc., dated December 21, 2007.</w:t>
        </w:r>
      </w:hyperlink>
    </w:p>
    <w:p>
      <w:pPr>
        <w:spacing w:after="0" w:line="161" w:lineRule="exact"/>
        <w:rPr>
          <w:sz w:val="20"/>
          <w:szCs w:val="20"/>
          <w:color w:val="auto"/>
        </w:rPr>
      </w:pPr>
    </w:p>
    <w:p>
      <w:pPr>
        <w:ind w:right="100"/>
        <w:spacing w:after="0" w:line="266" w:lineRule="auto"/>
        <w:rPr>
          <w:rFonts w:ascii="Arial" w:cs="Arial" w:eastAsia="Arial" w:hAnsi="Arial"/>
          <w:sz w:val="11"/>
          <w:szCs w:val="11"/>
          <w:color w:val="0000FF"/>
        </w:rPr>
      </w:pPr>
      <w:hyperlink r:id="rId340">
        <w:r>
          <w:rPr>
            <w:rFonts w:ascii="Arial" w:cs="Arial" w:eastAsia="Arial" w:hAnsi="Arial"/>
            <w:sz w:val="11"/>
            <w:szCs w:val="11"/>
            <w:color w:val="0000FF"/>
          </w:rPr>
          <w:t>Software License Agreement by and between PVI Solutions, Inc. (subsequently</w:t>
        </w:r>
      </w:hyperlink>
      <w:r>
        <w:rPr>
          <w:rFonts w:ascii="Arial" w:cs="Arial" w:eastAsia="Arial" w:hAnsi="Arial"/>
          <w:sz w:val="11"/>
          <w:szCs w:val="11"/>
          <w:color w:val="0000FF"/>
        </w:rPr>
        <w:t xml:space="preserve"> </w:t>
      </w:r>
      <w:hyperlink r:id="rId340">
        <w:r>
          <w:rPr>
            <w:rFonts w:ascii="Arial" w:cs="Arial" w:eastAsia="Arial" w:hAnsi="Arial"/>
            <w:sz w:val="11"/>
            <w:szCs w:val="11"/>
            <w:color w:val="0000FF"/>
          </w:rPr>
          <w:t>known as Enphase Energy, Inc.) and DCD, Digital Core Design, dated May 8,</w:t>
        </w:r>
      </w:hyperlink>
      <w:r>
        <w:rPr>
          <w:rFonts w:ascii="Arial" w:cs="Arial" w:eastAsia="Arial" w:hAnsi="Arial"/>
          <w:sz w:val="11"/>
          <w:szCs w:val="11"/>
          <w:color w:val="0000FF"/>
        </w:rPr>
        <w:t xml:space="preserve"> </w:t>
      </w:r>
      <w:hyperlink r:id="rId340">
        <w:r>
          <w:rPr>
            <w:rFonts w:ascii="Arial" w:cs="Arial" w:eastAsia="Arial" w:hAnsi="Arial"/>
            <w:sz w:val="11"/>
            <w:szCs w:val="11"/>
            <w:color w:val="0000FF"/>
          </w:rPr>
          <w:t>2007, as amended.</w:t>
        </w:r>
      </w:hyperlink>
    </w:p>
    <w:p>
      <w:pPr>
        <w:spacing w:after="0" w:line="174" w:lineRule="exact"/>
        <w:rPr>
          <w:rFonts w:ascii="Arial" w:cs="Arial" w:eastAsia="Arial" w:hAnsi="Arial"/>
          <w:sz w:val="11"/>
          <w:szCs w:val="11"/>
          <w:color w:val="0000FF"/>
        </w:rPr>
      </w:pPr>
    </w:p>
    <w:p>
      <w:pPr>
        <w:spacing w:after="0"/>
        <w:rPr>
          <w:rFonts w:ascii="Arial" w:cs="Arial" w:eastAsia="Arial" w:hAnsi="Arial"/>
          <w:sz w:val="11"/>
          <w:szCs w:val="11"/>
          <w:color w:val="0000FF"/>
        </w:rPr>
      </w:pPr>
      <w:hyperlink w:anchor="page141">
        <w:r>
          <w:rPr>
            <w:rFonts w:ascii="Arial" w:cs="Arial" w:eastAsia="Arial" w:hAnsi="Arial"/>
            <w:sz w:val="11"/>
            <w:szCs w:val="11"/>
            <w:color w:val="0000FF"/>
          </w:rPr>
          <w:t>Non-employee Director Compensation Policy.</w:t>
        </w:r>
      </w:hyperlink>
    </w:p>
    <w:p>
      <w:pPr>
        <w:spacing w:after="0" w:line="213" w:lineRule="exact"/>
        <w:rPr>
          <w:rFonts w:ascii="Arial" w:cs="Arial" w:eastAsia="Arial" w:hAnsi="Arial"/>
          <w:sz w:val="11"/>
          <w:szCs w:val="11"/>
          <w:color w:val="0000FF"/>
        </w:rPr>
      </w:pPr>
    </w:p>
    <w:p>
      <w:pPr>
        <w:ind w:right="260"/>
        <w:spacing w:after="0" w:line="290" w:lineRule="auto"/>
        <w:rPr>
          <w:rFonts w:ascii="Arial" w:cs="Arial" w:eastAsia="Arial" w:hAnsi="Arial"/>
          <w:sz w:val="11"/>
          <w:szCs w:val="11"/>
          <w:color w:val="0000FF"/>
        </w:rPr>
      </w:pPr>
      <w:hyperlink r:id="rId341">
        <w:r>
          <w:rPr>
            <w:rFonts w:ascii="Arial" w:cs="Arial" w:eastAsia="Arial" w:hAnsi="Arial"/>
            <w:sz w:val="11"/>
            <w:szCs w:val="11"/>
            <w:color w:val="0000FF"/>
          </w:rPr>
          <w:t>Offer Letter by and between Enphase Energy, Inc. and David Ranhoff, dated</w:t>
        </w:r>
      </w:hyperlink>
      <w:r>
        <w:rPr>
          <w:rFonts w:ascii="Arial" w:cs="Arial" w:eastAsia="Arial" w:hAnsi="Arial"/>
          <w:sz w:val="11"/>
          <w:szCs w:val="11"/>
          <w:color w:val="0000FF"/>
        </w:rPr>
        <w:t xml:space="preserve"> </w:t>
      </w:r>
      <w:hyperlink r:id="rId341">
        <w:r>
          <w:rPr>
            <w:rFonts w:ascii="Arial" w:cs="Arial" w:eastAsia="Arial" w:hAnsi="Arial"/>
            <w:sz w:val="11"/>
            <w:szCs w:val="11"/>
            <w:color w:val="0000FF"/>
          </w:rPr>
          <w:t>December 1, 2017.</w:t>
        </w:r>
      </w:hyperlink>
    </w:p>
    <w:p>
      <w:pPr>
        <w:spacing w:after="0" w:line="161" w:lineRule="exact"/>
        <w:rPr>
          <w:sz w:val="20"/>
          <w:szCs w:val="20"/>
          <w:color w:val="auto"/>
        </w:rPr>
      </w:pPr>
    </w:p>
    <w:p>
      <w:pPr>
        <w:spacing w:after="0"/>
        <w:rPr>
          <w:rFonts w:ascii="Arial" w:cs="Arial" w:eastAsia="Arial" w:hAnsi="Arial"/>
          <w:sz w:val="11"/>
          <w:szCs w:val="11"/>
          <w:color w:val="0000FF"/>
        </w:rPr>
      </w:pPr>
      <w:hyperlink r:id="rId342">
        <w:r>
          <w:rPr>
            <w:rFonts w:ascii="Arial" w:cs="Arial" w:eastAsia="Arial" w:hAnsi="Arial"/>
            <w:sz w:val="11"/>
            <w:szCs w:val="11"/>
            <w:color w:val="0000FF"/>
          </w:rPr>
          <w:t>Severance and Change in Control Benefit 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Form</w:t>
            </w:r>
          </w:p>
        </w:tc>
        <w:tc>
          <w:tcPr>
            <w:tcW w:w="80" w:type="dxa"/>
            <w:vAlign w:val="bottom"/>
            <w:vMerge w:val="restart"/>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Incorporation by Reference</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9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SEC File No.</w:t>
            </w:r>
          </w:p>
        </w:tc>
        <w:tc>
          <w:tcPr>
            <w:tcW w:w="80" w:type="dxa"/>
            <w:vAlign w:val="bottom"/>
          </w:tcPr>
          <w:p>
            <w:pPr>
              <w:spacing w:after="0"/>
              <w:rPr>
                <w:sz w:val="12"/>
                <w:szCs w:val="12"/>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2"/>
                <w:szCs w:val="12"/>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Filing Date</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302"/>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S-1</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10.17</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10-Q</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11/2/2016</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S-1</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10.18</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10-Q</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5/6/2015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S-1</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S-1</w:t>
            </w:r>
          </w:p>
        </w:tc>
        <w:tc>
          <w:tcPr>
            <w:tcW w:w="1600" w:type="dxa"/>
            <w:vAlign w:val="bottom"/>
          </w:tcPr>
          <w:p>
            <w:pPr>
              <w:jc w:val="center"/>
              <w:spacing w:after="0"/>
              <w:rPr>
                <w:sz w:val="20"/>
                <w:szCs w:val="20"/>
                <w:color w:val="auto"/>
              </w:rPr>
            </w:pPr>
            <w:r>
              <w:rPr>
                <w:rFonts w:ascii="Arial" w:cs="Arial" w:eastAsia="Arial" w:hAnsi="Arial"/>
                <w:sz w:val="11"/>
                <w:szCs w:val="11"/>
                <w:color w:val="auto"/>
              </w:rPr>
              <w:t>333-174925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10.21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12/5/2017</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10-Q</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5/8/2013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-1935480</wp:posOffset>
            </wp:positionV>
            <wp:extent cx="7134860" cy="296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-1343025</wp:posOffset>
            </wp:positionV>
            <wp:extent cx="7134860" cy="296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-669290</wp:posOffset>
            </wp:positionV>
            <wp:extent cx="7134860" cy="2159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-156845</wp:posOffset>
            </wp:positionV>
            <wp:extent cx="7134860" cy="2159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-2534920</wp:posOffset>
            </wp:positionV>
            <wp:extent cx="7134860" cy="3028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3">
            <w:col w:w="920" w:space="200"/>
            <w:col w:w="4060" w:space="100"/>
            <w:col w:w="5960"/>
          </w:cols>
          <w:pgMar w:left="300" w:top="250" w:right="359" w:bottom="1440" w:gutter="0" w:footer="0" w:header="0"/>
          <w:type w:val="continuous"/>
        </w:sectPr>
      </w:pPr>
    </w:p>
    <w:tbl>
      <w:tblPr>
        <w:tblLayout w:type="fixed"/>
        <w:tblInd w:w="340" w:type="dxa"/>
        <w:tblCellMar>
          <w:top w:w="0" w:type="dxa"/>
          <w:left w:w="0" w:type="dxa"/>
          <w:bottom w:w="0" w:type="dxa"/>
          <w:right w:w="0" w:type="dxa"/>
        </w:tblCellMar>
      </w:tblPr>
      <w:tr>
        <w:trPr>
          <w:trHeight w:val="127"/>
        </w:trPr>
        <w:tc>
          <w:tcPr>
            <w:tcW w:w="540" w:type="dxa"/>
            <w:vAlign w:val="bottom"/>
            <w:vMerge w:val="restart"/>
          </w:tcPr>
          <w:p>
            <w:pPr>
              <w:jc w:val="center"/>
              <w:ind w:right="163"/>
              <w:spacing w:after="0"/>
              <w:rPr>
                <w:rFonts w:ascii="Arial" w:cs="Arial" w:eastAsia="Arial" w:hAnsi="Arial"/>
                <w:sz w:val="11"/>
                <w:szCs w:val="11"/>
                <w:color w:val="0000FF"/>
              </w:rPr>
            </w:pPr>
            <w:hyperlink r:id="rId348">
              <w:r>
                <w:rPr>
                  <w:rFonts w:ascii="Arial" w:cs="Arial" w:eastAsia="Arial" w:hAnsi="Arial"/>
                  <w:sz w:val="11"/>
                  <w:szCs w:val="11"/>
                  <w:color w:val="0000FF"/>
                </w:rPr>
                <w:t>10.14</w:t>
              </w:r>
            </w:hyperlink>
          </w:p>
        </w:tc>
        <w:tc>
          <w:tcPr>
            <w:tcW w:w="4280" w:type="dxa"/>
            <w:vAlign w:val="bottom"/>
          </w:tcPr>
          <w:p>
            <w:pPr>
              <w:ind w:left="240"/>
              <w:spacing w:after="0"/>
              <w:rPr>
                <w:rFonts w:ascii="Arial" w:cs="Arial" w:eastAsia="Arial" w:hAnsi="Arial"/>
                <w:sz w:val="11"/>
                <w:szCs w:val="11"/>
                <w:color w:val="0000FF"/>
              </w:rPr>
            </w:pPr>
            <w:hyperlink r:id="rId348">
              <w:r>
                <w:rPr>
                  <w:rFonts w:ascii="Arial" w:cs="Arial" w:eastAsia="Arial" w:hAnsi="Arial"/>
                  <w:sz w:val="11"/>
                  <w:szCs w:val="11"/>
                  <w:color w:val="0000FF"/>
                </w:rPr>
                <w:t>Securities Purchase Agreement, by and among Enphase Energy, Inc. and the</w:t>
              </w:r>
            </w:hyperlink>
          </w:p>
        </w:tc>
        <w:tc>
          <w:tcPr>
            <w:tcW w:w="0" w:type="dxa"/>
            <w:vAlign w:val="bottom"/>
          </w:tcPr>
          <w:p>
            <w:pPr>
              <w:spacing w:after="0"/>
              <w:rPr>
                <w:sz w:val="1"/>
                <w:szCs w:val="1"/>
                <w:color w:val="auto"/>
              </w:rPr>
            </w:pPr>
          </w:p>
        </w:tc>
      </w:tr>
      <w:tr>
        <w:trPr>
          <w:trHeight w:val="89"/>
        </w:trPr>
        <w:tc>
          <w:tcPr>
            <w:tcW w:w="540" w:type="dxa"/>
            <w:vAlign w:val="bottom"/>
            <w:vMerge w:val="continue"/>
          </w:tcPr>
          <w:p>
            <w:pPr>
              <w:spacing w:after="0"/>
              <w:rPr>
                <w:sz w:val="7"/>
                <w:szCs w:val="7"/>
                <w:color w:val="auto"/>
              </w:rPr>
            </w:pPr>
          </w:p>
        </w:tc>
        <w:tc>
          <w:tcPr>
            <w:tcW w:w="4280" w:type="dxa"/>
            <w:vAlign w:val="bottom"/>
            <w:vMerge w:val="restart"/>
          </w:tcPr>
          <w:p>
            <w:pPr>
              <w:ind w:left="240"/>
              <w:spacing w:after="0"/>
              <w:rPr>
                <w:rFonts w:ascii="Arial" w:cs="Arial" w:eastAsia="Arial" w:hAnsi="Arial"/>
                <w:sz w:val="11"/>
                <w:szCs w:val="11"/>
                <w:color w:val="0000FF"/>
              </w:rPr>
            </w:pPr>
            <w:hyperlink r:id="rId348">
              <w:r>
                <w:rPr>
                  <w:rFonts w:ascii="Arial" w:cs="Arial" w:eastAsia="Arial" w:hAnsi="Arial"/>
                  <w:sz w:val="11"/>
                  <w:szCs w:val="11"/>
                  <w:color w:val="0000FF"/>
                </w:rPr>
                <w:t>purchasers identified on Exhibit A thereto, dated January 9, 2017.</w:t>
              </w:r>
            </w:hyperlink>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540" w:type="dxa"/>
            <w:vAlign w:val="bottom"/>
          </w:tcPr>
          <w:p>
            <w:pPr>
              <w:jc w:val="center"/>
              <w:ind w:right="163"/>
              <w:spacing w:after="0"/>
              <w:rPr>
                <w:sz w:val="20"/>
                <w:szCs w:val="20"/>
                <w:color w:val="auto"/>
              </w:rPr>
            </w:pPr>
            <w:r>
              <w:rPr>
                <w:rFonts w:ascii="Arial" w:cs="Arial" w:eastAsia="Arial" w:hAnsi="Arial"/>
                <w:sz w:val="11"/>
                <w:szCs w:val="11"/>
                <w:color w:val="0000FF"/>
                <w:w w:val="96"/>
              </w:rPr>
              <w:t>10.15</w:t>
            </w:r>
            <w:r>
              <w:rPr>
                <w:rFonts w:ascii="Arial" w:cs="Arial" w:eastAsia="Arial" w:hAnsi="Arial"/>
                <w:sz w:val="14"/>
                <w:szCs w:val="14"/>
                <w:color w:val="000000"/>
                <w:w w:val="96"/>
                <w:vertAlign w:val="superscript"/>
              </w:rPr>
              <w:t>+</w:t>
            </w:r>
          </w:p>
        </w:tc>
        <w:tc>
          <w:tcPr>
            <w:tcW w:w="4280" w:type="dxa"/>
            <w:vAlign w:val="bottom"/>
          </w:tcPr>
          <w:p>
            <w:pPr>
              <w:ind w:left="240"/>
              <w:spacing w:after="0"/>
              <w:rPr>
                <w:rFonts w:ascii="Arial" w:cs="Arial" w:eastAsia="Arial" w:hAnsi="Arial"/>
                <w:sz w:val="11"/>
                <w:szCs w:val="11"/>
                <w:color w:val="0000FF"/>
              </w:rPr>
            </w:pPr>
            <w:hyperlink r:id="rId349">
              <w:r>
                <w:rPr>
                  <w:rFonts w:ascii="Arial" w:cs="Arial" w:eastAsia="Arial" w:hAnsi="Arial"/>
                  <w:sz w:val="11"/>
                  <w:szCs w:val="11"/>
                  <w:color w:val="0000FF"/>
                </w:rPr>
                <w:t>Offer Letter by and between Enphase Energy, Inc. and Eric Branderiz, dated</w:t>
              </w:r>
            </w:hyperlink>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4280" w:type="dxa"/>
            <w:vAlign w:val="bottom"/>
          </w:tcPr>
          <w:p>
            <w:pPr>
              <w:ind w:left="240"/>
              <w:spacing w:after="0"/>
              <w:rPr>
                <w:rFonts w:ascii="Arial" w:cs="Arial" w:eastAsia="Arial" w:hAnsi="Arial"/>
                <w:sz w:val="11"/>
                <w:szCs w:val="11"/>
                <w:color w:val="0000FF"/>
              </w:rPr>
            </w:pPr>
            <w:hyperlink r:id="rId349">
              <w:r>
                <w:rPr>
                  <w:rFonts w:ascii="Arial" w:cs="Arial" w:eastAsia="Arial" w:hAnsi="Arial"/>
                  <w:sz w:val="11"/>
                  <w:szCs w:val="11"/>
                  <w:color w:val="0000FF"/>
                </w:rPr>
                <w:t>December 1, 2018.</w:t>
              </w:r>
            </w:hyperlink>
          </w:p>
        </w:tc>
        <w:tc>
          <w:tcPr>
            <w:tcW w:w="0" w:type="dxa"/>
            <w:vAlign w:val="bottom"/>
          </w:tcPr>
          <w:p>
            <w:pPr>
              <w:spacing w:after="0"/>
              <w:rPr>
                <w:sz w:val="1"/>
                <w:szCs w:val="1"/>
                <w:color w:val="auto"/>
              </w:rPr>
            </w:pPr>
          </w:p>
        </w:tc>
      </w:tr>
      <w:tr>
        <w:trPr>
          <w:trHeight w:val="300"/>
        </w:trPr>
        <w:tc>
          <w:tcPr>
            <w:tcW w:w="540" w:type="dxa"/>
            <w:vAlign w:val="bottom"/>
            <w:vMerge w:val="restart"/>
          </w:tcPr>
          <w:p>
            <w:pPr>
              <w:jc w:val="center"/>
              <w:ind w:right="163"/>
              <w:spacing w:after="0"/>
              <w:rPr>
                <w:rFonts w:ascii="Arial" w:cs="Arial" w:eastAsia="Arial" w:hAnsi="Arial"/>
                <w:sz w:val="11"/>
                <w:szCs w:val="11"/>
                <w:color w:val="0000FF"/>
              </w:rPr>
            </w:pPr>
            <w:hyperlink r:id="rId350">
              <w:r>
                <w:rPr>
                  <w:rFonts w:ascii="Arial" w:cs="Arial" w:eastAsia="Arial" w:hAnsi="Arial"/>
                  <w:sz w:val="11"/>
                  <w:szCs w:val="11"/>
                  <w:color w:val="0000FF"/>
                </w:rPr>
                <w:t>10.16</w:t>
              </w:r>
            </w:hyperlink>
          </w:p>
        </w:tc>
        <w:tc>
          <w:tcPr>
            <w:tcW w:w="4280" w:type="dxa"/>
            <w:vAlign w:val="bottom"/>
          </w:tcPr>
          <w:p>
            <w:pPr>
              <w:ind w:left="240"/>
              <w:spacing w:after="0"/>
              <w:rPr>
                <w:rFonts w:ascii="Arial" w:cs="Arial" w:eastAsia="Arial" w:hAnsi="Arial"/>
                <w:sz w:val="11"/>
                <w:szCs w:val="11"/>
                <w:color w:val="0000FF"/>
              </w:rPr>
            </w:pPr>
            <w:hyperlink r:id="rId350">
              <w:r>
                <w:rPr>
                  <w:rFonts w:ascii="Arial" w:cs="Arial" w:eastAsia="Arial" w:hAnsi="Arial"/>
                  <w:sz w:val="11"/>
                  <w:szCs w:val="11"/>
                  <w:color w:val="0000FF"/>
                </w:rPr>
                <w:t>Securities Purchase Agreement, dated August 14, 2018, by and between</w:t>
              </w:r>
            </w:hyperlink>
          </w:p>
        </w:tc>
        <w:tc>
          <w:tcPr>
            <w:tcW w:w="0" w:type="dxa"/>
            <w:vAlign w:val="bottom"/>
          </w:tcPr>
          <w:p>
            <w:pPr>
              <w:spacing w:after="0"/>
              <w:rPr>
                <w:sz w:val="1"/>
                <w:szCs w:val="1"/>
                <w:color w:val="auto"/>
              </w:rPr>
            </w:pPr>
          </w:p>
        </w:tc>
      </w:tr>
      <w:tr>
        <w:trPr>
          <w:trHeight w:val="89"/>
        </w:trPr>
        <w:tc>
          <w:tcPr>
            <w:tcW w:w="540" w:type="dxa"/>
            <w:vAlign w:val="bottom"/>
            <w:vMerge w:val="continue"/>
          </w:tcPr>
          <w:p>
            <w:pPr>
              <w:spacing w:after="0"/>
              <w:rPr>
                <w:sz w:val="7"/>
                <w:szCs w:val="7"/>
                <w:color w:val="auto"/>
              </w:rPr>
            </w:pPr>
          </w:p>
        </w:tc>
        <w:tc>
          <w:tcPr>
            <w:tcW w:w="4280" w:type="dxa"/>
            <w:vAlign w:val="bottom"/>
            <w:vMerge w:val="restart"/>
          </w:tcPr>
          <w:p>
            <w:pPr>
              <w:ind w:left="240"/>
              <w:spacing w:after="0"/>
              <w:rPr>
                <w:rFonts w:ascii="Arial" w:cs="Arial" w:eastAsia="Arial" w:hAnsi="Arial"/>
                <w:sz w:val="11"/>
                <w:szCs w:val="11"/>
                <w:color w:val="0000FF"/>
              </w:rPr>
            </w:pPr>
            <w:hyperlink r:id="rId350">
              <w:r>
                <w:rPr>
                  <w:rFonts w:ascii="Arial" w:cs="Arial" w:eastAsia="Arial" w:hAnsi="Arial"/>
                  <w:sz w:val="11"/>
                  <w:szCs w:val="11"/>
                  <w:color w:val="0000FF"/>
                </w:rPr>
                <w:t>Enphase Energy, Inc. and the Rodgers Massey Revocable Trust dtd 4/4/11.</w:t>
              </w:r>
            </w:hyperlink>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3"/>
        </w:trPr>
        <w:tc>
          <w:tcPr>
            <w:tcW w:w="540" w:type="dxa"/>
            <w:vAlign w:val="bottom"/>
          </w:tcPr>
          <w:p>
            <w:pPr>
              <w:jc w:val="center"/>
              <w:ind w:right="163"/>
              <w:spacing w:after="0"/>
              <w:rPr>
                <w:rFonts w:ascii="Arial" w:cs="Arial" w:eastAsia="Arial" w:hAnsi="Arial"/>
                <w:sz w:val="11"/>
                <w:szCs w:val="11"/>
                <w:color w:val="0000FF"/>
                <w:w w:val="96"/>
              </w:rPr>
            </w:pPr>
            <w:hyperlink r:id="rId351">
              <w:r>
                <w:rPr>
                  <w:rFonts w:ascii="Arial" w:cs="Arial" w:eastAsia="Arial" w:hAnsi="Arial"/>
                  <w:sz w:val="11"/>
                  <w:szCs w:val="11"/>
                  <w:color w:val="0000FF"/>
                  <w:w w:val="96"/>
                </w:rPr>
                <w:t>10.17</w:t>
              </w:r>
            </w:hyperlink>
            <w:r>
              <w:rPr>
                <w:rFonts w:ascii="Arial" w:cs="Arial" w:eastAsia="Arial" w:hAnsi="Arial"/>
                <w:sz w:val="14"/>
                <w:szCs w:val="14"/>
                <w:color w:val="000000"/>
                <w:w w:val="96"/>
                <w:vertAlign w:val="superscript"/>
              </w:rPr>
              <w:t>+</w:t>
            </w:r>
          </w:p>
        </w:tc>
        <w:tc>
          <w:tcPr>
            <w:tcW w:w="4280" w:type="dxa"/>
            <w:vAlign w:val="bottom"/>
          </w:tcPr>
          <w:p>
            <w:pPr>
              <w:ind w:left="240"/>
              <w:spacing w:after="0"/>
              <w:rPr>
                <w:rFonts w:ascii="Arial" w:cs="Arial" w:eastAsia="Arial" w:hAnsi="Arial"/>
                <w:sz w:val="11"/>
                <w:szCs w:val="11"/>
                <w:color w:val="0000FF"/>
              </w:rPr>
            </w:pPr>
            <w:hyperlink r:id="rId351">
              <w:r>
                <w:rPr>
                  <w:rFonts w:ascii="Arial" w:cs="Arial" w:eastAsia="Arial" w:hAnsi="Arial"/>
                  <w:sz w:val="11"/>
                  <w:szCs w:val="11"/>
                  <w:color w:val="0000FF"/>
                </w:rPr>
                <w:t>Performance Bonus Program Summary.</w:t>
              </w:r>
            </w:hyperlink>
          </w:p>
        </w:tc>
        <w:tc>
          <w:tcPr>
            <w:tcW w:w="0" w:type="dxa"/>
            <w:vAlign w:val="bottom"/>
          </w:tcPr>
          <w:p>
            <w:pPr>
              <w:spacing w:after="0"/>
              <w:rPr>
                <w:sz w:val="1"/>
                <w:szCs w:val="1"/>
                <w:color w:val="auto"/>
              </w:rPr>
            </w:pPr>
          </w:p>
        </w:tc>
      </w:tr>
      <w:tr>
        <w:trPr>
          <w:trHeight w:val="271"/>
        </w:trPr>
        <w:tc>
          <w:tcPr>
            <w:tcW w:w="540" w:type="dxa"/>
            <w:vAlign w:val="bottom"/>
            <w:vMerge w:val="restart"/>
          </w:tcPr>
          <w:p>
            <w:pPr>
              <w:jc w:val="center"/>
              <w:ind w:right="163"/>
              <w:spacing w:after="0"/>
              <w:rPr>
                <w:rFonts w:ascii="Arial" w:cs="Arial" w:eastAsia="Arial" w:hAnsi="Arial"/>
                <w:sz w:val="11"/>
                <w:szCs w:val="11"/>
                <w:color w:val="0000FF"/>
              </w:rPr>
            </w:pPr>
            <w:hyperlink r:id="rId352">
              <w:r>
                <w:rPr>
                  <w:rFonts w:ascii="Arial" w:cs="Arial" w:eastAsia="Arial" w:hAnsi="Arial"/>
                  <w:sz w:val="11"/>
                  <w:szCs w:val="11"/>
                  <w:color w:val="0000FF"/>
                </w:rPr>
                <w:t>10.18</w:t>
              </w:r>
            </w:hyperlink>
          </w:p>
        </w:tc>
        <w:tc>
          <w:tcPr>
            <w:tcW w:w="4280" w:type="dxa"/>
            <w:vAlign w:val="bottom"/>
          </w:tcPr>
          <w:p>
            <w:pPr>
              <w:ind w:left="240"/>
              <w:spacing w:after="0"/>
              <w:rPr>
                <w:rFonts w:ascii="Arial" w:cs="Arial" w:eastAsia="Arial" w:hAnsi="Arial"/>
                <w:sz w:val="11"/>
                <w:szCs w:val="11"/>
                <w:color w:val="0000FF"/>
              </w:rPr>
            </w:pPr>
            <w:hyperlink r:id="rId352">
              <w:r>
                <w:rPr>
                  <w:rFonts w:ascii="Arial" w:cs="Arial" w:eastAsia="Arial" w:hAnsi="Arial"/>
                  <w:sz w:val="11"/>
                  <w:szCs w:val="11"/>
                  <w:color w:val="0000FF"/>
                </w:rPr>
                <w:t>Stockholders Agreement, dated as of August 9, 2018, by and between Enphase</w:t>
              </w:r>
            </w:hyperlink>
          </w:p>
        </w:tc>
        <w:tc>
          <w:tcPr>
            <w:tcW w:w="0" w:type="dxa"/>
            <w:vAlign w:val="bottom"/>
          </w:tcPr>
          <w:p>
            <w:pPr>
              <w:spacing w:after="0"/>
              <w:rPr>
                <w:sz w:val="1"/>
                <w:szCs w:val="1"/>
                <w:color w:val="auto"/>
              </w:rPr>
            </w:pPr>
          </w:p>
        </w:tc>
      </w:tr>
      <w:tr>
        <w:trPr>
          <w:trHeight w:val="89"/>
        </w:trPr>
        <w:tc>
          <w:tcPr>
            <w:tcW w:w="540" w:type="dxa"/>
            <w:vAlign w:val="bottom"/>
            <w:vMerge w:val="continue"/>
          </w:tcPr>
          <w:p>
            <w:pPr>
              <w:spacing w:after="0"/>
              <w:rPr>
                <w:sz w:val="7"/>
                <w:szCs w:val="7"/>
                <w:color w:val="auto"/>
              </w:rPr>
            </w:pPr>
          </w:p>
        </w:tc>
        <w:tc>
          <w:tcPr>
            <w:tcW w:w="4280" w:type="dxa"/>
            <w:vAlign w:val="bottom"/>
            <w:vMerge w:val="restart"/>
          </w:tcPr>
          <w:p>
            <w:pPr>
              <w:ind w:left="240"/>
              <w:spacing w:after="0"/>
              <w:rPr>
                <w:rFonts w:ascii="Arial" w:cs="Arial" w:eastAsia="Arial" w:hAnsi="Arial"/>
                <w:sz w:val="11"/>
                <w:szCs w:val="11"/>
                <w:color w:val="0000FF"/>
              </w:rPr>
            </w:pPr>
            <w:hyperlink r:id="rId352">
              <w:r>
                <w:rPr>
                  <w:rFonts w:ascii="Arial" w:cs="Arial" w:eastAsia="Arial" w:hAnsi="Arial"/>
                  <w:sz w:val="11"/>
                  <w:szCs w:val="11"/>
                  <w:color w:val="0000FF"/>
                </w:rPr>
                <w:t>Energy, Inc. and SunPower Corporation.</w:t>
              </w:r>
            </w:hyperlink>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4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540" w:type="dxa"/>
            <w:vAlign w:val="bottom"/>
          </w:tcPr>
          <w:p>
            <w:pPr>
              <w:jc w:val="center"/>
              <w:ind w:right="163"/>
              <w:spacing w:after="0"/>
              <w:rPr>
                <w:sz w:val="20"/>
                <w:szCs w:val="20"/>
                <w:color w:val="auto"/>
              </w:rPr>
            </w:pPr>
            <w:r>
              <w:rPr>
                <w:rFonts w:ascii="Arial" w:cs="Arial" w:eastAsia="Arial" w:hAnsi="Arial"/>
                <w:sz w:val="11"/>
                <w:szCs w:val="11"/>
                <w:color w:val="0000FF"/>
                <w:w w:val="97"/>
              </w:rPr>
              <w:t>10.19</w:t>
            </w:r>
            <w:r>
              <w:rPr>
                <w:rFonts w:ascii="Arial" w:cs="Arial" w:eastAsia="Arial" w:hAnsi="Arial"/>
                <w:sz w:val="14"/>
                <w:szCs w:val="14"/>
                <w:color w:val="000000"/>
                <w:w w:val="97"/>
                <w:vertAlign w:val="superscript"/>
              </w:rPr>
              <w:t>†</w:t>
            </w:r>
          </w:p>
        </w:tc>
        <w:tc>
          <w:tcPr>
            <w:tcW w:w="4280" w:type="dxa"/>
            <w:vAlign w:val="bottom"/>
          </w:tcPr>
          <w:p>
            <w:pPr>
              <w:ind w:left="240"/>
              <w:spacing w:after="0"/>
              <w:rPr>
                <w:rFonts w:ascii="Arial" w:cs="Arial" w:eastAsia="Arial" w:hAnsi="Arial"/>
                <w:sz w:val="11"/>
                <w:szCs w:val="11"/>
                <w:color w:val="0000FF"/>
              </w:rPr>
            </w:pPr>
            <w:hyperlink r:id="rId353">
              <w:r>
                <w:rPr>
                  <w:rFonts w:ascii="Arial" w:cs="Arial" w:eastAsia="Arial" w:hAnsi="Arial"/>
                  <w:sz w:val="11"/>
                  <w:szCs w:val="11"/>
                  <w:color w:val="0000FF"/>
                </w:rPr>
                <w:t>Master Supply Agreement, dated August 9, 2018, between Enphase Energy, Inc.</w:t>
              </w:r>
            </w:hyperlink>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4280" w:type="dxa"/>
            <w:vAlign w:val="bottom"/>
          </w:tcPr>
          <w:p>
            <w:pPr>
              <w:ind w:left="240"/>
              <w:spacing w:after="0"/>
              <w:rPr>
                <w:rFonts w:ascii="Arial" w:cs="Arial" w:eastAsia="Arial" w:hAnsi="Arial"/>
                <w:sz w:val="11"/>
                <w:szCs w:val="11"/>
                <w:color w:val="0000FF"/>
              </w:rPr>
            </w:pPr>
            <w:hyperlink r:id="rId353">
              <w:r>
                <w:rPr>
                  <w:rFonts w:ascii="Arial" w:cs="Arial" w:eastAsia="Arial" w:hAnsi="Arial"/>
                  <w:sz w:val="11"/>
                  <w:szCs w:val="11"/>
                  <w:color w:val="0000FF"/>
                </w:rPr>
                <w:t>and SunPower Corporation.</w:t>
              </w:r>
            </w:hyperlink>
          </w:p>
        </w:tc>
        <w:tc>
          <w:tcPr>
            <w:tcW w:w="0" w:type="dxa"/>
            <w:vAlign w:val="bottom"/>
          </w:tcPr>
          <w:p>
            <w:pPr>
              <w:spacing w:after="0"/>
              <w:rPr>
                <w:sz w:val="1"/>
                <w:szCs w:val="1"/>
                <w:color w:val="auto"/>
              </w:rPr>
            </w:pPr>
          </w:p>
        </w:tc>
      </w:tr>
      <w:tr>
        <w:trPr>
          <w:trHeight w:val="314"/>
        </w:trPr>
        <w:tc>
          <w:tcPr>
            <w:tcW w:w="540" w:type="dxa"/>
            <w:vAlign w:val="bottom"/>
          </w:tcPr>
          <w:p>
            <w:pPr>
              <w:jc w:val="center"/>
              <w:ind w:right="163"/>
              <w:spacing w:after="0"/>
              <w:rPr>
                <w:sz w:val="20"/>
                <w:szCs w:val="20"/>
                <w:color w:val="auto"/>
              </w:rPr>
            </w:pPr>
            <w:r>
              <w:rPr>
                <w:rFonts w:ascii="Arial" w:cs="Arial" w:eastAsia="Arial" w:hAnsi="Arial"/>
                <w:sz w:val="11"/>
                <w:szCs w:val="11"/>
                <w:color w:val="0000FF"/>
                <w:w w:val="97"/>
              </w:rPr>
              <w:t>10.20</w:t>
            </w:r>
            <w:r>
              <w:rPr>
                <w:rFonts w:ascii="Arial" w:cs="Arial" w:eastAsia="Arial" w:hAnsi="Arial"/>
                <w:sz w:val="14"/>
                <w:szCs w:val="14"/>
                <w:color w:val="000000"/>
                <w:w w:val="97"/>
                <w:vertAlign w:val="superscript"/>
              </w:rPr>
              <w:t>†</w:t>
            </w:r>
          </w:p>
        </w:tc>
        <w:tc>
          <w:tcPr>
            <w:tcW w:w="4280" w:type="dxa"/>
            <w:vAlign w:val="bottom"/>
          </w:tcPr>
          <w:p>
            <w:pPr>
              <w:ind w:left="240"/>
              <w:spacing w:after="0"/>
              <w:rPr>
                <w:rFonts w:ascii="Arial" w:cs="Arial" w:eastAsia="Arial" w:hAnsi="Arial"/>
                <w:sz w:val="11"/>
                <w:szCs w:val="11"/>
                <w:color w:val="0000FF"/>
              </w:rPr>
            </w:pPr>
            <w:hyperlink r:id="rId354">
              <w:r>
                <w:rPr>
                  <w:rFonts w:ascii="Arial" w:cs="Arial" w:eastAsia="Arial" w:hAnsi="Arial"/>
                  <w:sz w:val="11"/>
                  <w:szCs w:val="11"/>
                  <w:color w:val="0000FF"/>
                </w:rPr>
                <w:t>Amendment No. 1 to Master Supply Agreement, dated December 10, 2018, by</w:t>
              </w:r>
            </w:hyperlink>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4280" w:type="dxa"/>
            <w:vAlign w:val="bottom"/>
          </w:tcPr>
          <w:p>
            <w:pPr>
              <w:ind w:left="240"/>
              <w:spacing w:after="0"/>
              <w:rPr>
                <w:rFonts w:ascii="Arial" w:cs="Arial" w:eastAsia="Arial" w:hAnsi="Arial"/>
                <w:sz w:val="11"/>
                <w:szCs w:val="11"/>
                <w:color w:val="0000FF"/>
              </w:rPr>
            </w:pPr>
            <w:hyperlink r:id="rId354">
              <w:r>
                <w:rPr>
                  <w:rFonts w:ascii="Arial" w:cs="Arial" w:eastAsia="Arial" w:hAnsi="Arial"/>
                  <w:sz w:val="11"/>
                  <w:szCs w:val="11"/>
                  <w:color w:val="0000FF"/>
                </w:rPr>
                <w:t>and between Enphase Energy, Inc. and SunPower Corporation.</w:t>
              </w:r>
            </w:hyperlink>
          </w:p>
        </w:tc>
        <w:tc>
          <w:tcPr>
            <w:tcW w:w="0" w:type="dxa"/>
            <w:vAlign w:val="bottom"/>
          </w:tcPr>
          <w:p>
            <w:pPr>
              <w:spacing w:after="0"/>
              <w:rPr>
                <w:sz w:val="1"/>
                <w:szCs w:val="1"/>
                <w:color w:val="auto"/>
              </w:rPr>
            </w:pPr>
          </w:p>
        </w:tc>
      </w:tr>
      <w:tr>
        <w:trPr>
          <w:trHeight w:val="230"/>
        </w:trPr>
        <w:tc>
          <w:tcPr>
            <w:tcW w:w="540" w:type="dxa"/>
            <w:vAlign w:val="bottom"/>
          </w:tcPr>
          <w:p>
            <w:pPr>
              <w:jc w:val="center"/>
              <w:ind w:right="163"/>
              <w:spacing w:after="0"/>
              <w:rPr>
                <w:sz w:val="20"/>
                <w:szCs w:val="20"/>
                <w:color w:val="auto"/>
              </w:rPr>
            </w:pPr>
            <w:r>
              <w:rPr>
                <w:rFonts w:ascii="Arial" w:cs="Arial" w:eastAsia="Arial" w:hAnsi="Arial"/>
                <w:sz w:val="11"/>
                <w:szCs w:val="11"/>
                <w:color w:val="0000FF"/>
                <w:w w:val="97"/>
              </w:rPr>
              <w:t>10.21</w:t>
            </w:r>
            <w:r>
              <w:rPr>
                <w:rFonts w:ascii="Arial" w:cs="Arial" w:eastAsia="Arial" w:hAnsi="Arial"/>
                <w:sz w:val="14"/>
                <w:szCs w:val="14"/>
                <w:color w:val="000000"/>
                <w:w w:val="97"/>
                <w:vertAlign w:val="superscript"/>
              </w:rPr>
              <w:t>#</w:t>
            </w:r>
          </w:p>
        </w:tc>
        <w:tc>
          <w:tcPr>
            <w:tcW w:w="4280" w:type="dxa"/>
            <w:vAlign w:val="bottom"/>
          </w:tcPr>
          <w:p>
            <w:pPr>
              <w:ind w:left="240"/>
              <w:spacing w:after="0"/>
              <w:rPr>
                <w:rFonts w:ascii="Arial" w:cs="Arial" w:eastAsia="Arial" w:hAnsi="Arial"/>
                <w:sz w:val="11"/>
                <w:szCs w:val="11"/>
                <w:color w:val="0000FF"/>
              </w:rPr>
            </w:pPr>
            <w:hyperlink w:anchor="page143">
              <w:r>
                <w:rPr>
                  <w:rFonts w:ascii="Arial" w:cs="Arial" w:eastAsia="Arial" w:hAnsi="Arial"/>
                  <w:sz w:val="11"/>
                  <w:szCs w:val="11"/>
                  <w:color w:val="0000FF"/>
                </w:rPr>
                <w:t>Amendment No. 2 to Master Supply Agreement, dated June 12, 2018, by and</w:t>
              </w:r>
            </w:hyperlink>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4280" w:type="dxa"/>
            <w:vAlign w:val="bottom"/>
          </w:tcPr>
          <w:p>
            <w:pPr>
              <w:ind w:left="240"/>
              <w:spacing w:after="0"/>
              <w:rPr>
                <w:rFonts w:ascii="Arial" w:cs="Arial" w:eastAsia="Arial" w:hAnsi="Arial"/>
                <w:sz w:val="11"/>
                <w:szCs w:val="11"/>
                <w:color w:val="0000FF"/>
              </w:rPr>
            </w:pPr>
            <w:hyperlink w:anchor="page143">
              <w:r>
                <w:rPr>
                  <w:rFonts w:ascii="Arial" w:cs="Arial" w:eastAsia="Arial" w:hAnsi="Arial"/>
                  <w:sz w:val="11"/>
                  <w:szCs w:val="11"/>
                  <w:color w:val="0000FF"/>
                </w:rPr>
                <w:t>between Enphase Energy, Inc. and SunPower Corporation.</w:t>
              </w:r>
            </w:hyperlink>
          </w:p>
        </w:tc>
        <w:tc>
          <w:tcPr>
            <w:tcW w:w="0" w:type="dxa"/>
            <w:vAlign w:val="bottom"/>
          </w:tcPr>
          <w:p>
            <w:pPr>
              <w:spacing w:after="0"/>
              <w:rPr>
                <w:sz w:val="1"/>
                <w:szCs w:val="1"/>
                <w:color w:val="auto"/>
              </w:rPr>
            </w:pPr>
          </w:p>
        </w:tc>
      </w:tr>
      <w:tr>
        <w:trPr>
          <w:trHeight w:val="230"/>
        </w:trPr>
        <w:tc>
          <w:tcPr>
            <w:tcW w:w="540" w:type="dxa"/>
            <w:vAlign w:val="bottom"/>
          </w:tcPr>
          <w:p>
            <w:pPr>
              <w:jc w:val="center"/>
              <w:ind w:right="163"/>
              <w:spacing w:after="0"/>
              <w:rPr>
                <w:sz w:val="20"/>
                <w:szCs w:val="20"/>
                <w:color w:val="auto"/>
              </w:rPr>
            </w:pPr>
            <w:r>
              <w:rPr>
                <w:rFonts w:ascii="Arial" w:cs="Arial" w:eastAsia="Arial" w:hAnsi="Arial"/>
                <w:sz w:val="11"/>
                <w:szCs w:val="11"/>
                <w:color w:val="0000FF"/>
                <w:w w:val="97"/>
              </w:rPr>
              <w:t>10.22</w:t>
            </w:r>
            <w:r>
              <w:rPr>
                <w:rFonts w:ascii="Arial" w:cs="Arial" w:eastAsia="Arial" w:hAnsi="Arial"/>
                <w:sz w:val="14"/>
                <w:szCs w:val="14"/>
                <w:color w:val="000000"/>
                <w:w w:val="97"/>
                <w:vertAlign w:val="superscript"/>
              </w:rPr>
              <w:t>#</w:t>
            </w:r>
          </w:p>
        </w:tc>
        <w:tc>
          <w:tcPr>
            <w:tcW w:w="4280" w:type="dxa"/>
            <w:vAlign w:val="bottom"/>
          </w:tcPr>
          <w:p>
            <w:pPr>
              <w:ind w:left="240"/>
              <w:spacing w:after="0"/>
              <w:rPr>
                <w:rFonts w:ascii="Arial" w:cs="Arial" w:eastAsia="Arial" w:hAnsi="Arial"/>
                <w:sz w:val="11"/>
                <w:szCs w:val="11"/>
                <w:color w:val="0000FF"/>
              </w:rPr>
            </w:pPr>
            <w:hyperlink w:anchor="page146">
              <w:r>
                <w:rPr>
                  <w:rFonts w:ascii="Arial" w:cs="Arial" w:eastAsia="Arial" w:hAnsi="Arial"/>
                  <w:sz w:val="11"/>
                  <w:szCs w:val="11"/>
                  <w:color w:val="0000FF"/>
                </w:rPr>
                <w:t>Amendment No. 3 to Master Supply Agreement, dated June 12, 2018, by and</w:t>
              </w:r>
            </w:hyperlink>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4280" w:type="dxa"/>
            <w:vAlign w:val="bottom"/>
          </w:tcPr>
          <w:p>
            <w:pPr>
              <w:ind w:left="240"/>
              <w:spacing w:after="0"/>
              <w:rPr>
                <w:rFonts w:ascii="Arial" w:cs="Arial" w:eastAsia="Arial" w:hAnsi="Arial"/>
                <w:sz w:val="11"/>
                <w:szCs w:val="11"/>
                <w:color w:val="0000FF"/>
              </w:rPr>
            </w:pPr>
            <w:hyperlink w:anchor="page146">
              <w:r>
                <w:rPr>
                  <w:rFonts w:ascii="Arial" w:cs="Arial" w:eastAsia="Arial" w:hAnsi="Arial"/>
                  <w:sz w:val="11"/>
                  <w:szCs w:val="11"/>
                  <w:color w:val="0000FF"/>
                </w:rPr>
                <w:t>between Enphase Energy, Inc. and SunPower Corporation.</w:t>
              </w:r>
            </w:hyperlink>
          </w:p>
        </w:tc>
        <w:tc>
          <w:tcPr>
            <w:tcW w:w="0" w:type="dxa"/>
            <w:vAlign w:val="bottom"/>
          </w:tcPr>
          <w:p>
            <w:pPr>
              <w:spacing w:after="0"/>
              <w:rPr>
                <w:sz w:val="1"/>
                <w:szCs w:val="1"/>
                <w:color w:val="auto"/>
              </w:rPr>
            </w:pPr>
          </w:p>
        </w:tc>
      </w:tr>
      <w:tr>
        <w:trPr>
          <w:trHeight w:val="241"/>
        </w:trPr>
        <w:tc>
          <w:tcPr>
            <w:tcW w:w="540" w:type="dxa"/>
            <w:vAlign w:val="bottom"/>
          </w:tcPr>
          <w:p>
            <w:pPr>
              <w:jc w:val="center"/>
              <w:ind w:right="163"/>
              <w:spacing w:after="0"/>
              <w:rPr>
                <w:rFonts w:ascii="Arial" w:cs="Arial" w:eastAsia="Arial" w:hAnsi="Arial"/>
                <w:sz w:val="11"/>
                <w:szCs w:val="11"/>
                <w:color w:val="0000FF"/>
              </w:rPr>
            </w:pPr>
            <w:hyperlink w:anchor="page162">
              <w:r>
                <w:rPr>
                  <w:rFonts w:ascii="Arial" w:cs="Arial" w:eastAsia="Arial" w:hAnsi="Arial"/>
                  <w:sz w:val="11"/>
                  <w:szCs w:val="11"/>
                  <w:color w:val="0000FF"/>
                </w:rPr>
                <w:t>10.23</w:t>
              </w:r>
            </w:hyperlink>
          </w:p>
        </w:tc>
        <w:tc>
          <w:tcPr>
            <w:tcW w:w="4280" w:type="dxa"/>
            <w:vAlign w:val="bottom"/>
          </w:tcPr>
          <w:p>
            <w:pPr>
              <w:ind w:left="240"/>
              <w:spacing w:after="0"/>
              <w:rPr>
                <w:rFonts w:ascii="Arial" w:cs="Arial" w:eastAsia="Arial" w:hAnsi="Arial"/>
                <w:sz w:val="11"/>
                <w:szCs w:val="11"/>
                <w:color w:val="0000FF"/>
              </w:rPr>
            </w:pPr>
            <w:hyperlink w:anchor="page162">
              <w:r>
                <w:rPr>
                  <w:rFonts w:ascii="Arial" w:cs="Arial" w:eastAsia="Arial" w:hAnsi="Arial"/>
                  <w:sz w:val="11"/>
                  <w:szCs w:val="11"/>
                  <w:color w:val="0000FF"/>
                </w:rPr>
                <w:t>Consent and Waiver to Stockholders Agreement</w:t>
              </w:r>
            </w:hyperlink>
          </w:p>
        </w:tc>
        <w:tc>
          <w:tcPr>
            <w:tcW w:w="0" w:type="dxa"/>
            <w:vAlign w:val="bottom"/>
          </w:tcPr>
          <w:p>
            <w:pPr>
              <w:spacing w:after="0"/>
              <w:rPr>
                <w:sz w:val="1"/>
                <w:szCs w:val="1"/>
                <w:color w:val="auto"/>
              </w:rPr>
            </w:pPr>
          </w:p>
        </w:tc>
      </w:tr>
      <w:tr>
        <w:trPr>
          <w:trHeight w:val="244"/>
        </w:trPr>
        <w:tc>
          <w:tcPr>
            <w:tcW w:w="540" w:type="dxa"/>
            <w:vAlign w:val="bottom"/>
          </w:tcPr>
          <w:p>
            <w:pPr>
              <w:jc w:val="center"/>
              <w:ind w:right="163"/>
              <w:spacing w:after="0"/>
              <w:rPr>
                <w:sz w:val="20"/>
                <w:szCs w:val="20"/>
                <w:color w:val="auto"/>
              </w:rPr>
            </w:pPr>
            <w:r>
              <w:rPr>
                <w:rFonts w:ascii="Arial" w:cs="Arial" w:eastAsia="Arial" w:hAnsi="Arial"/>
                <w:sz w:val="11"/>
                <w:szCs w:val="11"/>
                <w:color w:val="0000FF"/>
                <w:w w:val="97"/>
              </w:rPr>
              <w:t>10.24</w:t>
            </w:r>
            <w:r>
              <w:rPr>
                <w:rFonts w:ascii="Arial" w:cs="Arial" w:eastAsia="Arial" w:hAnsi="Arial"/>
                <w:sz w:val="14"/>
                <w:szCs w:val="14"/>
                <w:color w:val="000000"/>
                <w:w w:val="97"/>
                <w:vertAlign w:val="superscript"/>
              </w:rPr>
              <w:t>#</w:t>
            </w:r>
          </w:p>
        </w:tc>
        <w:tc>
          <w:tcPr>
            <w:tcW w:w="4280" w:type="dxa"/>
            <w:vAlign w:val="bottom"/>
          </w:tcPr>
          <w:p>
            <w:pPr>
              <w:ind w:left="240"/>
              <w:spacing w:after="0"/>
              <w:rPr>
                <w:rFonts w:ascii="Arial" w:cs="Arial" w:eastAsia="Arial" w:hAnsi="Arial"/>
                <w:sz w:val="11"/>
                <w:szCs w:val="11"/>
                <w:color w:val="0000FF"/>
              </w:rPr>
            </w:pPr>
            <w:hyperlink w:anchor="page167">
              <w:r>
                <w:rPr>
                  <w:rFonts w:ascii="Arial" w:cs="Arial" w:eastAsia="Arial" w:hAnsi="Arial"/>
                  <w:sz w:val="11"/>
                  <w:szCs w:val="11"/>
                  <w:color w:val="0000FF"/>
                </w:rPr>
                <w:t>Salcomp Manufacturing Services Agreement by and between Enphase Energy,</w:t>
              </w:r>
            </w:hyperlink>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4280" w:type="dxa"/>
            <w:vAlign w:val="bottom"/>
          </w:tcPr>
          <w:p>
            <w:pPr>
              <w:ind w:left="240"/>
              <w:spacing w:after="0"/>
              <w:rPr>
                <w:rFonts w:ascii="Arial" w:cs="Arial" w:eastAsia="Arial" w:hAnsi="Arial"/>
                <w:sz w:val="11"/>
                <w:szCs w:val="11"/>
                <w:color w:val="0000FF"/>
              </w:rPr>
            </w:pPr>
            <w:hyperlink w:anchor="page167">
              <w:r>
                <w:rPr>
                  <w:rFonts w:ascii="Arial" w:cs="Arial" w:eastAsia="Arial" w:hAnsi="Arial"/>
                  <w:sz w:val="11"/>
                  <w:szCs w:val="11"/>
                  <w:color w:val="0000FF"/>
                </w:rPr>
                <w:t>Inc. and Salcomp Manufacturing India Private Ltd., dated October 1, 2019.</w:t>
              </w:r>
            </w:hyperlink>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27"/>
        </w:trPr>
        <w:tc>
          <w:tcPr>
            <w:tcW w:w="520" w:type="dxa"/>
            <w:vAlign w:val="bottom"/>
            <w:vMerge w:val="restart"/>
          </w:tcPr>
          <w:p>
            <w:pPr>
              <w:jc w:val="right"/>
              <w:ind w:right="183"/>
              <w:spacing w:after="0"/>
              <w:rPr>
                <w:rFonts w:ascii="Arial" w:cs="Arial" w:eastAsia="Arial" w:hAnsi="Arial"/>
                <w:sz w:val="11"/>
                <w:szCs w:val="11"/>
                <w:color w:val="0000FF"/>
                <w:w w:val="94"/>
              </w:rPr>
            </w:pPr>
            <w:hyperlink r:id="rId355">
              <w:r>
                <w:rPr>
                  <w:rFonts w:ascii="Arial" w:cs="Arial" w:eastAsia="Arial" w:hAnsi="Arial"/>
                  <w:sz w:val="11"/>
                  <w:szCs w:val="11"/>
                  <w:color w:val="0000FF"/>
                  <w:w w:val="94"/>
                </w:rPr>
                <w:t>10.25</w:t>
              </w:r>
            </w:hyperlink>
          </w:p>
        </w:tc>
        <w:tc>
          <w:tcPr>
            <w:tcW w:w="4060" w:type="dxa"/>
            <w:vAlign w:val="bottom"/>
          </w:tcPr>
          <w:p>
            <w:pPr>
              <w:ind w:left="240"/>
              <w:spacing w:after="0"/>
              <w:rPr>
                <w:rFonts w:ascii="Arial" w:cs="Arial" w:eastAsia="Arial" w:hAnsi="Arial"/>
                <w:sz w:val="11"/>
                <w:szCs w:val="11"/>
                <w:color w:val="0000FF"/>
              </w:rPr>
            </w:pPr>
            <w:hyperlink r:id="rId355">
              <w:r>
                <w:rPr>
                  <w:rFonts w:ascii="Arial" w:cs="Arial" w:eastAsia="Arial" w:hAnsi="Arial"/>
                  <w:sz w:val="11"/>
                  <w:szCs w:val="11"/>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89"/>
        </w:trPr>
        <w:tc>
          <w:tcPr>
            <w:tcW w:w="520" w:type="dxa"/>
            <w:vAlign w:val="bottom"/>
            <w:vMerge w:val="continue"/>
          </w:tcPr>
          <w:p>
            <w:pPr>
              <w:spacing w:after="0"/>
              <w:rPr>
                <w:sz w:val="7"/>
                <w:szCs w:val="7"/>
                <w:color w:val="auto"/>
              </w:rPr>
            </w:pPr>
          </w:p>
        </w:tc>
        <w:tc>
          <w:tcPr>
            <w:tcW w:w="4060" w:type="dxa"/>
            <w:vAlign w:val="bottom"/>
            <w:vMerge w:val="restart"/>
          </w:tcPr>
          <w:p>
            <w:pPr>
              <w:ind w:left="240"/>
              <w:spacing w:after="0"/>
              <w:rPr>
                <w:rFonts w:ascii="Arial" w:cs="Arial" w:eastAsia="Arial" w:hAnsi="Arial"/>
                <w:sz w:val="11"/>
                <w:szCs w:val="11"/>
                <w:color w:val="0000FF"/>
              </w:rPr>
            </w:pPr>
            <w:hyperlink r:id="rId355">
              <w:r>
                <w:rPr>
                  <w:rFonts w:ascii="Arial" w:cs="Arial" w:eastAsia="Arial" w:hAnsi="Arial"/>
                  <w:sz w:val="11"/>
                  <w:szCs w:val="11"/>
                  <w:color w:val="0000FF"/>
                </w:rPr>
                <w:t>Bayside Associates, dated April 12, 2018.</w:t>
              </w:r>
            </w:hyperlink>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520" w:type="dxa"/>
            <w:vAlign w:val="bottom"/>
            <w:vMerge w:val="restart"/>
          </w:tcPr>
          <w:p>
            <w:pPr>
              <w:jc w:val="right"/>
              <w:ind w:right="183"/>
              <w:spacing w:after="0"/>
              <w:rPr>
                <w:rFonts w:ascii="Arial" w:cs="Arial" w:eastAsia="Arial" w:hAnsi="Arial"/>
                <w:sz w:val="11"/>
                <w:szCs w:val="11"/>
                <w:color w:val="0000FF"/>
                <w:w w:val="94"/>
              </w:rPr>
            </w:pPr>
            <w:hyperlink w:anchor="page198">
              <w:r>
                <w:rPr>
                  <w:rFonts w:ascii="Arial" w:cs="Arial" w:eastAsia="Arial" w:hAnsi="Arial"/>
                  <w:sz w:val="11"/>
                  <w:szCs w:val="11"/>
                  <w:color w:val="0000FF"/>
                  <w:w w:val="94"/>
                </w:rPr>
                <w:t>10.26</w:t>
              </w:r>
            </w:hyperlink>
          </w:p>
        </w:tc>
        <w:tc>
          <w:tcPr>
            <w:tcW w:w="4060" w:type="dxa"/>
            <w:vAlign w:val="bottom"/>
          </w:tcPr>
          <w:p>
            <w:pPr>
              <w:ind w:left="240"/>
              <w:spacing w:after="0"/>
              <w:rPr>
                <w:rFonts w:ascii="Arial" w:cs="Arial" w:eastAsia="Arial" w:hAnsi="Arial"/>
                <w:sz w:val="11"/>
                <w:szCs w:val="11"/>
                <w:color w:val="0000FF"/>
              </w:rPr>
            </w:pPr>
            <w:hyperlink w:anchor="page198">
              <w:r>
                <w:rPr>
                  <w:rFonts w:ascii="Arial" w:cs="Arial" w:eastAsia="Arial" w:hAnsi="Arial"/>
                  <w:sz w:val="11"/>
                  <w:szCs w:val="11"/>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89"/>
        </w:trPr>
        <w:tc>
          <w:tcPr>
            <w:tcW w:w="520" w:type="dxa"/>
            <w:vAlign w:val="bottom"/>
            <w:vMerge w:val="continue"/>
          </w:tcPr>
          <w:p>
            <w:pPr>
              <w:spacing w:after="0"/>
              <w:rPr>
                <w:sz w:val="7"/>
                <w:szCs w:val="7"/>
                <w:color w:val="auto"/>
              </w:rPr>
            </w:pPr>
          </w:p>
        </w:tc>
        <w:tc>
          <w:tcPr>
            <w:tcW w:w="4060" w:type="dxa"/>
            <w:vAlign w:val="bottom"/>
            <w:vMerge w:val="restart"/>
          </w:tcPr>
          <w:p>
            <w:pPr>
              <w:ind w:left="240"/>
              <w:spacing w:after="0"/>
              <w:rPr>
                <w:rFonts w:ascii="Arial" w:cs="Arial" w:eastAsia="Arial" w:hAnsi="Arial"/>
                <w:sz w:val="11"/>
                <w:szCs w:val="11"/>
                <w:color w:val="0000FF"/>
              </w:rPr>
            </w:pPr>
            <w:hyperlink w:anchor="page198">
              <w:r>
                <w:rPr>
                  <w:rFonts w:ascii="Arial" w:cs="Arial" w:eastAsia="Arial" w:hAnsi="Arial"/>
                  <w:sz w:val="11"/>
                  <w:szCs w:val="11"/>
                  <w:color w:val="0000FF"/>
                </w:rPr>
                <w:t>Bayside Associates, amendment dated March 17, 2020.</w:t>
              </w:r>
            </w:hyperlink>
          </w:p>
        </w:tc>
        <w:tc>
          <w:tcPr>
            <w:tcW w:w="0" w:type="dxa"/>
            <w:vAlign w:val="bottom"/>
          </w:tcPr>
          <w:p>
            <w:pPr>
              <w:spacing w:after="0"/>
              <w:rPr>
                <w:sz w:val="1"/>
                <w:szCs w:val="1"/>
                <w:color w:val="auto"/>
              </w:rPr>
            </w:pPr>
          </w:p>
        </w:tc>
      </w:tr>
      <w:tr>
        <w:trPr>
          <w:trHeight w:val="64"/>
        </w:trPr>
        <w:tc>
          <w:tcPr>
            <w:tcW w:w="52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840" w:type="dxa"/>
            <w:vAlign w:val="bottom"/>
          </w:tcPr>
          <w:p>
            <w:pPr>
              <w:jc w:val="center"/>
              <w:ind w:right="403"/>
              <w:spacing w:after="0"/>
              <w:rPr>
                <w:sz w:val="20"/>
                <w:szCs w:val="20"/>
                <w:color w:val="auto"/>
              </w:rPr>
            </w:pPr>
            <w:r>
              <w:rPr>
                <w:rFonts w:ascii="Arial" w:cs="Arial" w:eastAsia="Arial" w:hAnsi="Arial"/>
                <w:sz w:val="11"/>
                <w:szCs w:val="11"/>
                <w:color w:val="auto"/>
              </w:rPr>
              <w:t>8-K</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001-35480</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10.1</w:t>
            </w:r>
          </w:p>
        </w:tc>
        <w:tc>
          <w:tcPr>
            <w:tcW w:w="1760" w:type="dxa"/>
            <w:vAlign w:val="bottom"/>
          </w:tcPr>
          <w:p>
            <w:pPr>
              <w:jc w:val="center"/>
              <w:ind w:right="483"/>
              <w:spacing w:after="0"/>
              <w:rPr>
                <w:sz w:val="20"/>
                <w:szCs w:val="20"/>
                <w:color w:val="auto"/>
              </w:rPr>
            </w:pPr>
            <w:r>
              <w:rPr>
                <w:rFonts w:ascii="Arial" w:cs="Arial" w:eastAsia="Arial" w:hAnsi="Arial"/>
                <w:sz w:val="11"/>
                <w:szCs w:val="11"/>
                <w:color w:val="auto"/>
              </w:rPr>
              <w:t>1/10/2017</w:t>
            </w:r>
          </w:p>
        </w:tc>
      </w:tr>
      <w:tr>
        <w:trPr>
          <w:trHeight w:val="467"/>
        </w:trPr>
        <w:tc>
          <w:tcPr>
            <w:tcW w:w="840" w:type="dxa"/>
            <w:vAlign w:val="bottom"/>
          </w:tcPr>
          <w:p>
            <w:pPr>
              <w:jc w:val="center"/>
              <w:ind w:right="403"/>
              <w:spacing w:after="0"/>
              <w:rPr>
                <w:sz w:val="20"/>
                <w:szCs w:val="20"/>
                <w:color w:val="auto"/>
              </w:rPr>
            </w:pPr>
            <w:r>
              <w:rPr>
                <w:rFonts w:ascii="Arial" w:cs="Arial" w:eastAsia="Arial" w:hAnsi="Arial"/>
                <w:sz w:val="11"/>
                <w:szCs w:val="11"/>
                <w:color w:val="auto"/>
              </w:rPr>
              <w:t>10-Q</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001-35480</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10.1</w:t>
            </w:r>
          </w:p>
        </w:tc>
        <w:tc>
          <w:tcPr>
            <w:tcW w:w="1760" w:type="dxa"/>
            <w:vAlign w:val="bottom"/>
          </w:tcPr>
          <w:p>
            <w:pPr>
              <w:jc w:val="center"/>
              <w:ind w:right="463"/>
              <w:spacing w:after="0"/>
              <w:rPr>
                <w:sz w:val="20"/>
                <w:szCs w:val="20"/>
                <w:color w:val="auto"/>
              </w:rPr>
            </w:pPr>
            <w:r>
              <w:rPr>
                <w:rFonts w:ascii="Arial" w:cs="Arial" w:eastAsia="Arial" w:hAnsi="Arial"/>
                <w:sz w:val="11"/>
                <w:szCs w:val="11"/>
                <w:color w:val="auto"/>
              </w:rPr>
              <w:t>8/6/2018</w:t>
            </w:r>
          </w:p>
        </w:tc>
      </w:tr>
      <w:tr>
        <w:trPr>
          <w:trHeight w:val="467"/>
        </w:trPr>
        <w:tc>
          <w:tcPr>
            <w:tcW w:w="840" w:type="dxa"/>
            <w:vAlign w:val="bottom"/>
          </w:tcPr>
          <w:p>
            <w:pPr>
              <w:jc w:val="center"/>
              <w:ind w:right="403"/>
              <w:spacing w:after="0"/>
              <w:rPr>
                <w:sz w:val="20"/>
                <w:szCs w:val="20"/>
                <w:color w:val="auto"/>
              </w:rPr>
            </w:pPr>
            <w:r>
              <w:rPr>
                <w:rFonts w:ascii="Arial" w:cs="Arial" w:eastAsia="Arial" w:hAnsi="Arial"/>
                <w:sz w:val="11"/>
                <w:szCs w:val="11"/>
                <w:color w:val="auto"/>
              </w:rPr>
              <w:t>8-K</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001-35480</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10.2</w:t>
            </w:r>
          </w:p>
        </w:tc>
        <w:tc>
          <w:tcPr>
            <w:tcW w:w="1760" w:type="dxa"/>
            <w:vAlign w:val="bottom"/>
          </w:tcPr>
          <w:p>
            <w:pPr>
              <w:jc w:val="center"/>
              <w:ind w:right="483"/>
              <w:spacing w:after="0"/>
              <w:rPr>
                <w:sz w:val="20"/>
                <w:szCs w:val="20"/>
                <w:color w:val="auto"/>
              </w:rPr>
            </w:pPr>
            <w:r>
              <w:rPr>
                <w:rFonts w:ascii="Arial" w:cs="Arial" w:eastAsia="Arial" w:hAnsi="Arial"/>
                <w:sz w:val="11"/>
                <w:szCs w:val="11"/>
                <w:color w:val="auto"/>
              </w:rPr>
              <w:t>8/17/2018</w:t>
            </w:r>
          </w:p>
        </w:tc>
      </w:tr>
      <w:tr>
        <w:trPr>
          <w:trHeight w:val="403"/>
        </w:trPr>
        <w:tc>
          <w:tcPr>
            <w:tcW w:w="840" w:type="dxa"/>
            <w:vAlign w:val="bottom"/>
          </w:tcPr>
          <w:p>
            <w:pPr>
              <w:jc w:val="center"/>
              <w:ind w:right="403"/>
              <w:spacing w:after="0"/>
              <w:rPr>
                <w:sz w:val="20"/>
                <w:szCs w:val="20"/>
                <w:color w:val="auto"/>
              </w:rPr>
            </w:pPr>
            <w:r>
              <w:rPr>
                <w:rFonts w:ascii="Arial" w:cs="Arial" w:eastAsia="Arial" w:hAnsi="Arial"/>
                <w:sz w:val="11"/>
                <w:szCs w:val="11"/>
                <w:color w:val="auto"/>
              </w:rPr>
              <w:t>8-K</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001-35480</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10.1</w:t>
            </w:r>
          </w:p>
        </w:tc>
        <w:tc>
          <w:tcPr>
            <w:tcW w:w="1760" w:type="dxa"/>
            <w:vAlign w:val="bottom"/>
          </w:tcPr>
          <w:p>
            <w:pPr>
              <w:jc w:val="center"/>
              <w:ind w:right="463"/>
              <w:spacing w:after="0"/>
              <w:rPr>
                <w:sz w:val="20"/>
                <w:szCs w:val="20"/>
                <w:color w:val="auto"/>
              </w:rPr>
            </w:pPr>
            <w:r>
              <w:rPr>
                <w:rFonts w:ascii="Arial" w:cs="Arial" w:eastAsia="Arial" w:hAnsi="Arial"/>
                <w:sz w:val="11"/>
                <w:szCs w:val="11"/>
                <w:color w:val="auto"/>
              </w:rPr>
              <w:t>2/6/2019</w:t>
            </w:r>
          </w:p>
        </w:tc>
      </w:tr>
      <w:tr>
        <w:trPr>
          <w:trHeight w:val="403"/>
        </w:trPr>
        <w:tc>
          <w:tcPr>
            <w:tcW w:w="840" w:type="dxa"/>
            <w:vAlign w:val="bottom"/>
          </w:tcPr>
          <w:p>
            <w:pPr>
              <w:jc w:val="center"/>
              <w:ind w:right="403"/>
              <w:spacing w:after="0"/>
              <w:rPr>
                <w:sz w:val="20"/>
                <w:szCs w:val="20"/>
                <w:color w:val="auto"/>
              </w:rPr>
            </w:pPr>
            <w:r>
              <w:rPr>
                <w:rFonts w:ascii="Arial" w:cs="Arial" w:eastAsia="Arial" w:hAnsi="Arial"/>
                <w:sz w:val="11"/>
                <w:szCs w:val="11"/>
                <w:color w:val="auto"/>
                <w:w w:val="98"/>
              </w:rPr>
              <w:t>SC 13D</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005-86790</w:t>
            </w:r>
          </w:p>
        </w:tc>
        <w:tc>
          <w:tcPr>
            <w:tcW w:w="1160" w:type="dxa"/>
            <w:vAlign w:val="bottom"/>
          </w:tcPr>
          <w:p>
            <w:pPr>
              <w:ind w:left="460"/>
              <w:spacing w:after="0"/>
              <w:rPr>
                <w:sz w:val="20"/>
                <w:szCs w:val="20"/>
                <w:color w:val="auto"/>
              </w:rPr>
            </w:pPr>
            <w:r>
              <w:rPr>
                <w:rFonts w:ascii="Arial" w:cs="Arial" w:eastAsia="Arial" w:hAnsi="Arial"/>
                <w:sz w:val="11"/>
                <w:szCs w:val="11"/>
                <w:color w:val="auto"/>
              </w:rPr>
              <w:t>SC 13D</w:t>
            </w:r>
          </w:p>
        </w:tc>
        <w:tc>
          <w:tcPr>
            <w:tcW w:w="1760" w:type="dxa"/>
            <w:vAlign w:val="bottom"/>
          </w:tcPr>
          <w:p>
            <w:pPr>
              <w:jc w:val="center"/>
              <w:ind w:right="483"/>
              <w:spacing w:after="0"/>
              <w:rPr>
                <w:sz w:val="20"/>
                <w:szCs w:val="20"/>
                <w:color w:val="auto"/>
              </w:rPr>
            </w:pPr>
            <w:r>
              <w:rPr>
                <w:rFonts w:ascii="Arial" w:cs="Arial" w:eastAsia="Arial" w:hAnsi="Arial"/>
                <w:sz w:val="11"/>
                <w:szCs w:val="11"/>
                <w:color w:val="auto"/>
              </w:rPr>
              <w:t>8/20/2018</w:t>
            </w:r>
          </w:p>
        </w:tc>
      </w:tr>
      <w:tr>
        <w:trPr>
          <w:trHeight w:val="467"/>
        </w:trPr>
        <w:tc>
          <w:tcPr>
            <w:tcW w:w="840" w:type="dxa"/>
            <w:vAlign w:val="bottom"/>
          </w:tcPr>
          <w:p>
            <w:pPr>
              <w:jc w:val="center"/>
              <w:ind w:right="383"/>
              <w:spacing w:after="0"/>
              <w:rPr>
                <w:sz w:val="20"/>
                <w:szCs w:val="20"/>
                <w:color w:val="auto"/>
              </w:rPr>
            </w:pPr>
            <w:r>
              <w:rPr>
                <w:rFonts w:ascii="Arial" w:cs="Arial" w:eastAsia="Arial" w:hAnsi="Arial"/>
                <w:sz w:val="11"/>
                <w:szCs w:val="11"/>
                <w:color w:val="auto"/>
              </w:rPr>
              <w:t>8-K/A</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001-35480</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99.1</w:t>
            </w:r>
          </w:p>
        </w:tc>
        <w:tc>
          <w:tcPr>
            <w:tcW w:w="1760" w:type="dxa"/>
            <w:vAlign w:val="bottom"/>
          </w:tcPr>
          <w:p>
            <w:pPr>
              <w:jc w:val="center"/>
              <w:ind w:right="463"/>
              <w:spacing w:after="0"/>
              <w:rPr>
                <w:sz w:val="20"/>
                <w:szCs w:val="20"/>
                <w:color w:val="auto"/>
              </w:rPr>
            </w:pPr>
            <w:r>
              <w:rPr>
                <w:rFonts w:ascii="Arial" w:cs="Arial" w:eastAsia="Arial" w:hAnsi="Arial"/>
                <w:sz w:val="11"/>
                <w:szCs w:val="11"/>
                <w:color w:val="auto"/>
              </w:rPr>
              <w:t>10/23/2018</w:t>
            </w:r>
          </w:p>
        </w:tc>
      </w:tr>
      <w:tr>
        <w:trPr>
          <w:trHeight w:val="467"/>
        </w:trPr>
        <w:tc>
          <w:tcPr>
            <w:tcW w:w="840" w:type="dxa"/>
            <w:vAlign w:val="bottom"/>
          </w:tcPr>
          <w:p>
            <w:pPr>
              <w:jc w:val="center"/>
              <w:ind w:right="383"/>
              <w:spacing w:after="0"/>
              <w:rPr>
                <w:sz w:val="20"/>
                <w:szCs w:val="20"/>
                <w:color w:val="auto"/>
              </w:rPr>
            </w:pPr>
            <w:r>
              <w:rPr>
                <w:rFonts w:ascii="Arial" w:cs="Arial" w:eastAsia="Arial" w:hAnsi="Arial"/>
                <w:sz w:val="11"/>
                <w:szCs w:val="11"/>
                <w:color w:val="auto"/>
              </w:rPr>
              <w:t>10-K</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001-34166</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10.74</w:t>
            </w:r>
          </w:p>
        </w:tc>
        <w:tc>
          <w:tcPr>
            <w:tcW w:w="1760" w:type="dxa"/>
            <w:vAlign w:val="bottom"/>
          </w:tcPr>
          <w:p>
            <w:pPr>
              <w:jc w:val="center"/>
              <w:ind w:right="483"/>
              <w:spacing w:after="0"/>
              <w:rPr>
                <w:sz w:val="20"/>
                <w:szCs w:val="20"/>
                <w:color w:val="auto"/>
              </w:rPr>
            </w:pPr>
            <w:r>
              <w:rPr>
                <w:rFonts w:ascii="Arial" w:cs="Arial" w:eastAsia="Arial" w:hAnsi="Arial"/>
                <w:sz w:val="11"/>
                <w:szCs w:val="11"/>
                <w:color w:val="auto"/>
              </w:rPr>
              <w:t>2/14/2019</w:t>
            </w:r>
          </w:p>
        </w:tc>
      </w:tr>
      <w:tr>
        <w:trPr>
          <w:trHeight w:val="382"/>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ind w:left="1680"/>
              <w:spacing w:after="0"/>
              <w:rPr>
                <w:sz w:val="20"/>
                <w:szCs w:val="20"/>
                <w:color w:val="auto"/>
              </w:rPr>
            </w:pPr>
            <w:r>
              <w:rPr>
                <w:rFonts w:ascii="Arial" w:cs="Arial" w:eastAsia="Arial" w:hAnsi="Arial"/>
                <w:sz w:val="11"/>
                <w:szCs w:val="11"/>
                <w:color w:val="auto"/>
                <w:w w:val="81"/>
              </w:rPr>
              <w:t>X</w:t>
            </w:r>
          </w:p>
        </w:tc>
      </w:tr>
      <w:tr>
        <w:trPr>
          <w:trHeight w:val="382"/>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ind w:left="1680"/>
              <w:spacing w:after="0"/>
              <w:rPr>
                <w:sz w:val="20"/>
                <w:szCs w:val="20"/>
                <w:color w:val="auto"/>
              </w:rPr>
            </w:pPr>
            <w:r>
              <w:rPr>
                <w:rFonts w:ascii="Arial" w:cs="Arial" w:eastAsia="Arial" w:hAnsi="Arial"/>
                <w:sz w:val="11"/>
                <w:szCs w:val="11"/>
                <w:color w:val="auto"/>
                <w:w w:val="81"/>
              </w:rPr>
              <w:t>X</w:t>
            </w:r>
          </w:p>
        </w:tc>
      </w:tr>
      <w:tr>
        <w:trPr>
          <w:trHeight w:val="318"/>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ind w:left="1680"/>
              <w:spacing w:after="0"/>
              <w:rPr>
                <w:sz w:val="20"/>
                <w:szCs w:val="20"/>
                <w:color w:val="auto"/>
              </w:rPr>
            </w:pPr>
            <w:r>
              <w:rPr>
                <w:rFonts w:ascii="Arial" w:cs="Arial" w:eastAsia="Arial" w:hAnsi="Arial"/>
                <w:sz w:val="11"/>
                <w:szCs w:val="11"/>
                <w:color w:val="auto"/>
                <w:w w:val="81"/>
              </w:rPr>
              <w:t>X</w:t>
            </w:r>
          </w:p>
        </w:tc>
      </w:tr>
      <w:tr>
        <w:trPr>
          <w:trHeight w:val="318"/>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ind w:left="1680"/>
              <w:spacing w:after="0"/>
              <w:rPr>
                <w:sz w:val="20"/>
                <w:szCs w:val="20"/>
                <w:color w:val="auto"/>
              </w:rPr>
            </w:pPr>
            <w:r>
              <w:rPr>
                <w:rFonts w:ascii="Arial" w:cs="Arial" w:eastAsia="Arial" w:hAnsi="Arial"/>
                <w:sz w:val="11"/>
                <w:szCs w:val="11"/>
                <w:color w:val="auto"/>
                <w:w w:val="81"/>
              </w:rPr>
              <w:t>X</w:t>
            </w:r>
          </w:p>
        </w:tc>
      </w:tr>
      <w:tr>
        <w:trPr>
          <w:trHeight w:val="467"/>
        </w:trPr>
        <w:tc>
          <w:tcPr>
            <w:tcW w:w="840" w:type="dxa"/>
            <w:vAlign w:val="bottom"/>
          </w:tcPr>
          <w:p>
            <w:pPr>
              <w:jc w:val="center"/>
              <w:ind w:right="383"/>
              <w:spacing w:after="0"/>
              <w:rPr>
                <w:sz w:val="20"/>
                <w:szCs w:val="20"/>
                <w:color w:val="auto"/>
              </w:rPr>
            </w:pPr>
            <w:r>
              <w:rPr>
                <w:rFonts w:ascii="Arial" w:cs="Arial" w:eastAsia="Arial" w:hAnsi="Arial"/>
                <w:sz w:val="11"/>
                <w:szCs w:val="11"/>
                <w:color w:val="auto"/>
              </w:rPr>
              <w:t>10-K</w:t>
            </w:r>
          </w:p>
        </w:tc>
        <w:tc>
          <w:tcPr>
            <w:tcW w:w="1460" w:type="dxa"/>
            <w:vAlign w:val="bottom"/>
          </w:tcPr>
          <w:p>
            <w:pPr>
              <w:jc w:val="right"/>
              <w:ind w:right="403"/>
              <w:spacing w:after="0"/>
              <w:rPr>
                <w:sz w:val="20"/>
                <w:szCs w:val="20"/>
                <w:color w:val="auto"/>
              </w:rPr>
            </w:pPr>
            <w:r>
              <w:rPr>
                <w:rFonts w:ascii="Arial" w:cs="Arial" w:eastAsia="Arial" w:hAnsi="Arial"/>
                <w:sz w:val="11"/>
                <w:szCs w:val="11"/>
                <w:color w:val="auto"/>
              </w:rPr>
              <w:t>001-35480</w:t>
            </w:r>
          </w:p>
        </w:tc>
        <w:tc>
          <w:tcPr>
            <w:tcW w:w="1160" w:type="dxa"/>
            <w:vAlign w:val="bottom"/>
          </w:tcPr>
          <w:p>
            <w:pPr>
              <w:jc w:val="center"/>
              <w:ind w:left="83"/>
              <w:spacing w:after="0"/>
              <w:rPr>
                <w:sz w:val="20"/>
                <w:szCs w:val="20"/>
                <w:color w:val="auto"/>
              </w:rPr>
            </w:pPr>
            <w:r>
              <w:rPr>
                <w:rFonts w:ascii="Arial" w:cs="Arial" w:eastAsia="Arial" w:hAnsi="Arial"/>
                <w:sz w:val="11"/>
                <w:szCs w:val="11"/>
                <w:color w:val="auto"/>
              </w:rPr>
              <w:t>10.45</w:t>
            </w:r>
          </w:p>
        </w:tc>
        <w:tc>
          <w:tcPr>
            <w:tcW w:w="1760" w:type="dxa"/>
            <w:vAlign w:val="bottom"/>
          </w:tcPr>
          <w:p>
            <w:pPr>
              <w:jc w:val="center"/>
              <w:ind w:right="483"/>
              <w:spacing w:after="0"/>
              <w:rPr>
                <w:sz w:val="20"/>
                <w:szCs w:val="20"/>
                <w:color w:val="auto"/>
              </w:rPr>
            </w:pPr>
            <w:r>
              <w:rPr>
                <w:rFonts w:ascii="Arial" w:cs="Arial" w:eastAsia="Arial" w:hAnsi="Arial"/>
                <w:sz w:val="11"/>
                <w:szCs w:val="11"/>
                <w:color w:val="auto"/>
              </w:rPr>
              <w:t>3/15/2019</w:t>
            </w:r>
          </w:p>
        </w:tc>
      </w:tr>
      <w:tr>
        <w:trPr>
          <w:trHeight w:val="467"/>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ind w:left="1680"/>
              <w:spacing w:after="0"/>
              <w:rPr>
                <w:sz w:val="20"/>
                <w:szCs w:val="20"/>
                <w:color w:val="auto"/>
              </w:rPr>
            </w:pPr>
            <w:r>
              <w:rPr>
                <w:rFonts w:ascii="Arial" w:cs="Arial" w:eastAsia="Arial" w:hAnsi="Arial"/>
                <w:sz w:val="11"/>
                <w:szCs w:val="11"/>
                <w:color w:val="auto"/>
                <w:w w:val="8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-3081020</wp:posOffset>
            </wp:positionV>
            <wp:extent cx="7134860" cy="296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-2487930</wp:posOffset>
            </wp:positionV>
            <wp:extent cx="7134860" cy="2159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-1976120</wp:posOffset>
            </wp:positionV>
            <wp:extent cx="7134860" cy="296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-1383030</wp:posOffset>
            </wp:positionV>
            <wp:extent cx="713486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7134860" cy="18859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-897890</wp:posOffset>
            </wp:positionV>
            <wp:extent cx="7134860" cy="1079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-494030</wp:posOffset>
            </wp:positionV>
            <wp:extent cx="7134860" cy="296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7134860" cy="29654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495935</wp:posOffset>
            </wp:positionV>
            <wp:extent cx="695960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5160" w:space="420"/>
            <w:col w:w="5660"/>
          </w:cols>
          <w:pgMar w:left="300" w:top="25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8"/>
          <w:szCs w:val="8"/>
          <w:color w:val="828282"/>
        </w:rPr>
        <w:t>Enphase Energy, Inc. | 2020 Form 10-K |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250" w:right="359" w:bottom="1440" w:gutter="0" w:footer="0" w:header="0"/>
          <w:type w:val="continuous"/>
        </w:sectPr>
      </w:pPr>
    </w:p>
    <w:bookmarkStart w:id="133" w:name="page134"/>
    <w:bookmarkEnd w:id="133"/>
    <w:p>
      <w:pPr>
        <w:spacing w:after="0"/>
        <w:rPr>
          <w:rFonts w:ascii="Arial" w:cs="Arial" w:eastAsia="Arial" w:hAnsi="Arial"/>
          <w:sz w:val="13"/>
          <w:szCs w:val="13"/>
          <w:i w:val="1"/>
          <w:iCs w:val="1"/>
          <w:color w:val="0000FF"/>
        </w:rPr>
      </w:pPr>
      <w:hyperlink w:anchor="page2">
        <w:r>
          <w:rPr>
            <w:rFonts w:ascii="Arial" w:cs="Arial" w:eastAsia="Arial" w:hAnsi="Arial"/>
            <w:sz w:val="13"/>
            <w:szCs w:val="13"/>
            <w:i w:val="1"/>
            <w:iCs w:val="1"/>
            <w:color w:val="0000FF"/>
          </w:rPr>
          <w:t>Table of Contents</w:t>
        </w:r>
      </w:hyperlink>
    </w:p>
    <w:p>
      <w:pPr>
        <w:sectPr>
          <w:pgSz w:w="11900" w:h="16838" w:orient="portrait"/>
          <w:cols w:equalWidth="0" w:num="1">
            <w:col w:w="11240"/>
          </w:cols>
          <w:pgMar w:left="300" w:top="25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Exhibit Number</w:t>
      </w:r>
    </w:p>
    <w:p>
      <w:pPr>
        <w:spacing w:after="0" w:line="204" w:lineRule="exact"/>
        <w:rPr>
          <w:sz w:val="20"/>
          <w:szCs w:val="20"/>
          <w:color w:val="auto"/>
        </w:rPr>
      </w:pPr>
    </w:p>
    <w:p>
      <w:pPr>
        <w:ind w:left="360"/>
        <w:spacing w:after="0"/>
        <w:rPr>
          <w:rFonts w:ascii="Arial" w:cs="Arial" w:eastAsia="Arial" w:hAnsi="Arial"/>
          <w:sz w:val="11"/>
          <w:szCs w:val="11"/>
          <w:color w:val="0000FF"/>
        </w:rPr>
      </w:pPr>
      <w:hyperlink w:anchor="page202">
        <w:r>
          <w:rPr>
            <w:rFonts w:ascii="Arial" w:cs="Arial" w:eastAsia="Arial" w:hAnsi="Arial"/>
            <w:sz w:val="11"/>
            <w:szCs w:val="11"/>
            <w:color w:val="0000FF"/>
          </w:rPr>
          <w:t>10.27</w:t>
        </w:r>
      </w:hyperlink>
    </w:p>
    <w:p>
      <w:pPr>
        <w:spacing w:after="0" w:line="277" w:lineRule="exact"/>
        <w:rPr>
          <w:sz w:val="20"/>
          <w:szCs w:val="20"/>
          <w:color w:val="auto"/>
        </w:rPr>
      </w:pPr>
    </w:p>
    <w:p>
      <w:pPr>
        <w:ind w:left="360"/>
        <w:spacing w:after="0"/>
        <w:rPr>
          <w:rFonts w:ascii="Arial" w:cs="Arial" w:eastAsia="Arial" w:hAnsi="Arial"/>
          <w:sz w:val="11"/>
          <w:szCs w:val="11"/>
          <w:color w:val="0000FF"/>
        </w:rPr>
      </w:pPr>
      <w:hyperlink r:id="rId364">
        <w:r>
          <w:rPr>
            <w:rFonts w:ascii="Arial" w:cs="Arial" w:eastAsia="Arial" w:hAnsi="Arial"/>
            <w:sz w:val="11"/>
            <w:szCs w:val="11"/>
            <w:color w:val="0000FF"/>
          </w:rPr>
          <w:t>10.28</w:t>
        </w:r>
      </w:hyperlink>
    </w:p>
    <w:p>
      <w:pPr>
        <w:spacing w:after="0" w:line="213" w:lineRule="exact"/>
        <w:rPr>
          <w:sz w:val="20"/>
          <w:szCs w:val="20"/>
          <w:color w:val="auto"/>
        </w:rPr>
      </w:pPr>
    </w:p>
    <w:p>
      <w:pPr>
        <w:ind w:left="360"/>
        <w:spacing w:after="0"/>
        <w:rPr>
          <w:rFonts w:ascii="Arial" w:cs="Arial" w:eastAsia="Arial" w:hAnsi="Arial"/>
          <w:sz w:val="11"/>
          <w:szCs w:val="11"/>
          <w:color w:val="0000FF"/>
        </w:rPr>
      </w:pPr>
      <w:hyperlink r:id="rId365">
        <w:r>
          <w:rPr>
            <w:rFonts w:ascii="Arial" w:cs="Arial" w:eastAsia="Arial" w:hAnsi="Arial"/>
            <w:sz w:val="11"/>
            <w:szCs w:val="11"/>
            <w:color w:val="0000FF"/>
          </w:rPr>
          <w:t>10.29</w:t>
        </w:r>
      </w:hyperlink>
    </w:p>
    <w:p>
      <w:pPr>
        <w:spacing w:after="0" w:line="213" w:lineRule="exact"/>
        <w:rPr>
          <w:sz w:val="20"/>
          <w:szCs w:val="20"/>
          <w:color w:val="auto"/>
        </w:rPr>
      </w:pPr>
    </w:p>
    <w:p>
      <w:pPr>
        <w:ind w:left="360"/>
        <w:spacing w:after="0"/>
        <w:rPr>
          <w:rFonts w:ascii="Arial" w:cs="Arial" w:eastAsia="Arial" w:hAnsi="Arial"/>
          <w:sz w:val="11"/>
          <w:szCs w:val="11"/>
          <w:color w:val="0000FF"/>
        </w:rPr>
      </w:pPr>
      <w:hyperlink r:id="rId366">
        <w:r>
          <w:rPr>
            <w:rFonts w:ascii="Arial" w:cs="Arial" w:eastAsia="Arial" w:hAnsi="Arial"/>
            <w:sz w:val="11"/>
            <w:szCs w:val="11"/>
            <w:color w:val="0000FF"/>
          </w:rPr>
          <w:t>10.30</w:t>
        </w:r>
      </w:hyperlink>
    </w:p>
    <w:p>
      <w:pPr>
        <w:spacing w:after="0" w:line="213" w:lineRule="exact"/>
        <w:rPr>
          <w:sz w:val="20"/>
          <w:szCs w:val="20"/>
          <w:color w:val="auto"/>
        </w:rPr>
      </w:pPr>
    </w:p>
    <w:p>
      <w:pPr>
        <w:ind w:left="360"/>
        <w:spacing w:after="0"/>
        <w:rPr>
          <w:rFonts w:ascii="Arial" w:cs="Arial" w:eastAsia="Arial" w:hAnsi="Arial"/>
          <w:sz w:val="11"/>
          <w:szCs w:val="11"/>
          <w:color w:val="0000FF"/>
        </w:rPr>
      </w:pPr>
      <w:hyperlink r:id="rId367">
        <w:r>
          <w:rPr>
            <w:rFonts w:ascii="Arial" w:cs="Arial" w:eastAsia="Arial" w:hAnsi="Arial"/>
            <w:sz w:val="11"/>
            <w:szCs w:val="11"/>
            <w:color w:val="0000FF"/>
          </w:rPr>
          <w:t>10.31</w:t>
        </w:r>
      </w:hyperlink>
    </w:p>
    <w:p>
      <w:pPr>
        <w:spacing w:after="0" w:line="213" w:lineRule="exact"/>
        <w:rPr>
          <w:sz w:val="20"/>
          <w:szCs w:val="20"/>
          <w:color w:val="auto"/>
        </w:rPr>
      </w:pPr>
    </w:p>
    <w:p>
      <w:pPr>
        <w:ind w:left="360"/>
        <w:spacing w:after="0"/>
        <w:rPr>
          <w:rFonts w:ascii="Arial" w:cs="Arial" w:eastAsia="Arial" w:hAnsi="Arial"/>
          <w:sz w:val="11"/>
          <w:szCs w:val="11"/>
          <w:color w:val="0000FF"/>
        </w:rPr>
      </w:pPr>
      <w:hyperlink r:id="rId368">
        <w:r>
          <w:rPr>
            <w:rFonts w:ascii="Arial" w:cs="Arial" w:eastAsia="Arial" w:hAnsi="Arial"/>
            <w:sz w:val="11"/>
            <w:szCs w:val="11"/>
            <w:color w:val="0000FF"/>
          </w:rPr>
          <w:t>10.32</w:t>
        </w:r>
      </w:hyperlink>
    </w:p>
    <w:p>
      <w:pPr>
        <w:spacing w:after="0" w:line="212" w:lineRule="exact"/>
        <w:rPr>
          <w:sz w:val="20"/>
          <w:szCs w:val="20"/>
          <w:color w:val="auto"/>
        </w:rPr>
      </w:pPr>
    </w:p>
    <w:p>
      <w:pPr>
        <w:ind w:left="340"/>
        <w:spacing w:after="0"/>
        <w:rPr>
          <w:rFonts w:ascii="Arial" w:cs="Arial" w:eastAsia="Arial" w:hAnsi="Arial"/>
          <w:sz w:val="11"/>
          <w:szCs w:val="11"/>
          <w:color w:val="0000FF"/>
        </w:rPr>
      </w:pPr>
      <w:hyperlink w:anchor="page204">
        <w:r>
          <w:rPr>
            <w:rFonts w:ascii="Arial" w:cs="Arial" w:eastAsia="Arial" w:hAnsi="Arial"/>
            <w:sz w:val="11"/>
            <w:szCs w:val="11"/>
            <w:color w:val="0000FF"/>
          </w:rPr>
          <w:t>10.33</w:t>
        </w:r>
      </w:hyperlink>
      <w:r>
        <w:rPr>
          <w:rFonts w:ascii="Arial" w:cs="Arial" w:eastAsia="Arial" w:hAnsi="Arial"/>
          <w:sz w:val="14"/>
          <w:szCs w:val="14"/>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141" w:lineRule="exact"/>
        <w:rPr>
          <w:sz w:val="20"/>
          <w:szCs w:val="20"/>
          <w:color w:val="auto"/>
        </w:rPr>
      </w:pPr>
    </w:p>
    <w:p>
      <w:pPr>
        <w:ind w:right="200"/>
        <w:spacing w:after="0" w:line="290" w:lineRule="auto"/>
        <w:rPr>
          <w:rFonts w:ascii="Arial" w:cs="Arial" w:eastAsia="Arial" w:hAnsi="Arial"/>
          <w:sz w:val="11"/>
          <w:szCs w:val="11"/>
          <w:color w:val="0000FF"/>
        </w:rPr>
      </w:pPr>
      <w:hyperlink w:anchor="page202">
        <w:r>
          <w:rPr>
            <w:rFonts w:ascii="Arial" w:cs="Arial" w:eastAsia="Arial" w:hAnsi="Arial"/>
            <w:sz w:val="11"/>
            <w:szCs w:val="11"/>
            <w:color w:val="0000FF"/>
          </w:rPr>
          <w:t>Bayside Parkway Lease by and between Enphase Energy, Inc. and Dollinger</w:t>
        </w:r>
      </w:hyperlink>
      <w:r>
        <w:rPr>
          <w:rFonts w:ascii="Arial" w:cs="Arial" w:eastAsia="Arial" w:hAnsi="Arial"/>
          <w:sz w:val="11"/>
          <w:szCs w:val="11"/>
          <w:color w:val="0000FF"/>
        </w:rPr>
        <w:t xml:space="preserve"> </w:t>
      </w:r>
      <w:hyperlink w:anchor="page202">
        <w:r>
          <w:rPr>
            <w:rFonts w:ascii="Arial" w:cs="Arial" w:eastAsia="Arial" w:hAnsi="Arial"/>
            <w:sz w:val="11"/>
            <w:szCs w:val="11"/>
            <w:color w:val="0000FF"/>
          </w:rPr>
          <w:t>Bayside Associates, amendment dated May 9, 2020.</w:t>
        </w:r>
      </w:hyperlink>
    </w:p>
    <w:p>
      <w:pPr>
        <w:spacing w:after="0" w:line="161" w:lineRule="exact"/>
        <w:rPr>
          <w:sz w:val="20"/>
          <w:szCs w:val="20"/>
          <w:color w:val="auto"/>
        </w:rPr>
      </w:pPr>
    </w:p>
    <w:p>
      <w:pPr>
        <w:spacing w:after="0"/>
        <w:rPr>
          <w:rFonts w:ascii="Arial" w:cs="Arial" w:eastAsia="Arial" w:hAnsi="Arial"/>
          <w:sz w:val="11"/>
          <w:szCs w:val="11"/>
          <w:color w:val="0000FF"/>
        </w:rPr>
      </w:pPr>
      <w:hyperlink r:id="rId364">
        <w:r>
          <w:rPr>
            <w:rFonts w:ascii="Arial" w:cs="Arial" w:eastAsia="Arial" w:hAnsi="Arial"/>
            <w:sz w:val="11"/>
            <w:szCs w:val="11"/>
            <w:color w:val="0000FF"/>
          </w:rPr>
          <w:t>Form of Convertible Note Hedge Transaction Confirmation (2019).</w:t>
        </w:r>
      </w:hyperlink>
    </w:p>
    <w:p>
      <w:pPr>
        <w:spacing w:after="0" w:line="213" w:lineRule="exact"/>
        <w:rPr>
          <w:sz w:val="20"/>
          <w:szCs w:val="20"/>
          <w:color w:val="auto"/>
        </w:rPr>
      </w:pPr>
    </w:p>
    <w:p>
      <w:pPr>
        <w:spacing w:after="0"/>
        <w:rPr>
          <w:rFonts w:ascii="Arial" w:cs="Arial" w:eastAsia="Arial" w:hAnsi="Arial"/>
          <w:sz w:val="11"/>
          <w:szCs w:val="11"/>
          <w:color w:val="0000FF"/>
        </w:rPr>
      </w:pPr>
      <w:hyperlink r:id="rId365">
        <w:r>
          <w:rPr>
            <w:rFonts w:ascii="Arial" w:cs="Arial" w:eastAsia="Arial" w:hAnsi="Arial"/>
            <w:sz w:val="11"/>
            <w:szCs w:val="11"/>
            <w:color w:val="0000FF"/>
          </w:rPr>
          <w:t>Form of Warrant Confirmation (2019).</w:t>
        </w:r>
      </w:hyperlink>
    </w:p>
    <w:p>
      <w:pPr>
        <w:spacing w:after="0" w:line="213" w:lineRule="exact"/>
        <w:rPr>
          <w:sz w:val="20"/>
          <w:szCs w:val="20"/>
          <w:color w:val="auto"/>
        </w:rPr>
      </w:pPr>
    </w:p>
    <w:p>
      <w:pPr>
        <w:spacing w:after="0"/>
        <w:rPr>
          <w:rFonts w:ascii="Arial" w:cs="Arial" w:eastAsia="Arial" w:hAnsi="Arial"/>
          <w:sz w:val="11"/>
          <w:szCs w:val="11"/>
          <w:color w:val="0000FF"/>
        </w:rPr>
      </w:pPr>
      <w:hyperlink r:id="rId366">
        <w:r>
          <w:rPr>
            <w:rFonts w:ascii="Arial" w:cs="Arial" w:eastAsia="Arial" w:hAnsi="Arial"/>
            <w:sz w:val="11"/>
            <w:szCs w:val="11"/>
            <w:color w:val="0000FF"/>
          </w:rPr>
          <w:t>Form of Convertible Note Hedge Transaction Confirmation (2020).</w:t>
        </w:r>
      </w:hyperlink>
    </w:p>
    <w:p>
      <w:pPr>
        <w:spacing w:after="0" w:line="213" w:lineRule="exact"/>
        <w:rPr>
          <w:sz w:val="20"/>
          <w:szCs w:val="20"/>
          <w:color w:val="auto"/>
        </w:rPr>
      </w:pPr>
    </w:p>
    <w:p>
      <w:pPr>
        <w:spacing w:after="0"/>
        <w:rPr>
          <w:rFonts w:ascii="Arial" w:cs="Arial" w:eastAsia="Arial" w:hAnsi="Arial"/>
          <w:sz w:val="11"/>
          <w:szCs w:val="11"/>
          <w:color w:val="0000FF"/>
        </w:rPr>
      </w:pPr>
      <w:hyperlink r:id="rId367">
        <w:r>
          <w:rPr>
            <w:rFonts w:ascii="Arial" w:cs="Arial" w:eastAsia="Arial" w:hAnsi="Arial"/>
            <w:sz w:val="11"/>
            <w:szCs w:val="11"/>
            <w:color w:val="0000FF"/>
          </w:rPr>
          <w:t>Form of Warrant Confirmation (2020).</w:t>
        </w:r>
      </w:hyperlink>
    </w:p>
    <w:p>
      <w:pPr>
        <w:spacing w:after="0" w:line="149" w:lineRule="exact"/>
        <w:rPr>
          <w:sz w:val="20"/>
          <w:szCs w:val="20"/>
          <w:color w:val="auto"/>
        </w:rPr>
      </w:pPr>
    </w:p>
    <w:p>
      <w:pPr>
        <w:ind w:right="160"/>
        <w:spacing w:after="0" w:line="290" w:lineRule="auto"/>
        <w:rPr>
          <w:rFonts w:ascii="Arial" w:cs="Arial" w:eastAsia="Arial" w:hAnsi="Arial"/>
          <w:sz w:val="11"/>
          <w:szCs w:val="11"/>
          <w:color w:val="0000FF"/>
        </w:rPr>
      </w:pPr>
      <w:hyperlink r:id="rId368">
        <w:r>
          <w:rPr>
            <w:rFonts w:ascii="Arial" w:cs="Arial" w:eastAsia="Arial" w:hAnsi="Arial"/>
            <w:sz w:val="11"/>
            <w:szCs w:val="11"/>
            <w:color w:val="0000FF"/>
          </w:rPr>
          <w:t>Purchase Agreement, dated March 4, 2020 by and among the Registrant and</w:t>
        </w:r>
      </w:hyperlink>
      <w:r>
        <w:rPr>
          <w:rFonts w:ascii="Arial" w:cs="Arial" w:eastAsia="Arial" w:hAnsi="Arial"/>
          <w:sz w:val="11"/>
          <w:szCs w:val="11"/>
          <w:color w:val="0000FF"/>
        </w:rPr>
        <w:t xml:space="preserve"> </w:t>
      </w:r>
      <w:hyperlink r:id="rId368">
        <w:r>
          <w:rPr>
            <w:rFonts w:ascii="Arial" w:cs="Arial" w:eastAsia="Arial" w:hAnsi="Arial"/>
            <w:sz w:val="11"/>
            <w:szCs w:val="11"/>
            <w:color w:val="0000FF"/>
          </w:rPr>
          <w:t>Barclays Capital Inc.</w:t>
        </w:r>
      </w:hyperlink>
    </w:p>
    <w:p>
      <w:pPr>
        <w:spacing w:after="0" w:line="34" w:lineRule="exact"/>
        <w:rPr>
          <w:sz w:val="20"/>
          <w:szCs w:val="20"/>
          <w:color w:val="auto"/>
        </w:rPr>
      </w:pPr>
    </w:p>
    <w:p>
      <w:pPr>
        <w:spacing w:after="0" w:line="290" w:lineRule="auto"/>
        <w:rPr>
          <w:rFonts w:ascii="Arial" w:cs="Arial" w:eastAsia="Arial" w:hAnsi="Arial"/>
          <w:sz w:val="11"/>
          <w:szCs w:val="11"/>
          <w:color w:val="0000FF"/>
        </w:rPr>
      </w:pPr>
      <w:hyperlink w:anchor="page204">
        <w:r>
          <w:rPr>
            <w:rFonts w:ascii="Arial" w:cs="Arial" w:eastAsia="Arial" w:hAnsi="Arial"/>
            <w:sz w:val="11"/>
            <w:szCs w:val="11"/>
            <w:color w:val="0000FF"/>
          </w:rPr>
          <w:t>Form of Exchange agreement by and between Enphase Energy, Inc. and Linden</w:t>
        </w:r>
      </w:hyperlink>
      <w:r>
        <w:rPr>
          <w:rFonts w:ascii="Arial" w:cs="Arial" w:eastAsia="Arial" w:hAnsi="Arial"/>
          <w:sz w:val="11"/>
          <w:szCs w:val="11"/>
          <w:color w:val="0000FF"/>
        </w:rPr>
        <w:t xml:space="preserve"> </w:t>
      </w:r>
      <w:hyperlink w:anchor="page204">
        <w:r>
          <w:rPr>
            <w:rFonts w:ascii="Arial" w:cs="Arial" w:eastAsia="Arial" w:hAnsi="Arial"/>
            <w:sz w:val="11"/>
            <w:szCs w:val="11"/>
            <w:color w:val="0000FF"/>
          </w:rPr>
          <w:t>Advisors LP dated December 14, 2020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0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Form</w:t>
            </w: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Incorporation by Reference</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060" w:type="dxa"/>
            <w:vAlign w:val="bottom"/>
            <w:gridSpan w:val="2"/>
            <w:vMerge w:val="continue"/>
          </w:tcPr>
          <w:p>
            <w:pPr>
              <w:spacing w:after="0"/>
              <w:rPr>
                <w:sz w:val="12"/>
                <w:szCs w:val="12"/>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SEC File No.</w:t>
            </w: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Exhibit</w:t>
            </w:r>
          </w:p>
        </w:tc>
        <w:tc>
          <w:tcPr>
            <w:tcW w:w="11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Filing Date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302"/>
        </w:trPr>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403"/>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6/5/2019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3/9/2020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3/9/2020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60" w:type="dxa"/>
            <w:vAlign w:val="bottom"/>
            <w:gridSpan w:val="2"/>
          </w:tcPr>
          <w:p>
            <w:pPr>
              <w:jc w:val="center"/>
              <w:ind w:right="80"/>
              <w:spacing w:after="0"/>
              <w:rPr>
                <w:sz w:val="20"/>
                <w:szCs w:val="20"/>
                <w:color w:val="auto"/>
              </w:rPr>
            </w:pPr>
            <w:r>
              <w:rPr>
                <w:rFonts w:ascii="Arial" w:cs="Arial" w:eastAsia="Arial" w:hAnsi="Arial"/>
                <w:sz w:val="11"/>
                <w:szCs w:val="11"/>
                <w:color w:val="auto"/>
              </w:rPr>
              <w:t>8-K</w:t>
            </w:r>
          </w:p>
        </w:tc>
        <w:tc>
          <w:tcPr>
            <w:tcW w:w="160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rPr>
              <w:t>3/9/2020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-1019175</wp:posOffset>
            </wp:positionV>
            <wp:extent cx="7134860" cy="2159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-588010</wp:posOffset>
            </wp:positionV>
            <wp:extent cx="7134860" cy="2159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-156845</wp:posOffset>
            </wp:positionV>
            <wp:extent cx="7134860" cy="2159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-1537970</wp:posOffset>
            </wp:positionV>
            <wp:extent cx="7134860" cy="3028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3">
            <w:col w:w="920" w:space="200"/>
            <w:col w:w="4020" w:space="140"/>
            <w:col w:w="5960"/>
          </w:cols>
          <w:pgMar w:left="300" w:top="250" w:right="359" w:bottom="1440" w:gutter="0" w:footer="0" w:header="0"/>
          <w:type w:val="continuous"/>
        </w:sectPr>
      </w:pPr>
    </w:p>
    <w:tbl>
      <w:tblPr>
        <w:tblLayout w:type="fixed"/>
        <w:tblInd w:w="280" w:type="dxa"/>
        <w:tblCellMar>
          <w:top w:w="0" w:type="dxa"/>
          <w:left w:w="0" w:type="dxa"/>
          <w:bottom w:w="0" w:type="dxa"/>
          <w:right w:w="0" w:type="dxa"/>
        </w:tblCellMar>
      </w:tblPr>
      <w:tr>
        <w:trPr>
          <w:trHeight w:val="127"/>
        </w:trPr>
        <w:tc>
          <w:tcPr>
            <w:tcW w:w="640" w:type="dxa"/>
            <w:vAlign w:val="bottom"/>
          </w:tcPr>
          <w:p>
            <w:pPr>
              <w:spacing w:after="0"/>
              <w:rPr>
                <w:sz w:val="11"/>
                <w:szCs w:val="11"/>
                <w:color w:val="auto"/>
              </w:rPr>
            </w:pPr>
          </w:p>
        </w:tc>
        <w:tc>
          <w:tcPr>
            <w:tcW w:w="4260" w:type="dxa"/>
            <w:vAlign w:val="bottom"/>
          </w:tcPr>
          <w:p>
            <w:pPr>
              <w:ind w:left="200"/>
              <w:spacing w:after="0"/>
              <w:rPr>
                <w:rFonts w:ascii="Arial" w:cs="Arial" w:eastAsia="Arial" w:hAnsi="Arial"/>
                <w:sz w:val="11"/>
                <w:szCs w:val="11"/>
                <w:color w:val="0000FF"/>
              </w:rPr>
            </w:pPr>
            <w:hyperlink w:anchor="page224">
              <w:r>
                <w:rPr>
                  <w:rFonts w:ascii="Arial" w:cs="Arial" w:eastAsia="Arial" w:hAnsi="Arial"/>
                  <w:sz w:val="11"/>
                  <w:szCs w:val="11"/>
                  <w:color w:val="0000FF"/>
                </w:rPr>
                <w:t>Partial unwind agreement with respect to the Base Call Option Confirmation,</w:t>
              </w:r>
            </w:hyperlink>
          </w:p>
        </w:tc>
        <w:tc>
          <w:tcPr>
            <w:tcW w:w="0" w:type="dxa"/>
            <w:vAlign w:val="bottom"/>
          </w:tcPr>
          <w:p>
            <w:pPr>
              <w:spacing w:after="0"/>
              <w:rPr>
                <w:sz w:val="1"/>
                <w:szCs w:val="1"/>
                <w:color w:val="auto"/>
              </w:rPr>
            </w:pPr>
          </w:p>
        </w:tc>
      </w:tr>
      <w:tr>
        <w:trPr>
          <w:trHeight w:val="127"/>
        </w:trPr>
        <w:tc>
          <w:tcPr>
            <w:tcW w:w="640" w:type="dxa"/>
            <w:vAlign w:val="bottom"/>
          </w:tcPr>
          <w:p>
            <w:pPr>
              <w:jc w:val="center"/>
              <w:ind w:right="143"/>
              <w:spacing w:after="0"/>
              <w:rPr>
                <w:rFonts w:ascii="Arial" w:cs="Arial" w:eastAsia="Arial" w:hAnsi="Arial"/>
                <w:sz w:val="11"/>
                <w:szCs w:val="11"/>
                <w:color w:val="0000FF"/>
              </w:rPr>
            </w:pPr>
            <w:hyperlink w:anchor="page224">
              <w:r>
                <w:rPr>
                  <w:rFonts w:ascii="Arial" w:cs="Arial" w:eastAsia="Arial" w:hAnsi="Arial"/>
                  <w:sz w:val="11"/>
                  <w:szCs w:val="11"/>
                  <w:color w:val="0000FF"/>
                </w:rPr>
                <w:t>10.34</w:t>
              </w:r>
            </w:hyperlink>
          </w:p>
        </w:tc>
        <w:tc>
          <w:tcPr>
            <w:tcW w:w="4260" w:type="dxa"/>
            <w:vAlign w:val="bottom"/>
          </w:tcPr>
          <w:p>
            <w:pPr>
              <w:ind w:left="200"/>
              <w:spacing w:after="0"/>
              <w:rPr>
                <w:rFonts w:ascii="Arial" w:cs="Arial" w:eastAsia="Arial" w:hAnsi="Arial"/>
                <w:sz w:val="11"/>
                <w:szCs w:val="11"/>
                <w:color w:val="0000FF"/>
              </w:rPr>
            </w:pPr>
            <w:hyperlink w:anchor="page224">
              <w:r>
                <w:rPr>
                  <w:rFonts w:ascii="Arial" w:cs="Arial" w:eastAsia="Arial" w:hAnsi="Arial"/>
                  <w:sz w:val="11"/>
                  <w:szCs w:val="11"/>
                  <w:color w:val="0000FF"/>
                </w:rPr>
                <w:t>dated December 14, 2020 between Enphase Energy, Inc. and Barclays Bank</w:t>
              </w:r>
            </w:hyperlink>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4260" w:type="dxa"/>
            <w:vAlign w:val="bottom"/>
          </w:tcPr>
          <w:p>
            <w:pPr>
              <w:ind w:left="200"/>
              <w:spacing w:after="0"/>
              <w:rPr>
                <w:rFonts w:ascii="Arial" w:cs="Arial" w:eastAsia="Arial" w:hAnsi="Arial"/>
                <w:sz w:val="11"/>
                <w:szCs w:val="11"/>
                <w:color w:val="0000FF"/>
              </w:rPr>
            </w:pPr>
            <w:hyperlink w:anchor="page224">
              <w:r>
                <w:rPr>
                  <w:rFonts w:ascii="Arial" w:cs="Arial" w:eastAsia="Arial" w:hAnsi="Arial"/>
                  <w:sz w:val="11"/>
                  <w:szCs w:val="11"/>
                  <w:color w:val="0000FF"/>
                </w:rPr>
                <w:t>PLC.</w:t>
              </w:r>
            </w:hyperlink>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4260" w:type="dxa"/>
            <w:vAlign w:val="bottom"/>
          </w:tcPr>
          <w:p>
            <w:pPr>
              <w:ind w:left="200"/>
              <w:spacing w:after="0"/>
              <w:rPr>
                <w:rFonts w:ascii="Arial" w:cs="Arial" w:eastAsia="Arial" w:hAnsi="Arial"/>
                <w:sz w:val="11"/>
                <w:szCs w:val="11"/>
                <w:color w:val="0000FF"/>
              </w:rPr>
            </w:pPr>
            <w:hyperlink w:anchor="page231">
              <w:r>
                <w:rPr>
                  <w:rFonts w:ascii="Arial" w:cs="Arial" w:eastAsia="Arial" w:hAnsi="Arial"/>
                  <w:sz w:val="11"/>
                  <w:szCs w:val="11"/>
                  <w:color w:val="0000FF"/>
                </w:rPr>
                <w:t>Partial unwind agreement with respect to the Base Call Option Confirmation,</w:t>
              </w:r>
            </w:hyperlink>
          </w:p>
        </w:tc>
        <w:tc>
          <w:tcPr>
            <w:tcW w:w="0" w:type="dxa"/>
            <w:vAlign w:val="bottom"/>
          </w:tcPr>
          <w:p>
            <w:pPr>
              <w:spacing w:after="0"/>
              <w:rPr>
                <w:sz w:val="1"/>
                <w:szCs w:val="1"/>
                <w:color w:val="auto"/>
              </w:rPr>
            </w:pPr>
          </w:p>
        </w:tc>
      </w:tr>
      <w:tr>
        <w:trPr>
          <w:trHeight w:val="127"/>
        </w:trPr>
        <w:tc>
          <w:tcPr>
            <w:tcW w:w="640" w:type="dxa"/>
            <w:vAlign w:val="bottom"/>
          </w:tcPr>
          <w:p>
            <w:pPr>
              <w:jc w:val="center"/>
              <w:ind w:right="143"/>
              <w:spacing w:after="0"/>
              <w:rPr>
                <w:rFonts w:ascii="Arial" w:cs="Arial" w:eastAsia="Arial" w:hAnsi="Arial"/>
                <w:sz w:val="11"/>
                <w:szCs w:val="11"/>
                <w:color w:val="0000FF"/>
              </w:rPr>
            </w:pPr>
            <w:hyperlink w:anchor="page231">
              <w:r>
                <w:rPr>
                  <w:rFonts w:ascii="Arial" w:cs="Arial" w:eastAsia="Arial" w:hAnsi="Arial"/>
                  <w:sz w:val="11"/>
                  <w:szCs w:val="11"/>
                  <w:color w:val="0000FF"/>
                </w:rPr>
                <w:t>10.35</w:t>
              </w:r>
            </w:hyperlink>
          </w:p>
        </w:tc>
        <w:tc>
          <w:tcPr>
            <w:tcW w:w="4260" w:type="dxa"/>
            <w:vAlign w:val="bottom"/>
          </w:tcPr>
          <w:p>
            <w:pPr>
              <w:ind w:left="200"/>
              <w:spacing w:after="0"/>
              <w:rPr>
                <w:rFonts w:ascii="Arial" w:cs="Arial" w:eastAsia="Arial" w:hAnsi="Arial"/>
                <w:sz w:val="11"/>
                <w:szCs w:val="11"/>
                <w:color w:val="0000FF"/>
              </w:rPr>
            </w:pPr>
            <w:hyperlink w:anchor="page231">
              <w:r>
                <w:rPr>
                  <w:rFonts w:ascii="Arial" w:cs="Arial" w:eastAsia="Arial" w:hAnsi="Arial"/>
                  <w:sz w:val="11"/>
                  <w:szCs w:val="11"/>
                  <w:color w:val="0000FF"/>
                </w:rPr>
                <w:t>dated December 14, 2020 between Enphase Energy, Inc. and Credit Suisse</w:t>
              </w:r>
            </w:hyperlink>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4260" w:type="dxa"/>
            <w:vAlign w:val="bottom"/>
          </w:tcPr>
          <w:p>
            <w:pPr>
              <w:ind w:left="200"/>
              <w:spacing w:after="0"/>
              <w:rPr>
                <w:rFonts w:ascii="Arial" w:cs="Arial" w:eastAsia="Arial" w:hAnsi="Arial"/>
                <w:sz w:val="11"/>
                <w:szCs w:val="11"/>
                <w:color w:val="0000FF"/>
              </w:rPr>
            </w:pPr>
            <w:hyperlink w:anchor="page231">
              <w:r>
                <w:rPr>
                  <w:rFonts w:ascii="Arial" w:cs="Arial" w:eastAsia="Arial" w:hAnsi="Arial"/>
                  <w:sz w:val="11"/>
                  <w:szCs w:val="11"/>
                  <w:color w:val="0000FF"/>
                </w:rPr>
                <w:t>Capital LLC.</w:t>
              </w:r>
            </w:hyperlink>
          </w:p>
        </w:tc>
        <w:tc>
          <w:tcPr>
            <w:tcW w:w="0" w:type="dxa"/>
            <w:vAlign w:val="bottom"/>
          </w:tcPr>
          <w:p>
            <w:pPr>
              <w:spacing w:after="0"/>
              <w:rPr>
                <w:sz w:val="1"/>
                <w:szCs w:val="1"/>
                <w:color w:val="auto"/>
              </w:rPr>
            </w:pPr>
          </w:p>
        </w:tc>
      </w:tr>
      <w:tr>
        <w:trPr>
          <w:trHeight w:val="166"/>
        </w:trPr>
        <w:tc>
          <w:tcPr>
            <w:tcW w:w="640" w:type="dxa"/>
            <w:vAlign w:val="bottom"/>
            <w:vMerge w:val="restart"/>
          </w:tcPr>
          <w:p>
            <w:pPr>
              <w:jc w:val="center"/>
              <w:ind w:right="143"/>
              <w:spacing w:after="0"/>
              <w:rPr>
                <w:rFonts w:ascii="Arial" w:cs="Arial" w:eastAsia="Arial" w:hAnsi="Arial"/>
                <w:sz w:val="11"/>
                <w:szCs w:val="11"/>
                <w:color w:val="0000FF"/>
              </w:rPr>
            </w:pPr>
            <w:hyperlink w:anchor="page238">
              <w:r>
                <w:rPr>
                  <w:rFonts w:ascii="Arial" w:cs="Arial" w:eastAsia="Arial" w:hAnsi="Arial"/>
                  <w:sz w:val="11"/>
                  <w:szCs w:val="11"/>
                  <w:color w:val="0000FF"/>
                </w:rPr>
                <w:t>10.36</w:t>
              </w:r>
            </w:hyperlink>
          </w:p>
        </w:tc>
        <w:tc>
          <w:tcPr>
            <w:tcW w:w="4260" w:type="dxa"/>
            <w:vAlign w:val="bottom"/>
          </w:tcPr>
          <w:p>
            <w:pPr>
              <w:ind w:left="200"/>
              <w:spacing w:after="0"/>
              <w:rPr>
                <w:rFonts w:ascii="Arial" w:cs="Arial" w:eastAsia="Arial" w:hAnsi="Arial"/>
                <w:sz w:val="11"/>
                <w:szCs w:val="11"/>
                <w:color w:val="0000FF"/>
              </w:rPr>
            </w:pPr>
            <w:hyperlink w:anchor="page238">
              <w:r>
                <w:rPr>
                  <w:rFonts w:ascii="Arial" w:cs="Arial" w:eastAsia="Arial" w:hAnsi="Arial"/>
                  <w:sz w:val="11"/>
                  <w:szCs w:val="11"/>
                  <w:color w:val="0000FF"/>
                </w:rPr>
                <w:t>Partial unwind agreement with respect to the Base Warrants Confirmation, dated</w:t>
              </w:r>
            </w:hyperlink>
          </w:p>
        </w:tc>
        <w:tc>
          <w:tcPr>
            <w:tcW w:w="0" w:type="dxa"/>
            <w:vAlign w:val="bottom"/>
          </w:tcPr>
          <w:p>
            <w:pPr>
              <w:spacing w:after="0"/>
              <w:rPr>
                <w:sz w:val="1"/>
                <w:szCs w:val="1"/>
                <w:color w:val="auto"/>
              </w:rPr>
            </w:pPr>
          </w:p>
        </w:tc>
      </w:tr>
      <w:tr>
        <w:trPr>
          <w:trHeight w:val="89"/>
        </w:trPr>
        <w:tc>
          <w:tcPr>
            <w:tcW w:w="640" w:type="dxa"/>
            <w:vAlign w:val="bottom"/>
            <w:vMerge w:val="continue"/>
          </w:tcPr>
          <w:p>
            <w:pPr>
              <w:spacing w:after="0"/>
              <w:rPr>
                <w:sz w:val="7"/>
                <w:szCs w:val="7"/>
                <w:color w:val="auto"/>
              </w:rPr>
            </w:pPr>
          </w:p>
        </w:tc>
        <w:tc>
          <w:tcPr>
            <w:tcW w:w="4260" w:type="dxa"/>
            <w:vAlign w:val="bottom"/>
            <w:vMerge w:val="restart"/>
          </w:tcPr>
          <w:p>
            <w:pPr>
              <w:ind w:left="200"/>
              <w:spacing w:after="0"/>
              <w:rPr>
                <w:rFonts w:ascii="Arial" w:cs="Arial" w:eastAsia="Arial" w:hAnsi="Arial"/>
                <w:sz w:val="11"/>
                <w:szCs w:val="11"/>
                <w:color w:val="0000FF"/>
              </w:rPr>
            </w:pPr>
            <w:hyperlink w:anchor="page238">
              <w:r>
                <w:rPr>
                  <w:rFonts w:ascii="Arial" w:cs="Arial" w:eastAsia="Arial" w:hAnsi="Arial"/>
                  <w:sz w:val="11"/>
                  <w:szCs w:val="11"/>
                  <w:color w:val="0000FF"/>
                </w:rPr>
                <w:t>December 14, 2020 between Enphase Energy, Inc. and Barclays Bank PLC.</w:t>
              </w:r>
            </w:hyperlink>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640" w:type="dxa"/>
            <w:vAlign w:val="bottom"/>
          </w:tcPr>
          <w:p>
            <w:pPr>
              <w:spacing w:after="0"/>
              <w:rPr>
                <w:sz w:val="14"/>
                <w:szCs w:val="14"/>
                <w:color w:val="auto"/>
              </w:rPr>
            </w:pPr>
          </w:p>
        </w:tc>
        <w:tc>
          <w:tcPr>
            <w:tcW w:w="4260" w:type="dxa"/>
            <w:vAlign w:val="bottom"/>
          </w:tcPr>
          <w:p>
            <w:pPr>
              <w:ind w:left="200"/>
              <w:spacing w:after="0"/>
              <w:rPr>
                <w:rFonts w:ascii="Arial" w:cs="Arial" w:eastAsia="Arial" w:hAnsi="Arial"/>
                <w:sz w:val="11"/>
                <w:szCs w:val="11"/>
                <w:color w:val="0000FF"/>
              </w:rPr>
            </w:pPr>
            <w:hyperlink w:anchor="page244">
              <w:r>
                <w:rPr>
                  <w:rFonts w:ascii="Arial" w:cs="Arial" w:eastAsia="Arial" w:hAnsi="Arial"/>
                  <w:sz w:val="11"/>
                  <w:szCs w:val="11"/>
                  <w:color w:val="0000FF"/>
                </w:rPr>
                <w:t>Partial unwind agreement with respect to the Base Warrants Confirmation, dated</w:t>
              </w:r>
            </w:hyperlink>
          </w:p>
        </w:tc>
        <w:tc>
          <w:tcPr>
            <w:tcW w:w="0" w:type="dxa"/>
            <w:vAlign w:val="bottom"/>
          </w:tcPr>
          <w:p>
            <w:pPr>
              <w:spacing w:after="0"/>
              <w:rPr>
                <w:sz w:val="1"/>
                <w:szCs w:val="1"/>
                <w:color w:val="auto"/>
              </w:rPr>
            </w:pPr>
          </w:p>
        </w:tc>
      </w:tr>
      <w:tr>
        <w:trPr>
          <w:trHeight w:val="127"/>
        </w:trPr>
        <w:tc>
          <w:tcPr>
            <w:tcW w:w="640" w:type="dxa"/>
            <w:vAlign w:val="bottom"/>
          </w:tcPr>
          <w:p>
            <w:pPr>
              <w:jc w:val="center"/>
              <w:ind w:right="143"/>
              <w:spacing w:after="0"/>
              <w:rPr>
                <w:rFonts w:ascii="Arial" w:cs="Arial" w:eastAsia="Arial" w:hAnsi="Arial"/>
                <w:sz w:val="11"/>
                <w:szCs w:val="11"/>
                <w:color w:val="0000FF"/>
              </w:rPr>
            </w:pPr>
            <w:hyperlink w:anchor="page244">
              <w:r>
                <w:rPr>
                  <w:rFonts w:ascii="Arial" w:cs="Arial" w:eastAsia="Arial" w:hAnsi="Arial"/>
                  <w:sz w:val="11"/>
                  <w:szCs w:val="11"/>
                  <w:color w:val="0000FF"/>
                </w:rPr>
                <w:t>10.37</w:t>
              </w:r>
            </w:hyperlink>
          </w:p>
        </w:tc>
        <w:tc>
          <w:tcPr>
            <w:tcW w:w="4260" w:type="dxa"/>
            <w:vAlign w:val="bottom"/>
          </w:tcPr>
          <w:p>
            <w:pPr>
              <w:ind w:left="200"/>
              <w:spacing w:after="0"/>
              <w:rPr>
                <w:rFonts w:ascii="Arial" w:cs="Arial" w:eastAsia="Arial" w:hAnsi="Arial"/>
                <w:sz w:val="11"/>
                <w:szCs w:val="11"/>
                <w:color w:val="0000FF"/>
              </w:rPr>
            </w:pPr>
            <w:hyperlink w:anchor="page244">
              <w:r>
                <w:rPr>
                  <w:rFonts w:ascii="Arial" w:cs="Arial" w:eastAsia="Arial" w:hAnsi="Arial"/>
                  <w:sz w:val="11"/>
                  <w:szCs w:val="11"/>
                  <w:color w:val="0000FF"/>
                </w:rPr>
                <w:t>December 14, 2020 between Enphase Energy, Inc. and Credit Suisse Capital</w:t>
              </w:r>
            </w:hyperlink>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4260" w:type="dxa"/>
            <w:vAlign w:val="bottom"/>
          </w:tcPr>
          <w:p>
            <w:pPr>
              <w:ind w:left="200"/>
              <w:spacing w:after="0"/>
              <w:rPr>
                <w:rFonts w:ascii="Arial" w:cs="Arial" w:eastAsia="Arial" w:hAnsi="Arial"/>
                <w:sz w:val="11"/>
                <w:szCs w:val="11"/>
                <w:color w:val="0000FF"/>
              </w:rPr>
            </w:pPr>
            <w:hyperlink w:anchor="page244">
              <w:r>
                <w:rPr>
                  <w:rFonts w:ascii="Arial" w:cs="Arial" w:eastAsia="Arial" w:hAnsi="Arial"/>
                  <w:sz w:val="11"/>
                  <w:szCs w:val="11"/>
                  <w:color w:val="0000FF"/>
                </w:rPr>
                <w:t>LLC.</w:t>
              </w:r>
            </w:hyperlink>
          </w:p>
        </w:tc>
        <w:tc>
          <w:tcPr>
            <w:tcW w:w="0" w:type="dxa"/>
            <w:vAlign w:val="bottom"/>
          </w:tcPr>
          <w:p>
            <w:pPr>
              <w:spacing w:after="0"/>
              <w:rPr>
                <w:sz w:val="1"/>
                <w:szCs w:val="1"/>
                <w:color w:val="auto"/>
              </w:rPr>
            </w:pPr>
          </w:p>
        </w:tc>
      </w:tr>
      <w:tr>
        <w:trPr>
          <w:trHeight w:val="244"/>
        </w:trPr>
        <w:tc>
          <w:tcPr>
            <w:tcW w:w="640" w:type="dxa"/>
            <w:vAlign w:val="bottom"/>
          </w:tcPr>
          <w:p>
            <w:pPr>
              <w:jc w:val="center"/>
              <w:ind w:right="143"/>
              <w:spacing w:after="0"/>
              <w:rPr>
                <w:sz w:val="20"/>
                <w:szCs w:val="20"/>
                <w:color w:val="auto"/>
              </w:rPr>
            </w:pPr>
            <w:r>
              <w:rPr>
                <w:rFonts w:ascii="Arial" w:cs="Arial" w:eastAsia="Arial" w:hAnsi="Arial"/>
                <w:sz w:val="11"/>
                <w:szCs w:val="11"/>
                <w:color w:val="0000FF"/>
                <w:w w:val="96"/>
              </w:rPr>
              <w:t>10.38</w:t>
            </w:r>
            <w:r>
              <w:rPr>
                <w:rFonts w:ascii="Arial" w:cs="Arial" w:eastAsia="Arial" w:hAnsi="Arial"/>
                <w:sz w:val="14"/>
                <w:szCs w:val="14"/>
                <w:color w:val="000000"/>
                <w:w w:val="96"/>
                <w:vertAlign w:val="superscript"/>
              </w:rPr>
              <w:t>+</w:t>
            </w:r>
          </w:p>
        </w:tc>
        <w:tc>
          <w:tcPr>
            <w:tcW w:w="4260" w:type="dxa"/>
            <w:vAlign w:val="bottom"/>
          </w:tcPr>
          <w:p>
            <w:pPr>
              <w:ind w:left="200"/>
              <w:spacing w:after="0"/>
              <w:rPr>
                <w:rFonts w:ascii="Arial" w:cs="Arial" w:eastAsia="Arial" w:hAnsi="Arial"/>
                <w:sz w:val="11"/>
                <w:szCs w:val="11"/>
                <w:color w:val="0000FF"/>
              </w:rPr>
            </w:pPr>
            <w:hyperlink r:id="rId373">
              <w:r>
                <w:rPr>
                  <w:rFonts w:ascii="Arial" w:cs="Arial" w:eastAsia="Arial" w:hAnsi="Arial"/>
                  <w:sz w:val="11"/>
                  <w:szCs w:val="11"/>
                  <w:color w:val="0000FF"/>
                </w:rPr>
                <w:t>Offer Letter, dated January 16, 2018, and 2019 Merit Focal Review, dated May</w:t>
              </w:r>
            </w:hyperlink>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4260" w:type="dxa"/>
            <w:vAlign w:val="bottom"/>
          </w:tcPr>
          <w:p>
            <w:pPr>
              <w:ind w:left="200"/>
              <w:spacing w:after="0"/>
              <w:rPr>
                <w:rFonts w:ascii="Arial" w:cs="Arial" w:eastAsia="Arial" w:hAnsi="Arial"/>
                <w:sz w:val="11"/>
                <w:szCs w:val="11"/>
                <w:color w:val="0000FF"/>
              </w:rPr>
            </w:pPr>
            <w:hyperlink r:id="rId373">
              <w:r>
                <w:rPr>
                  <w:rFonts w:ascii="Arial" w:cs="Arial" w:eastAsia="Arial" w:hAnsi="Arial"/>
                  <w:sz w:val="11"/>
                  <w:szCs w:val="11"/>
                  <w:color w:val="0000FF"/>
                </w:rPr>
                <w:t>10, 2019, to Jeffery McNeil.</w:t>
              </w:r>
            </w:hyperlink>
          </w:p>
        </w:tc>
        <w:tc>
          <w:tcPr>
            <w:tcW w:w="0" w:type="dxa"/>
            <w:vAlign w:val="bottom"/>
          </w:tcPr>
          <w:p>
            <w:pPr>
              <w:spacing w:after="0"/>
              <w:rPr>
                <w:sz w:val="1"/>
                <w:szCs w:val="1"/>
                <w:color w:val="auto"/>
              </w:rPr>
            </w:pPr>
          </w:p>
        </w:tc>
      </w:tr>
      <w:tr>
        <w:trPr>
          <w:trHeight w:val="251"/>
        </w:trPr>
        <w:tc>
          <w:tcPr>
            <w:tcW w:w="640" w:type="dxa"/>
            <w:vAlign w:val="bottom"/>
          </w:tcPr>
          <w:p>
            <w:pPr>
              <w:jc w:val="center"/>
              <w:ind w:right="143"/>
              <w:spacing w:after="0"/>
              <w:rPr>
                <w:sz w:val="20"/>
                <w:szCs w:val="20"/>
                <w:color w:val="auto"/>
              </w:rPr>
            </w:pPr>
            <w:r>
              <w:rPr>
                <w:rFonts w:ascii="Arial" w:cs="Arial" w:eastAsia="Arial" w:hAnsi="Arial"/>
                <w:sz w:val="11"/>
                <w:szCs w:val="11"/>
                <w:color w:val="0000FF"/>
                <w:w w:val="96"/>
              </w:rPr>
              <w:t>10.39</w:t>
            </w:r>
            <w:r>
              <w:rPr>
                <w:rFonts w:ascii="Arial" w:cs="Arial" w:eastAsia="Arial" w:hAnsi="Arial"/>
                <w:sz w:val="14"/>
                <w:szCs w:val="14"/>
                <w:color w:val="000000"/>
                <w:w w:val="96"/>
                <w:vertAlign w:val="superscript"/>
              </w:rPr>
              <w:t>+</w:t>
            </w:r>
          </w:p>
        </w:tc>
        <w:tc>
          <w:tcPr>
            <w:tcW w:w="4260" w:type="dxa"/>
            <w:vAlign w:val="bottom"/>
          </w:tcPr>
          <w:p>
            <w:pPr>
              <w:ind w:left="200"/>
              <w:spacing w:after="0"/>
              <w:rPr>
                <w:rFonts w:ascii="Arial" w:cs="Arial" w:eastAsia="Arial" w:hAnsi="Arial"/>
                <w:sz w:val="11"/>
                <w:szCs w:val="11"/>
                <w:color w:val="0000FF"/>
              </w:rPr>
            </w:pPr>
            <w:hyperlink r:id="rId374">
              <w:r>
                <w:rPr>
                  <w:rFonts w:ascii="Arial" w:cs="Arial" w:eastAsia="Arial" w:hAnsi="Arial"/>
                  <w:sz w:val="11"/>
                  <w:szCs w:val="11"/>
                  <w:color w:val="0000FF"/>
                </w:rPr>
                <w:t>Offer Letter, by and between Enphase Energy, Inc. and Jamie Haenggi, dated</w:t>
              </w:r>
            </w:hyperlink>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4260" w:type="dxa"/>
            <w:vAlign w:val="bottom"/>
          </w:tcPr>
          <w:p>
            <w:pPr>
              <w:ind w:left="200"/>
              <w:spacing w:after="0"/>
              <w:rPr>
                <w:rFonts w:ascii="Arial" w:cs="Arial" w:eastAsia="Arial" w:hAnsi="Arial"/>
                <w:sz w:val="11"/>
                <w:szCs w:val="11"/>
                <w:color w:val="0000FF"/>
              </w:rPr>
            </w:pPr>
            <w:hyperlink r:id="rId374">
              <w:r>
                <w:rPr>
                  <w:rFonts w:ascii="Arial" w:cs="Arial" w:eastAsia="Arial" w:hAnsi="Arial"/>
                  <w:sz w:val="11"/>
                  <w:szCs w:val="11"/>
                  <w:color w:val="0000FF"/>
                </w:rPr>
                <w:t>August 21, 2020.</w:t>
              </w:r>
            </w:hyperlink>
          </w:p>
        </w:tc>
        <w:tc>
          <w:tcPr>
            <w:tcW w:w="0" w:type="dxa"/>
            <w:vAlign w:val="bottom"/>
          </w:tcPr>
          <w:p>
            <w:pPr>
              <w:spacing w:after="0"/>
              <w:rPr>
                <w:sz w:val="1"/>
                <w:szCs w:val="1"/>
                <w:color w:val="auto"/>
              </w:rPr>
            </w:pPr>
          </w:p>
        </w:tc>
      </w:tr>
      <w:tr>
        <w:trPr>
          <w:trHeight w:val="262"/>
        </w:trPr>
        <w:tc>
          <w:tcPr>
            <w:tcW w:w="640" w:type="dxa"/>
            <w:vAlign w:val="bottom"/>
          </w:tcPr>
          <w:p>
            <w:pPr>
              <w:jc w:val="center"/>
              <w:ind w:right="123"/>
              <w:spacing w:after="0"/>
              <w:rPr>
                <w:rFonts w:ascii="Arial" w:cs="Arial" w:eastAsia="Arial" w:hAnsi="Arial"/>
                <w:sz w:val="11"/>
                <w:szCs w:val="11"/>
                <w:color w:val="0000FF"/>
              </w:rPr>
            </w:pPr>
            <w:hyperlink w:anchor="page251">
              <w:r>
                <w:rPr>
                  <w:rFonts w:ascii="Arial" w:cs="Arial" w:eastAsia="Arial" w:hAnsi="Arial"/>
                  <w:sz w:val="11"/>
                  <w:szCs w:val="11"/>
                  <w:color w:val="0000FF"/>
                </w:rPr>
                <w:t>21.1</w:t>
              </w:r>
            </w:hyperlink>
          </w:p>
        </w:tc>
        <w:tc>
          <w:tcPr>
            <w:tcW w:w="4260" w:type="dxa"/>
            <w:vAlign w:val="bottom"/>
          </w:tcPr>
          <w:p>
            <w:pPr>
              <w:ind w:left="200"/>
              <w:spacing w:after="0"/>
              <w:rPr>
                <w:rFonts w:ascii="Arial" w:cs="Arial" w:eastAsia="Arial" w:hAnsi="Arial"/>
                <w:sz w:val="11"/>
                <w:szCs w:val="11"/>
                <w:color w:val="0000FF"/>
              </w:rPr>
            </w:pPr>
            <w:hyperlink w:anchor="page251">
              <w:r>
                <w:rPr>
                  <w:rFonts w:ascii="Arial" w:cs="Arial" w:eastAsia="Arial" w:hAnsi="Arial"/>
                  <w:sz w:val="11"/>
                  <w:szCs w:val="11"/>
                  <w:color w:val="0000FF"/>
                </w:rPr>
                <w:t>List of Subsidiaries of the Registrant</w:t>
              </w:r>
            </w:hyperlink>
          </w:p>
        </w:tc>
        <w:tc>
          <w:tcPr>
            <w:tcW w:w="0" w:type="dxa"/>
            <w:vAlign w:val="bottom"/>
          </w:tcPr>
          <w:p>
            <w:pPr>
              <w:spacing w:after="0"/>
              <w:rPr>
                <w:sz w:val="1"/>
                <w:szCs w:val="1"/>
                <w:color w:val="auto"/>
              </w:rPr>
            </w:pPr>
          </w:p>
        </w:tc>
      </w:tr>
      <w:tr>
        <w:trPr>
          <w:trHeight w:val="314"/>
        </w:trPr>
        <w:tc>
          <w:tcPr>
            <w:tcW w:w="640" w:type="dxa"/>
            <w:vAlign w:val="bottom"/>
            <w:vMerge w:val="restart"/>
          </w:tcPr>
          <w:p>
            <w:pPr>
              <w:jc w:val="center"/>
              <w:ind w:right="123"/>
              <w:spacing w:after="0"/>
              <w:rPr>
                <w:rFonts w:ascii="Arial" w:cs="Arial" w:eastAsia="Arial" w:hAnsi="Arial"/>
                <w:sz w:val="11"/>
                <w:szCs w:val="11"/>
                <w:color w:val="0000FF"/>
              </w:rPr>
            </w:pPr>
            <w:hyperlink w:anchor="page252">
              <w:r>
                <w:rPr>
                  <w:rFonts w:ascii="Arial" w:cs="Arial" w:eastAsia="Arial" w:hAnsi="Arial"/>
                  <w:sz w:val="11"/>
                  <w:szCs w:val="11"/>
                  <w:color w:val="0000FF"/>
                </w:rPr>
                <w:t>23.1</w:t>
              </w:r>
            </w:hyperlink>
          </w:p>
        </w:tc>
        <w:tc>
          <w:tcPr>
            <w:tcW w:w="4260" w:type="dxa"/>
            <w:vAlign w:val="bottom"/>
          </w:tcPr>
          <w:p>
            <w:pPr>
              <w:ind w:left="200"/>
              <w:spacing w:after="0"/>
              <w:rPr>
                <w:rFonts w:ascii="Arial" w:cs="Arial" w:eastAsia="Arial" w:hAnsi="Arial"/>
                <w:sz w:val="11"/>
                <w:szCs w:val="11"/>
                <w:color w:val="0000FF"/>
              </w:rPr>
            </w:pPr>
            <w:hyperlink w:anchor="page252">
              <w:r>
                <w:rPr>
                  <w:rFonts w:ascii="Arial" w:cs="Arial" w:eastAsia="Arial" w:hAnsi="Arial"/>
                  <w:sz w:val="11"/>
                  <w:szCs w:val="11"/>
                  <w:color w:val="0000FF"/>
                </w:rPr>
                <w:t>Consent of Deloitte &amp; Touche LLP, Independent Registered Public Accounting</w:t>
              </w:r>
            </w:hyperlink>
          </w:p>
        </w:tc>
        <w:tc>
          <w:tcPr>
            <w:tcW w:w="0" w:type="dxa"/>
            <w:vAlign w:val="bottom"/>
          </w:tcPr>
          <w:p>
            <w:pPr>
              <w:spacing w:after="0"/>
              <w:rPr>
                <w:sz w:val="1"/>
                <w:szCs w:val="1"/>
                <w:color w:val="auto"/>
              </w:rPr>
            </w:pPr>
          </w:p>
        </w:tc>
      </w:tr>
      <w:tr>
        <w:trPr>
          <w:trHeight w:val="89"/>
        </w:trPr>
        <w:tc>
          <w:tcPr>
            <w:tcW w:w="640" w:type="dxa"/>
            <w:vAlign w:val="bottom"/>
            <w:vMerge w:val="continue"/>
          </w:tcPr>
          <w:p>
            <w:pPr>
              <w:spacing w:after="0"/>
              <w:rPr>
                <w:sz w:val="7"/>
                <w:szCs w:val="7"/>
                <w:color w:val="auto"/>
              </w:rPr>
            </w:pPr>
          </w:p>
        </w:tc>
        <w:tc>
          <w:tcPr>
            <w:tcW w:w="4260" w:type="dxa"/>
            <w:vAlign w:val="bottom"/>
            <w:vMerge w:val="restart"/>
          </w:tcPr>
          <w:p>
            <w:pPr>
              <w:ind w:left="200"/>
              <w:spacing w:after="0"/>
              <w:rPr>
                <w:rFonts w:ascii="Arial" w:cs="Arial" w:eastAsia="Arial" w:hAnsi="Arial"/>
                <w:sz w:val="11"/>
                <w:szCs w:val="11"/>
                <w:color w:val="0000FF"/>
              </w:rPr>
            </w:pPr>
            <w:hyperlink w:anchor="page252">
              <w:r>
                <w:rPr>
                  <w:rFonts w:ascii="Arial" w:cs="Arial" w:eastAsia="Arial" w:hAnsi="Arial"/>
                  <w:sz w:val="11"/>
                  <w:szCs w:val="11"/>
                  <w:color w:val="0000FF"/>
                </w:rPr>
                <w:t>Firm</w:t>
              </w:r>
            </w:hyperlink>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640" w:type="dxa"/>
            <w:vAlign w:val="bottom"/>
            <w:vMerge w:val="restart"/>
          </w:tcPr>
          <w:p>
            <w:pPr>
              <w:jc w:val="center"/>
              <w:ind w:right="123"/>
              <w:spacing w:after="0"/>
              <w:rPr>
                <w:rFonts w:ascii="Arial" w:cs="Arial" w:eastAsia="Arial" w:hAnsi="Arial"/>
                <w:sz w:val="11"/>
                <w:szCs w:val="11"/>
                <w:color w:val="0000FF"/>
              </w:rPr>
            </w:pPr>
            <w:hyperlink w:anchor="page137">
              <w:r>
                <w:rPr>
                  <w:rFonts w:ascii="Arial" w:cs="Arial" w:eastAsia="Arial" w:hAnsi="Arial"/>
                  <w:sz w:val="11"/>
                  <w:szCs w:val="11"/>
                  <w:color w:val="0000FF"/>
                </w:rPr>
                <w:t>24.1</w:t>
              </w:r>
            </w:hyperlink>
          </w:p>
        </w:tc>
        <w:tc>
          <w:tcPr>
            <w:tcW w:w="4260" w:type="dxa"/>
            <w:vAlign w:val="bottom"/>
          </w:tcPr>
          <w:p>
            <w:pPr>
              <w:ind w:left="200"/>
              <w:spacing w:after="0"/>
              <w:rPr>
                <w:rFonts w:ascii="Arial" w:cs="Arial" w:eastAsia="Arial" w:hAnsi="Arial"/>
                <w:sz w:val="11"/>
                <w:szCs w:val="11"/>
                <w:color w:val="0000FF"/>
              </w:rPr>
            </w:pPr>
            <w:hyperlink w:anchor="page137">
              <w:r>
                <w:rPr>
                  <w:rFonts w:ascii="Arial" w:cs="Arial" w:eastAsia="Arial" w:hAnsi="Arial"/>
                  <w:sz w:val="11"/>
                  <w:szCs w:val="11"/>
                  <w:color w:val="0000FF"/>
                </w:rPr>
                <w:t>Power of Attorney (incorporated by reference to the signature page of this Annual</w:t>
              </w:r>
            </w:hyperlink>
          </w:p>
        </w:tc>
        <w:tc>
          <w:tcPr>
            <w:tcW w:w="0" w:type="dxa"/>
            <w:vAlign w:val="bottom"/>
          </w:tcPr>
          <w:p>
            <w:pPr>
              <w:spacing w:after="0"/>
              <w:rPr>
                <w:sz w:val="1"/>
                <w:szCs w:val="1"/>
                <w:color w:val="auto"/>
              </w:rPr>
            </w:pPr>
          </w:p>
        </w:tc>
      </w:tr>
      <w:tr>
        <w:trPr>
          <w:trHeight w:val="89"/>
        </w:trPr>
        <w:tc>
          <w:tcPr>
            <w:tcW w:w="640" w:type="dxa"/>
            <w:vAlign w:val="bottom"/>
            <w:vMerge w:val="continue"/>
          </w:tcPr>
          <w:p>
            <w:pPr>
              <w:spacing w:after="0"/>
              <w:rPr>
                <w:sz w:val="7"/>
                <w:szCs w:val="7"/>
                <w:color w:val="auto"/>
              </w:rPr>
            </w:pPr>
          </w:p>
        </w:tc>
        <w:tc>
          <w:tcPr>
            <w:tcW w:w="4260" w:type="dxa"/>
            <w:vAlign w:val="bottom"/>
            <w:vMerge w:val="restart"/>
          </w:tcPr>
          <w:p>
            <w:pPr>
              <w:ind w:left="200"/>
              <w:spacing w:after="0"/>
              <w:rPr>
                <w:rFonts w:ascii="Arial" w:cs="Arial" w:eastAsia="Arial" w:hAnsi="Arial"/>
                <w:sz w:val="11"/>
                <w:szCs w:val="11"/>
                <w:color w:val="0000FF"/>
              </w:rPr>
            </w:pPr>
            <w:hyperlink w:anchor="page137">
              <w:r>
                <w:rPr>
                  <w:rFonts w:ascii="Arial" w:cs="Arial" w:eastAsia="Arial" w:hAnsi="Arial"/>
                  <w:sz w:val="11"/>
                  <w:szCs w:val="11"/>
                  <w:color w:val="0000FF"/>
                </w:rPr>
                <w:t>Report on Form 10-K).</w:t>
              </w:r>
            </w:hyperlink>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40" w:type="dxa"/>
            <w:vAlign w:val="bottom"/>
          </w:tcPr>
          <w:p>
            <w:pPr>
              <w:jc w:val="center"/>
              <w:ind w:right="123"/>
              <w:spacing w:after="0"/>
              <w:rPr>
                <w:rFonts w:ascii="Arial" w:cs="Arial" w:eastAsia="Arial" w:hAnsi="Arial"/>
                <w:sz w:val="11"/>
                <w:szCs w:val="11"/>
                <w:color w:val="0000FF"/>
              </w:rPr>
            </w:pPr>
            <w:hyperlink w:anchor="page253">
              <w:r>
                <w:rPr>
                  <w:rFonts w:ascii="Arial" w:cs="Arial" w:eastAsia="Arial" w:hAnsi="Arial"/>
                  <w:sz w:val="11"/>
                  <w:szCs w:val="11"/>
                  <w:color w:val="0000FF"/>
                </w:rPr>
                <w:t>31.1</w:t>
              </w:r>
            </w:hyperlink>
          </w:p>
        </w:tc>
        <w:tc>
          <w:tcPr>
            <w:tcW w:w="4260" w:type="dxa"/>
            <w:vAlign w:val="bottom"/>
          </w:tcPr>
          <w:p>
            <w:pPr>
              <w:ind w:left="200"/>
              <w:spacing w:after="0"/>
              <w:rPr>
                <w:rFonts w:ascii="Arial" w:cs="Arial" w:eastAsia="Arial" w:hAnsi="Arial"/>
                <w:sz w:val="11"/>
                <w:szCs w:val="11"/>
                <w:color w:val="0000FF"/>
              </w:rPr>
            </w:pPr>
            <w:hyperlink w:anchor="page253">
              <w:r>
                <w:rPr>
                  <w:rFonts w:ascii="Arial" w:cs="Arial" w:eastAsia="Arial" w:hAnsi="Arial"/>
                  <w:sz w:val="11"/>
                  <w:szCs w:val="11"/>
                  <w:color w:val="0000FF"/>
                </w:rPr>
                <w:t>Certification of Chief Executive Officer pursuant to Rule 13a-14(a)/15d-14(a).</w:t>
              </w:r>
            </w:hyperlink>
          </w:p>
        </w:tc>
        <w:tc>
          <w:tcPr>
            <w:tcW w:w="0" w:type="dxa"/>
            <w:vAlign w:val="bottom"/>
          </w:tcPr>
          <w:p>
            <w:pPr>
              <w:spacing w:after="0"/>
              <w:rPr>
                <w:sz w:val="1"/>
                <w:szCs w:val="1"/>
                <w:color w:val="auto"/>
              </w:rPr>
            </w:pPr>
          </w:p>
        </w:tc>
      </w:tr>
      <w:tr>
        <w:trPr>
          <w:trHeight w:val="340"/>
        </w:trPr>
        <w:tc>
          <w:tcPr>
            <w:tcW w:w="640" w:type="dxa"/>
            <w:vAlign w:val="bottom"/>
          </w:tcPr>
          <w:p>
            <w:pPr>
              <w:jc w:val="center"/>
              <w:ind w:right="123"/>
              <w:spacing w:after="0"/>
              <w:rPr>
                <w:rFonts w:ascii="Arial" w:cs="Arial" w:eastAsia="Arial" w:hAnsi="Arial"/>
                <w:sz w:val="11"/>
                <w:szCs w:val="11"/>
                <w:color w:val="0000FF"/>
              </w:rPr>
            </w:pPr>
            <w:hyperlink w:anchor="page254">
              <w:r>
                <w:rPr>
                  <w:rFonts w:ascii="Arial" w:cs="Arial" w:eastAsia="Arial" w:hAnsi="Arial"/>
                  <w:sz w:val="11"/>
                  <w:szCs w:val="11"/>
                  <w:color w:val="0000FF"/>
                </w:rPr>
                <w:t>31.2</w:t>
              </w:r>
            </w:hyperlink>
          </w:p>
        </w:tc>
        <w:tc>
          <w:tcPr>
            <w:tcW w:w="4260" w:type="dxa"/>
            <w:vAlign w:val="bottom"/>
          </w:tcPr>
          <w:p>
            <w:pPr>
              <w:ind w:left="200"/>
              <w:spacing w:after="0"/>
              <w:rPr>
                <w:rFonts w:ascii="Arial" w:cs="Arial" w:eastAsia="Arial" w:hAnsi="Arial"/>
                <w:sz w:val="11"/>
                <w:szCs w:val="11"/>
                <w:color w:val="0000FF"/>
              </w:rPr>
            </w:pPr>
            <w:hyperlink w:anchor="page254">
              <w:r>
                <w:rPr>
                  <w:rFonts w:ascii="Arial" w:cs="Arial" w:eastAsia="Arial" w:hAnsi="Arial"/>
                  <w:sz w:val="11"/>
                  <w:szCs w:val="11"/>
                  <w:color w:val="0000FF"/>
                </w:rPr>
                <w:t>Certification of Chief Financial Officer pursuant to Rule 13a-14(a)/15d-14(a).</w:t>
              </w:r>
            </w:hyperlink>
          </w:p>
        </w:tc>
        <w:tc>
          <w:tcPr>
            <w:tcW w:w="0" w:type="dxa"/>
            <w:vAlign w:val="bottom"/>
          </w:tcPr>
          <w:p>
            <w:pPr>
              <w:spacing w:after="0"/>
              <w:rPr>
                <w:sz w:val="1"/>
                <w:szCs w:val="1"/>
                <w:color w:val="auto"/>
              </w:rPr>
            </w:pPr>
          </w:p>
        </w:tc>
      </w:tr>
      <w:tr>
        <w:trPr>
          <w:trHeight w:val="314"/>
        </w:trPr>
        <w:tc>
          <w:tcPr>
            <w:tcW w:w="640" w:type="dxa"/>
            <w:vAlign w:val="bottom"/>
          </w:tcPr>
          <w:p>
            <w:pPr>
              <w:spacing w:after="0"/>
              <w:rPr>
                <w:sz w:val="24"/>
                <w:szCs w:val="24"/>
                <w:color w:val="auto"/>
              </w:rPr>
            </w:pPr>
          </w:p>
        </w:tc>
        <w:tc>
          <w:tcPr>
            <w:tcW w:w="4260" w:type="dxa"/>
            <w:vAlign w:val="bottom"/>
          </w:tcPr>
          <w:p>
            <w:pPr>
              <w:ind w:left="200"/>
              <w:spacing w:after="0"/>
              <w:rPr>
                <w:rFonts w:ascii="Arial" w:cs="Arial" w:eastAsia="Arial" w:hAnsi="Arial"/>
                <w:sz w:val="11"/>
                <w:szCs w:val="11"/>
                <w:color w:val="0000FF"/>
              </w:rPr>
            </w:pPr>
            <w:hyperlink w:anchor="page255">
              <w:r>
                <w:rPr>
                  <w:rFonts w:ascii="Arial" w:cs="Arial" w:eastAsia="Arial" w:hAnsi="Arial"/>
                  <w:sz w:val="11"/>
                  <w:szCs w:val="11"/>
                  <w:color w:val="0000FF"/>
                </w:rPr>
                <w:t>Certification of Chief Executive Officer and Chief Financial Officer pursuant to 18</w:t>
              </w:r>
            </w:hyperlink>
          </w:p>
        </w:tc>
        <w:tc>
          <w:tcPr>
            <w:tcW w:w="0" w:type="dxa"/>
            <w:vAlign w:val="bottom"/>
          </w:tcPr>
          <w:p>
            <w:pPr>
              <w:spacing w:after="0"/>
              <w:rPr>
                <w:sz w:val="1"/>
                <w:szCs w:val="1"/>
                <w:color w:val="auto"/>
              </w:rPr>
            </w:pPr>
          </w:p>
        </w:tc>
      </w:tr>
      <w:tr>
        <w:trPr>
          <w:trHeight w:val="127"/>
        </w:trPr>
        <w:tc>
          <w:tcPr>
            <w:tcW w:w="640" w:type="dxa"/>
            <w:vAlign w:val="bottom"/>
          </w:tcPr>
          <w:p>
            <w:pPr>
              <w:jc w:val="center"/>
              <w:ind w:right="123"/>
              <w:spacing w:after="0"/>
              <w:rPr>
                <w:rFonts w:ascii="Arial" w:cs="Arial" w:eastAsia="Arial" w:hAnsi="Arial"/>
                <w:sz w:val="11"/>
                <w:szCs w:val="11"/>
                <w:color w:val="0000FF"/>
              </w:rPr>
            </w:pPr>
            <w:hyperlink w:anchor="page255">
              <w:r>
                <w:rPr>
                  <w:rFonts w:ascii="Arial" w:cs="Arial" w:eastAsia="Arial" w:hAnsi="Arial"/>
                  <w:sz w:val="11"/>
                  <w:szCs w:val="11"/>
                  <w:color w:val="0000FF"/>
                </w:rPr>
                <w:t>32.1</w:t>
              </w:r>
            </w:hyperlink>
            <w:r>
              <w:rPr>
                <w:rFonts w:ascii="Arial" w:cs="Arial" w:eastAsia="Arial" w:hAnsi="Arial"/>
                <w:sz w:val="11"/>
                <w:szCs w:val="11"/>
                <w:color w:val="000000"/>
              </w:rPr>
              <w:t>*</w:t>
            </w:r>
          </w:p>
        </w:tc>
        <w:tc>
          <w:tcPr>
            <w:tcW w:w="4260" w:type="dxa"/>
            <w:vAlign w:val="bottom"/>
          </w:tcPr>
          <w:p>
            <w:pPr>
              <w:ind w:left="200"/>
              <w:spacing w:after="0"/>
              <w:rPr>
                <w:rFonts w:ascii="Arial" w:cs="Arial" w:eastAsia="Arial" w:hAnsi="Arial"/>
                <w:sz w:val="11"/>
                <w:szCs w:val="11"/>
                <w:color w:val="0000FF"/>
              </w:rPr>
            </w:pPr>
            <w:hyperlink w:anchor="page255">
              <w:r>
                <w:rPr>
                  <w:rFonts w:ascii="Arial" w:cs="Arial" w:eastAsia="Arial" w:hAnsi="Arial"/>
                  <w:sz w:val="11"/>
                  <w:szCs w:val="11"/>
                  <w:color w:val="0000FF"/>
                </w:rPr>
                <w:t>U.S.C. Section 1350 as Adopted Pursuant to Section 906 of the Sarbanes-Oxley</w:t>
              </w:r>
            </w:hyperlink>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4260" w:type="dxa"/>
            <w:vAlign w:val="bottom"/>
          </w:tcPr>
          <w:p>
            <w:pPr>
              <w:ind w:left="200"/>
              <w:spacing w:after="0"/>
              <w:rPr>
                <w:rFonts w:ascii="Arial" w:cs="Arial" w:eastAsia="Arial" w:hAnsi="Arial"/>
                <w:sz w:val="11"/>
                <w:szCs w:val="11"/>
                <w:color w:val="0000FF"/>
              </w:rPr>
            </w:pPr>
            <w:hyperlink w:anchor="page255">
              <w:r>
                <w:rPr>
                  <w:rFonts w:ascii="Arial" w:cs="Arial" w:eastAsia="Arial" w:hAnsi="Arial"/>
                  <w:sz w:val="11"/>
                  <w:szCs w:val="11"/>
                  <w:color w:val="0000FF"/>
                </w:rPr>
                <w:t>Act of 2002.</w:t>
              </w:r>
            </w:hyperlink>
          </w:p>
        </w:tc>
        <w:tc>
          <w:tcPr>
            <w:tcW w:w="0" w:type="dxa"/>
            <w:vAlign w:val="bottom"/>
          </w:tcPr>
          <w:p>
            <w:pPr>
              <w:spacing w:after="0"/>
              <w:rPr>
                <w:sz w:val="1"/>
                <w:szCs w:val="1"/>
                <w:color w:val="auto"/>
              </w:rPr>
            </w:pPr>
          </w:p>
        </w:tc>
      </w:tr>
      <w:tr>
        <w:trPr>
          <w:trHeight w:val="340"/>
        </w:trPr>
        <w:tc>
          <w:tcPr>
            <w:tcW w:w="640" w:type="dxa"/>
            <w:vAlign w:val="bottom"/>
          </w:tcPr>
          <w:p>
            <w:pPr>
              <w:jc w:val="center"/>
              <w:ind w:right="143"/>
              <w:spacing w:after="0"/>
              <w:rPr>
                <w:sz w:val="20"/>
                <w:szCs w:val="20"/>
                <w:color w:val="auto"/>
              </w:rPr>
            </w:pPr>
            <w:r>
              <w:rPr>
                <w:rFonts w:ascii="Arial" w:cs="Arial" w:eastAsia="Arial" w:hAnsi="Arial"/>
                <w:sz w:val="11"/>
                <w:szCs w:val="11"/>
                <w:color w:val="auto"/>
              </w:rPr>
              <w:t>101.INS</w:t>
            </w:r>
          </w:p>
        </w:tc>
        <w:tc>
          <w:tcPr>
            <w:tcW w:w="4260" w:type="dxa"/>
            <w:vAlign w:val="bottom"/>
          </w:tcPr>
          <w:p>
            <w:pPr>
              <w:ind w:left="200"/>
              <w:spacing w:after="0"/>
              <w:rPr>
                <w:sz w:val="20"/>
                <w:szCs w:val="20"/>
                <w:color w:val="auto"/>
              </w:rPr>
            </w:pPr>
            <w:r>
              <w:rPr>
                <w:rFonts w:ascii="Arial" w:cs="Arial" w:eastAsia="Arial" w:hAnsi="Arial"/>
                <w:sz w:val="11"/>
                <w:szCs w:val="11"/>
                <w:color w:val="auto"/>
              </w:rPr>
              <w:t>XBRL Instance Document.</w:t>
            </w:r>
          </w:p>
        </w:tc>
        <w:tc>
          <w:tcPr>
            <w:tcW w:w="0" w:type="dxa"/>
            <w:vAlign w:val="bottom"/>
          </w:tcPr>
          <w:p>
            <w:pPr>
              <w:spacing w:after="0"/>
              <w:rPr>
                <w:sz w:val="1"/>
                <w:szCs w:val="1"/>
                <w:color w:val="auto"/>
              </w:rPr>
            </w:pPr>
          </w:p>
        </w:tc>
      </w:tr>
      <w:tr>
        <w:trPr>
          <w:trHeight w:val="340"/>
        </w:trPr>
        <w:tc>
          <w:tcPr>
            <w:tcW w:w="640" w:type="dxa"/>
            <w:vAlign w:val="bottom"/>
          </w:tcPr>
          <w:p>
            <w:pPr>
              <w:jc w:val="center"/>
              <w:ind w:right="123"/>
              <w:spacing w:after="0"/>
              <w:rPr>
                <w:sz w:val="20"/>
                <w:szCs w:val="20"/>
                <w:color w:val="auto"/>
              </w:rPr>
            </w:pPr>
            <w:r>
              <w:rPr>
                <w:rFonts w:ascii="Arial" w:cs="Arial" w:eastAsia="Arial" w:hAnsi="Arial"/>
                <w:sz w:val="11"/>
                <w:szCs w:val="11"/>
                <w:color w:val="auto"/>
              </w:rPr>
              <w:t>101.SCH</w:t>
            </w:r>
          </w:p>
        </w:tc>
        <w:tc>
          <w:tcPr>
            <w:tcW w:w="4260" w:type="dxa"/>
            <w:vAlign w:val="bottom"/>
          </w:tcPr>
          <w:p>
            <w:pPr>
              <w:ind w:left="200"/>
              <w:spacing w:after="0"/>
              <w:rPr>
                <w:sz w:val="20"/>
                <w:szCs w:val="20"/>
                <w:color w:val="auto"/>
              </w:rPr>
            </w:pPr>
            <w:r>
              <w:rPr>
                <w:rFonts w:ascii="Arial" w:cs="Arial" w:eastAsia="Arial" w:hAnsi="Arial"/>
                <w:sz w:val="11"/>
                <w:szCs w:val="11"/>
                <w:color w:val="auto"/>
              </w:rPr>
              <w:t>XBRL Taxonomy Extension Schema Document.</w:t>
            </w:r>
          </w:p>
        </w:tc>
        <w:tc>
          <w:tcPr>
            <w:tcW w:w="0" w:type="dxa"/>
            <w:vAlign w:val="bottom"/>
          </w:tcPr>
          <w:p>
            <w:pPr>
              <w:spacing w:after="0"/>
              <w:rPr>
                <w:sz w:val="1"/>
                <w:szCs w:val="1"/>
                <w:color w:val="auto"/>
              </w:rPr>
            </w:pPr>
          </w:p>
        </w:tc>
      </w:tr>
      <w:tr>
        <w:trPr>
          <w:trHeight w:val="340"/>
        </w:trPr>
        <w:tc>
          <w:tcPr>
            <w:tcW w:w="640" w:type="dxa"/>
            <w:vAlign w:val="bottom"/>
          </w:tcPr>
          <w:p>
            <w:pPr>
              <w:jc w:val="center"/>
              <w:ind w:right="143"/>
              <w:spacing w:after="0"/>
              <w:rPr>
                <w:sz w:val="20"/>
                <w:szCs w:val="20"/>
                <w:color w:val="auto"/>
              </w:rPr>
            </w:pPr>
            <w:r>
              <w:rPr>
                <w:rFonts w:ascii="Arial" w:cs="Arial" w:eastAsia="Arial" w:hAnsi="Arial"/>
                <w:sz w:val="11"/>
                <w:szCs w:val="11"/>
                <w:color w:val="auto"/>
              </w:rPr>
              <w:t>101.CAL</w:t>
            </w:r>
          </w:p>
        </w:tc>
        <w:tc>
          <w:tcPr>
            <w:tcW w:w="4260" w:type="dxa"/>
            <w:vAlign w:val="bottom"/>
          </w:tcPr>
          <w:p>
            <w:pPr>
              <w:ind w:left="200"/>
              <w:spacing w:after="0"/>
              <w:rPr>
                <w:sz w:val="20"/>
                <w:szCs w:val="20"/>
                <w:color w:val="auto"/>
              </w:rPr>
            </w:pPr>
            <w:r>
              <w:rPr>
                <w:rFonts w:ascii="Arial" w:cs="Arial" w:eastAsia="Arial" w:hAnsi="Arial"/>
                <w:sz w:val="11"/>
                <w:szCs w:val="11"/>
                <w:color w:val="auto"/>
              </w:rPr>
              <w:t>XBRL Taxonomy Extension Calculation Linkbase Document.</w:t>
            </w:r>
          </w:p>
        </w:tc>
        <w:tc>
          <w:tcPr>
            <w:tcW w:w="0" w:type="dxa"/>
            <w:vAlign w:val="bottom"/>
          </w:tcPr>
          <w:p>
            <w:pPr>
              <w:spacing w:after="0"/>
              <w:rPr>
                <w:sz w:val="1"/>
                <w:szCs w:val="1"/>
                <w:color w:val="auto"/>
              </w:rPr>
            </w:pPr>
          </w:p>
        </w:tc>
      </w:tr>
      <w:tr>
        <w:trPr>
          <w:trHeight w:val="340"/>
        </w:trPr>
        <w:tc>
          <w:tcPr>
            <w:tcW w:w="640" w:type="dxa"/>
            <w:vAlign w:val="bottom"/>
          </w:tcPr>
          <w:p>
            <w:pPr>
              <w:jc w:val="center"/>
              <w:ind w:right="143"/>
              <w:spacing w:after="0"/>
              <w:rPr>
                <w:sz w:val="20"/>
                <w:szCs w:val="20"/>
                <w:color w:val="auto"/>
              </w:rPr>
            </w:pPr>
            <w:r>
              <w:rPr>
                <w:rFonts w:ascii="Arial" w:cs="Arial" w:eastAsia="Arial" w:hAnsi="Arial"/>
                <w:sz w:val="11"/>
                <w:szCs w:val="11"/>
                <w:color w:val="auto"/>
              </w:rPr>
              <w:t>101.DEF</w:t>
            </w:r>
          </w:p>
        </w:tc>
        <w:tc>
          <w:tcPr>
            <w:tcW w:w="4260" w:type="dxa"/>
            <w:vAlign w:val="bottom"/>
          </w:tcPr>
          <w:p>
            <w:pPr>
              <w:ind w:left="200"/>
              <w:spacing w:after="0"/>
              <w:rPr>
                <w:sz w:val="20"/>
                <w:szCs w:val="20"/>
                <w:color w:val="auto"/>
              </w:rPr>
            </w:pPr>
            <w:r>
              <w:rPr>
                <w:rFonts w:ascii="Arial" w:cs="Arial" w:eastAsia="Arial" w:hAnsi="Arial"/>
                <w:sz w:val="11"/>
                <w:szCs w:val="11"/>
                <w:color w:val="auto"/>
              </w:rPr>
              <w:t>XBRL Taxonomy Extension Definition Linkbase Document.</w:t>
            </w:r>
          </w:p>
        </w:tc>
        <w:tc>
          <w:tcPr>
            <w:tcW w:w="0" w:type="dxa"/>
            <w:vAlign w:val="bottom"/>
          </w:tcPr>
          <w:p>
            <w:pPr>
              <w:spacing w:after="0"/>
              <w:rPr>
                <w:sz w:val="1"/>
                <w:szCs w:val="1"/>
                <w:color w:val="auto"/>
              </w:rPr>
            </w:pPr>
          </w:p>
        </w:tc>
      </w:tr>
      <w:tr>
        <w:trPr>
          <w:trHeight w:val="340"/>
        </w:trPr>
        <w:tc>
          <w:tcPr>
            <w:tcW w:w="640" w:type="dxa"/>
            <w:vAlign w:val="bottom"/>
          </w:tcPr>
          <w:p>
            <w:pPr>
              <w:jc w:val="center"/>
              <w:ind w:right="143"/>
              <w:spacing w:after="0"/>
              <w:rPr>
                <w:sz w:val="20"/>
                <w:szCs w:val="20"/>
                <w:color w:val="auto"/>
              </w:rPr>
            </w:pPr>
            <w:r>
              <w:rPr>
                <w:rFonts w:ascii="Arial" w:cs="Arial" w:eastAsia="Arial" w:hAnsi="Arial"/>
                <w:sz w:val="11"/>
                <w:szCs w:val="11"/>
                <w:color w:val="auto"/>
              </w:rPr>
              <w:t>101.LAB</w:t>
            </w:r>
          </w:p>
        </w:tc>
        <w:tc>
          <w:tcPr>
            <w:tcW w:w="4260" w:type="dxa"/>
            <w:vAlign w:val="bottom"/>
          </w:tcPr>
          <w:p>
            <w:pPr>
              <w:ind w:left="200"/>
              <w:spacing w:after="0"/>
              <w:rPr>
                <w:sz w:val="20"/>
                <w:szCs w:val="20"/>
                <w:color w:val="auto"/>
              </w:rPr>
            </w:pPr>
            <w:r>
              <w:rPr>
                <w:rFonts w:ascii="Arial" w:cs="Arial" w:eastAsia="Arial" w:hAnsi="Arial"/>
                <w:sz w:val="11"/>
                <w:szCs w:val="11"/>
                <w:color w:val="auto"/>
              </w:rPr>
              <w:t>XBRL Taxonomy Extension Label Linkbase Document.</w:t>
            </w:r>
          </w:p>
        </w:tc>
        <w:tc>
          <w:tcPr>
            <w:tcW w:w="0" w:type="dxa"/>
            <w:vAlign w:val="bottom"/>
          </w:tcPr>
          <w:p>
            <w:pPr>
              <w:spacing w:after="0"/>
              <w:rPr>
                <w:sz w:val="1"/>
                <w:szCs w:val="1"/>
                <w:color w:val="auto"/>
              </w:rPr>
            </w:pPr>
          </w:p>
        </w:tc>
      </w:tr>
      <w:tr>
        <w:trPr>
          <w:trHeight w:val="340"/>
        </w:trPr>
        <w:tc>
          <w:tcPr>
            <w:tcW w:w="640" w:type="dxa"/>
            <w:vAlign w:val="bottom"/>
          </w:tcPr>
          <w:p>
            <w:pPr>
              <w:jc w:val="center"/>
              <w:ind w:right="143"/>
              <w:spacing w:after="0"/>
              <w:rPr>
                <w:sz w:val="20"/>
                <w:szCs w:val="20"/>
                <w:color w:val="auto"/>
              </w:rPr>
            </w:pPr>
            <w:r>
              <w:rPr>
                <w:rFonts w:ascii="Arial" w:cs="Arial" w:eastAsia="Arial" w:hAnsi="Arial"/>
                <w:sz w:val="11"/>
                <w:szCs w:val="11"/>
                <w:color w:val="auto"/>
                <w:w w:val="99"/>
              </w:rPr>
              <w:t>101.PRE</w:t>
            </w:r>
          </w:p>
        </w:tc>
        <w:tc>
          <w:tcPr>
            <w:tcW w:w="4260" w:type="dxa"/>
            <w:vAlign w:val="bottom"/>
          </w:tcPr>
          <w:p>
            <w:pPr>
              <w:ind w:left="200"/>
              <w:spacing w:after="0"/>
              <w:rPr>
                <w:sz w:val="20"/>
                <w:szCs w:val="20"/>
                <w:color w:val="auto"/>
              </w:rPr>
            </w:pPr>
            <w:r>
              <w:rPr>
                <w:rFonts w:ascii="Arial" w:cs="Arial" w:eastAsia="Arial" w:hAnsi="Arial"/>
                <w:sz w:val="11"/>
                <w:szCs w:val="11"/>
                <w:color w:val="auto"/>
              </w:rPr>
              <w:t>XBRL Taxonomy Extension Presentation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tcPr>
          <w:p>
            <w:pPr>
              <w:ind w:left="1720"/>
              <w:spacing w:after="0"/>
              <w:rPr>
                <w:sz w:val="20"/>
                <w:szCs w:val="20"/>
                <w:color w:val="auto"/>
              </w:rPr>
            </w:pPr>
            <w:r>
              <w:rPr>
                <w:rFonts w:ascii="Arial" w:cs="Arial" w:eastAsia="Arial" w:hAnsi="Arial"/>
                <w:sz w:val="11"/>
                <w:szCs w:val="11"/>
                <w:color w:val="auto"/>
                <w:w w:val="81"/>
              </w:rPr>
              <w:t>X</w:t>
            </w:r>
          </w:p>
        </w:tc>
      </w:tr>
      <w:tr>
        <w:trPr>
          <w:trHeight w:val="424"/>
        </w:trPr>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ind w:left="1720"/>
              <w:spacing w:after="0"/>
              <w:rPr>
                <w:sz w:val="20"/>
                <w:szCs w:val="20"/>
                <w:color w:val="auto"/>
              </w:rPr>
            </w:pPr>
            <w:r>
              <w:rPr>
                <w:rFonts w:ascii="Arial" w:cs="Arial" w:eastAsia="Arial" w:hAnsi="Arial"/>
                <w:sz w:val="11"/>
                <w:szCs w:val="11"/>
                <w:color w:val="auto"/>
                <w:w w:val="81"/>
              </w:rPr>
              <w:t>X</w:t>
            </w:r>
          </w:p>
        </w:tc>
      </w:tr>
      <w:tr>
        <w:trPr>
          <w:trHeight w:val="382"/>
        </w:trPr>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ind w:left="1720"/>
              <w:spacing w:after="0"/>
              <w:rPr>
                <w:sz w:val="20"/>
                <w:szCs w:val="20"/>
                <w:color w:val="auto"/>
              </w:rPr>
            </w:pPr>
            <w:r>
              <w:rPr>
                <w:rFonts w:ascii="Arial" w:cs="Arial" w:eastAsia="Arial" w:hAnsi="Arial"/>
                <w:sz w:val="11"/>
                <w:szCs w:val="11"/>
                <w:color w:val="auto"/>
                <w:w w:val="81"/>
              </w:rPr>
              <w:t>X</w:t>
            </w:r>
          </w:p>
        </w:tc>
      </w:tr>
      <w:tr>
        <w:trPr>
          <w:trHeight w:val="382"/>
        </w:trPr>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ind w:left="1720"/>
              <w:spacing w:after="0"/>
              <w:rPr>
                <w:sz w:val="20"/>
                <w:szCs w:val="20"/>
                <w:color w:val="auto"/>
              </w:rPr>
            </w:pPr>
            <w:r>
              <w:rPr>
                <w:rFonts w:ascii="Arial" w:cs="Arial" w:eastAsia="Arial" w:hAnsi="Arial"/>
                <w:sz w:val="11"/>
                <w:szCs w:val="11"/>
                <w:color w:val="auto"/>
                <w:w w:val="81"/>
              </w:rPr>
              <w:t>X</w:t>
            </w:r>
          </w:p>
        </w:tc>
      </w:tr>
      <w:tr>
        <w:trPr>
          <w:trHeight w:val="446"/>
        </w:trPr>
        <w:tc>
          <w:tcPr>
            <w:tcW w:w="740" w:type="dxa"/>
            <w:vAlign w:val="bottom"/>
          </w:tcPr>
          <w:p>
            <w:pPr>
              <w:spacing w:after="0"/>
              <w:rPr>
                <w:sz w:val="20"/>
                <w:szCs w:val="20"/>
                <w:color w:val="auto"/>
              </w:rPr>
            </w:pPr>
            <w:r>
              <w:rPr>
                <w:rFonts w:ascii="Arial" w:cs="Arial" w:eastAsia="Arial" w:hAnsi="Arial"/>
                <w:sz w:val="11"/>
                <w:szCs w:val="11"/>
                <w:color w:val="auto"/>
              </w:rPr>
              <w:t>10-Q</w:t>
            </w:r>
          </w:p>
        </w:tc>
        <w:tc>
          <w:tcPr>
            <w:tcW w:w="1540" w:type="dxa"/>
            <w:vAlign w:val="bottom"/>
          </w:tcPr>
          <w:p>
            <w:pPr>
              <w:jc w:val="right"/>
              <w:ind w:right="443"/>
              <w:spacing w:after="0"/>
              <w:rPr>
                <w:sz w:val="20"/>
                <w:szCs w:val="20"/>
                <w:color w:val="auto"/>
              </w:rPr>
            </w:pPr>
            <w:r>
              <w:rPr>
                <w:rFonts w:ascii="Arial" w:cs="Arial" w:eastAsia="Arial" w:hAnsi="Arial"/>
                <w:sz w:val="11"/>
                <w:szCs w:val="11"/>
                <w:color w:val="auto"/>
              </w:rPr>
              <w:t>001-35480</w:t>
            </w:r>
          </w:p>
        </w:tc>
        <w:tc>
          <w:tcPr>
            <w:tcW w:w="1080" w:type="dxa"/>
            <w:vAlign w:val="bottom"/>
          </w:tcPr>
          <w:p>
            <w:pPr>
              <w:jc w:val="right"/>
              <w:ind w:right="303"/>
              <w:spacing w:after="0"/>
              <w:rPr>
                <w:sz w:val="20"/>
                <w:szCs w:val="20"/>
                <w:color w:val="auto"/>
              </w:rPr>
            </w:pPr>
            <w:r>
              <w:rPr>
                <w:rFonts w:ascii="Arial" w:cs="Arial" w:eastAsia="Arial" w:hAnsi="Arial"/>
                <w:sz w:val="11"/>
                <w:szCs w:val="11"/>
                <w:color w:val="auto"/>
              </w:rPr>
              <w:t>10.4</w:t>
            </w:r>
          </w:p>
        </w:tc>
        <w:tc>
          <w:tcPr>
            <w:tcW w:w="1800" w:type="dxa"/>
            <w:vAlign w:val="bottom"/>
          </w:tcPr>
          <w:p>
            <w:pPr>
              <w:jc w:val="right"/>
              <w:ind w:right="843"/>
              <w:spacing w:after="0"/>
              <w:rPr>
                <w:sz w:val="20"/>
                <w:szCs w:val="20"/>
                <w:color w:val="auto"/>
              </w:rPr>
            </w:pPr>
            <w:r>
              <w:rPr>
                <w:rFonts w:ascii="Arial" w:cs="Arial" w:eastAsia="Arial" w:hAnsi="Arial"/>
                <w:sz w:val="11"/>
                <w:szCs w:val="11"/>
                <w:color w:val="auto"/>
              </w:rPr>
              <w:t>7/30/2019</w:t>
            </w:r>
          </w:p>
        </w:tc>
      </w:tr>
      <w:tr>
        <w:trPr>
          <w:trHeight w:val="403"/>
        </w:trPr>
        <w:tc>
          <w:tcPr>
            <w:tcW w:w="740" w:type="dxa"/>
            <w:vAlign w:val="bottom"/>
          </w:tcPr>
          <w:p>
            <w:pPr>
              <w:spacing w:after="0"/>
              <w:rPr>
                <w:sz w:val="20"/>
                <w:szCs w:val="20"/>
                <w:color w:val="auto"/>
              </w:rPr>
            </w:pPr>
            <w:r>
              <w:rPr>
                <w:rFonts w:ascii="Arial" w:cs="Arial" w:eastAsia="Arial" w:hAnsi="Arial"/>
                <w:sz w:val="11"/>
                <w:szCs w:val="11"/>
                <w:color w:val="auto"/>
              </w:rPr>
              <w:t>10-Q</w:t>
            </w:r>
          </w:p>
        </w:tc>
        <w:tc>
          <w:tcPr>
            <w:tcW w:w="1540" w:type="dxa"/>
            <w:vAlign w:val="bottom"/>
          </w:tcPr>
          <w:p>
            <w:pPr>
              <w:jc w:val="right"/>
              <w:ind w:right="443"/>
              <w:spacing w:after="0"/>
              <w:rPr>
                <w:sz w:val="20"/>
                <w:szCs w:val="20"/>
                <w:color w:val="auto"/>
              </w:rPr>
            </w:pPr>
            <w:r>
              <w:rPr>
                <w:rFonts w:ascii="Arial" w:cs="Arial" w:eastAsia="Arial" w:hAnsi="Arial"/>
                <w:sz w:val="11"/>
                <w:szCs w:val="11"/>
                <w:color w:val="auto"/>
              </w:rPr>
              <w:t>001-35480</w:t>
            </w:r>
          </w:p>
        </w:tc>
        <w:tc>
          <w:tcPr>
            <w:tcW w:w="1080" w:type="dxa"/>
            <w:vAlign w:val="bottom"/>
          </w:tcPr>
          <w:p>
            <w:pPr>
              <w:jc w:val="right"/>
              <w:ind w:right="303"/>
              <w:spacing w:after="0"/>
              <w:rPr>
                <w:sz w:val="20"/>
                <w:szCs w:val="20"/>
                <w:color w:val="auto"/>
              </w:rPr>
            </w:pPr>
            <w:r>
              <w:rPr>
                <w:rFonts w:ascii="Arial" w:cs="Arial" w:eastAsia="Arial" w:hAnsi="Arial"/>
                <w:sz w:val="11"/>
                <w:szCs w:val="11"/>
                <w:color w:val="auto"/>
              </w:rPr>
              <w:t>10.1</w:t>
            </w:r>
          </w:p>
        </w:tc>
        <w:tc>
          <w:tcPr>
            <w:tcW w:w="1800" w:type="dxa"/>
            <w:vAlign w:val="bottom"/>
          </w:tcPr>
          <w:p>
            <w:pPr>
              <w:jc w:val="right"/>
              <w:ind w:right="803"/>
              <w:spacing w:after="0"/>
              <w:rPr>
                <w:sz w:val="20"/>
                <w:szCs w:val="20"/>
                <w:color w:val="auto"/>
              </w:rPr>
            </w:pPr>
            <w:r>
              <w:rPr>
                <w:rFonts w:ascii="Arial" w:cs="Arial" w:eastAsia="Arial" w:hAnsi="Arial"/>
                <w:sz w:val="11"/>
                <w:szCs w:val="11"/>
                <w:color w:val="auto"/>
              </w:rPr>
              <w:t>10/27/2020</w:t>
            </w:r>
          </w:p>
        </w:tc>
      </w:tr>
      <w:tr>
        <w:trPr>
          <w:trHeight w:val="340"/>
        </w:trPr>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ind w:left="1720"/>
              <w:spacing w:after="0"/>
              <w:rPr>
                <w:sz w:val="20"/>
                <w:szCs w:val="20"/>
                <w:color w:val="auto"/>
              </w:rPr>
            </w:pPr>
            <w:r>
              <w:rPr>
                <w:rFonts w:ascii="Arial" w:cs="Arial" w:eastAsia="Arial" w:hAnsi="Arial"/>
                <w:sz w:val="11"/>
                <w:szCs w:val="11"/>
                <w:color w:val="auto"/>
                <w:w w:val="81"/>
              </w:rPr>
              <w:t>X</w:t>
            </w:r>
          </w:p>
        </w:tc>
      </w:tr>
      <w:tr>
        <w:trPr>
          <w:trHeight w:val="403"/>
        </w:trPr>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ind w:left="1720"/>
              <w:spacing w:after="0"/>
              <w:rPr>
                <w:sz w:val="20"/>
                <w:szCs w:val="20"/>
                <w:color w:val="auto"/>
              </w:rPr>
            </w:pPr>
            <w:r>
              <w:rPr>
                <w:rFonts w:ascii="Arial" w:cs="Arial" w:eastAsia="Arial" w:hAnsi="Arial"/>
                <w:sz w:val="11"/>
                <w:szCs w:val="11"/>
                <w:color w:val="auto"/>
                <w:w w:val="8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-1679575</wp:posOffset>
            </wp:positionV>
            <wp:extent cx="7134860" cy="269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-1194435</wp:posOffset>
            </wp:positionV>
            <wp:extent cx="7134860" cy="269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-628650</wp:posOffset>
            </wp:positionV>
            <wp:extent cx="7134860" cy="2159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7134860" cy="21590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-197485</wp:posOffset>
            </wp:positionV>
            <wp:extent cx="7134860" cy="296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7134860" cy="296545"/>
                    </a:xfrm>
                    <a:prstGeom prst="rect">
                      <a:avLst/>
                    </a:prstGeom>
                    <a:noFill/>
                  </pic:spPr>
                </pic:pic>
              </a:graphicData>
            </a:graphic>
          </wp:anchor>
        </w:drawing>
      </w:r>
    </w:p>
    <w:p>
      <w:pPr>
        <w:spacing w:after="0" w:line="294"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114935</wp:posOffset>
            </wp:positionV>
            <wp:extent cx="7134860" cy="2159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7134860" cy="215900"/>
                    </a:xfrm>
                    <a:prstGeom prst="rect">
                      <a:avLst/>
                    </a:prstGeom>
                    <a:noFill/>
                  </pic:spPr>
                </pic:pic>
              </a:graphicData>
            </a:graphic>
          </wp:anchor>
        </w:drawing>
      </w:r>
    </w:p>
    <w:p>
      <w:pPr>
        <w:spacing w:after="0" w:line="257"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74295</wp:posOffset>
            </wp:positionV>
            <wp:extent cx="7134860" cy="3771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7134860" cy="377190"/>
                    </a:xfrm>
                    <a:prstGeom prst="rect">
                      <a:avLst/>
                    </a:prstGeom>
                    <a:noFill/>
                  </pic:spPr>
                </pic:pic>
              </a:graphicData>
            </a:graphic>
          </wp:anchor>
        </w:drawing>
      </w:r>
    </w:p>
    <w:p>
      <w:pPr>
        <w:spacing w:after="0" w:line="320"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340"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74295</wp:posOffset>
            </wp:positionV>
            <wp:extent cx="7134860" cy="2159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7134860" cy="215900"/>
                    </a:xfrm>
                    <a:prstGeom prst="rect">
                      <a:avLst/>
                    </a:prstGeom>
                    <a:noFill/>
                  </pic:spPr>
                </pic:pic>
              </a:graphicData>
            </a:graphic>
          </wp:anchor>
        </w:drawing>
      </w:r>
    </w:p>
    <w:p>
      <w:pPr>
        <w:spacing w:after="0" w:line="193"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74295</wp:posOffset>
            </wp:positionV>
            <wp:extent cx="7134860" cy="2159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7134860" cy="215900"/>
                    </a:xfrm>
                    <a:prstGeom prst="rect">
                      <a:avLst/>
                    </a:prstGeom>
                    <a:noFill/>
                  </pic:spPr>
                </pic:pic>
              </a:graphicData>
            </a:graphic>
          </wp:anchor>
        </w:drawing>
      </w:r>
    </w:p>
    <w:p>
      <w:pPr>
        <w:spacing w:after="0" w:line="193"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74295</wp:posOffset>
            </wp:positionV>
            <wp:extent cx="7134860" cy="2159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34860" cy="215900"/>
                    </a:xfrm>
                    <a:prstGeom prst="rect">
                      <a:avLst/>
                    </a:prstGeom>
                    <a:noFill/>
                  </pic:spPr>
                </pic:pic>
              </a:graphicData>
            </a:graphic>
          </wp:anchor>
        </w:drawing>
      </w:r>
    </w:p>
    <w:p>
      <w:pPr>
        <w:spacing w:after="0" w:line="193" w:lineRule="exact"/>
        <w:rPr>
          <w:sz w:val="20"/>
          <w:szCs w:val="20"/>
          <w:color w:val="auto"/>
        </w:rPr>
      </w:pPr>
    </w:p>
    <w:p>
      <w:pPr>
        <w:jc w:val="right"/>
        <w:ind w:right="440"/>
        <w:spacing w:after="0"/>
        <w:rPr>
          <w:sz w:val="20"/>
          <w:szCs w:val="20"/>
          <w:color w:val="auto"/>
        </w:rPr>
      </w:pPr>
      <w:r>
        <w:rPr>
          <w:rFonts w:ascii="Arial" w:cs="Arial" w:eastAsia="Arial" w:hAnsi="Arial"/>
          <w:sz w:val="11"/>
          <w:szCs w:val="1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471805</wp:posOffset>
            </wp:positionV>
            <wp:extent cx="695960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180" w:space="460"/>
            <w:col w:w="5600"/>
          </w:cols>
          <w:pgMar w:left="300" w:top="25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8"/>
          <w:szCs w:val="8"/>
          <w:color w:val="828282"/>
        </w:rPr>
        <w:t>Enphase Energy, Inc. | 2020 Form 10-K |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250" w:right="359" w:bottom="1440" w:gutter="0" w:footer="0" w:header="0"/>
          <w:type w:val="continuous"/>
        </w:sectPr>
      </w:pPr>
    </w:p>
    <w:bookmarkStart w:id="134" w:name="page135"/>
    <w:bookmarkEnd w:id="134"/>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2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Exhibit Number   Exhibit Description</w:t>
            </w:r>
          </w:p>
        </w:tc>
        <w:tc>
          <w:tcPr>
            <w:tcW w:w="10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Form</w:t>
            </w: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Incorporation by Reference</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280" w:type="dxa"/>
            <w:vAlign w:val="bottom"/>
            <w:gridSpan w:val="4"/>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80" w:type="dxa"/>
            <w:vAlign w:val="bottom"/>
            <w:gridSpan w:val="2"/>
          </w:tcPr>
          <w:p>
            <w:pPr>
              <w:ind w:left="460"/>
              <w:spacing w:after="0"/>
              <w:rPr>
                <w:sz w:val="20"/>
                <w:szCs w:val="20"/>
                <w:color w:val="auto"/>
              </w:rPr>
            </w:pPr>
            <w:r>
              <w:rPr>
                <w:rFonts w:ascii="Arial" w:cs="Arial" w:eastAsia="Arial" w:hAnsi="Arial"/>
                <w:sz w:val="11"/>
                <w:szCs w:val="11"/>
                <w:b w:val="1"/>
                <w:bCs w:val="1"/>
                <w:color w:val="auto"/>
              </w:rPr>
              <w:t>SEC File No.</w:t>
            </w:r>
          </w:p>
        </w:tc>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1160" w:type="dxa"/>
            <w:vAlign w:val="bottom"/>
            <w:gridSpan w:val="2"/>
          </w:tcPr>
          <w:p>
            <w:pPr>
              <w:ind w:left="240"/>
              <w:spacing w:after="0"/>
              <w:rPr>
                <w:sz w:val="20"/>
                <w:szCs w:val="20"/>
                <w:color w:val="auto"/>
              </w:rPr>
            </w:pPr>
            <w:r>
              <w:rPr>
                <w:rFonts w:ascii="Arial" w:cs="Arial" w:eastAsia="Arial" w:hAnsi="Arial"/>
                <w:sz w:val="11"/>
                <w:szCs w:val="11"/>
                <w:b w:val="1"/>
                <w:bCs w:val="1"/>
                <w:color w:val="auto"/>
              </w:rPr>
              <w:t>Filing Date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214"/>
        </w:trPr>
        <w:tc>
          <w:tcPr>
            <w:tcW w:w="100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8"/>
                <w:szCs w:val="18"/>
                <w:color w:val="auto"/>
              </w:rPr>
            </w:pPr>
          </w:p>
        </w:tc>
        <w:tc>
          <w:tcPr>
            <w:tcW w:w="4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Cover Page Interactive Data File (formatted as Inline XBRL and contained in</w:t>
            </w: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89"/>
        </w:trPr>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180" w:type="dxa"/>
            <w:vAlign w:val="bottom"/>
            <w:gridSpan w:val="2"/>
            <w:vMerge w:val="restart"/>
          </w:tcPr>
          <w:p>
            <w:pPr>
              <w:ind w:left="20"/>
              <w:spacing w:after="0"/>
              <w:rPr>
                <w:sz w:val="20"/>
                <w:szCs w:val="20"/>
                <w:color w:val="auto"/>
              </w:rPr>
            </w:pPr>
            <w:r>
              <w:rPr>
                <w:rFonts w:ascii="Arial" w:cs="Arial" w:eastAsia="Arial" w:hAnsi="Arial"/>
                <w:sz w:val="11"/>
                <w:szCs w:val="11"/>
                <w:color w:val="auto"/>
              </w:rPr>
              <w:t>Exhibits 101)</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1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47815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478155" cy="6985"/>
                    </a:xfrm>
                    <a:prstGeom prst="rect">
                      <a:avLst/>
                    </a:prstGeom>
                    <a:noFill/>
                  </pic:spPr>
                </pic:pic>
              </a:graphicData>
            </a:graphic>
          </wp:anchor>
        </w:drawing>
      </w:r>
    </w:p>
    <w:p>
      <w:pPr>
        <w:spacing w:after="0" w:line="254" w:lineRule="exact"/>
        <w:rPr>
          <w:sz w:val="20"/>
          <w:szCs w:val="20"/>
          <w:color w:val="auto"/>
        </w:rPr>
      </w:pPr>
    </w:p>
    <w:p>
      <w:pPr>
        <w:ind w:left="240" w:hanging="235"/>
        <w:spacing w:after="0"/>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Management compensatory plan or arrangement.</w:t>
      </w:r>
    </w:p>
    <w:p>
      <w:pPr>
        <w:spacing w:after="0" w:line="51" w:lineRule="exact"/>
        <w:rPr>
          <w:sz w:val="20"/>
          <w:szCs w:val="20"/>
          <w:color w:val="auto"/>
        </w:rPr>
      </w:pPr>
    </w:p>
    <w:p>
      <w:pPr>
        <w:ind w:left="240" w:hanging="235"/>
        <w:spacing w:after="0"/>
        <w:tabs>
          <w:tab w:leader="none" w:pos="2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Confidential treatment has been granted for certain portions of this exhibit. Omitted information has been filed separately with the Securities and Exchange Commission.</w:t>
      </w:r>
    </w:p>
    <w:p>
      <w:pPr>
        <w:spacing w:after="0" w:line="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Certain portions of this exhibit have been omitted pursuant to Item 601(b)(2) of Regulation S-K.</w:t>
      </w:r>
    </w:p>
    <w:p>
      <w:pPr>
        <w:spacing w:after="0" w:line="94" w:lineRule="exact"/>
        <w:rPr>
          <w:sz w:val="20"/>
          <w:szCs w:val="20"/>
          <w:color w:val="auto"/>
        </w:rPr>
      </w:pPr>
    </w:p>
    <w:p>
      <w:pPr>
        <w:ind w:left="260" w:right="560" w:hanging="255"/>
        <w:spacing w:after="0" w:line="296" w:lineRule="auto"/>
        <w:tabs>
          <w:tab w:leader="none" w:pos="215"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certifications attached as Exhibit 32.1 accompany this annual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386080</wp:posOffset>
            </wp:positionV>
            <wp:extent cx="695960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8"/>
          <w:szCs w:val="8"/>
          <w:color w:val="828282"/>
        </w:rPr>
        <w:t>Enphase Energy, Inc. | 2020 Form 10-K |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250" w:right="359" w:bottom="1440" w:gutter="0" w:footer="0" w:header="0"/>
        </w:sectPr>
      </w:pPr>
    </w:p>
    <w:bookmarkStart w:id="135" w:name="page136"/>
    <w:bookmarkEnd w:id="135"/>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16.</w:t>
        <w:tab/>
        <w:t>Form 10-K Summary</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421640</wp:posOffset>
            </wp:positionV>
            <wp:extent cx="695960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659"/>
        <w:spacing w:after="0"/>
        <w:rPr>
          <w:sz w:val="20"/>
          <w:szCs w:val="20"/>
          <w:color w:val="auto"/>
        </w:rPr>
      </w:pPr>
      <w:r>
        <w:rPr>
          <w:rFonts w:ascii="Arial" w:cs="Arial" w:eastAsia="Arial" w:hAnsi="Arial"/>
          <w:sz w:val="8"/>
          <w:szCs w:val="8"/>
          <w:color w:val="828282"/>
        </w:rPr>
        <w:t>Enphase Energy, Inc. | 2020 Form 10-K |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250" w:right="1440" w:bottom="1440" w:gutter="0" w:footer="0" w:header="0"/>
        </w:sectPr>
      </w:pPr>
    </w:p>
    <w:bookmarkStart w:id="136" w:name="page137"/>
    <w:bookmarkEnd w:id="136"/>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39"/>
        <w:spacing w:after="0"/>
        <w:rPr>
          <w:sz w:val="20"/>
          <w:szCs w:val="20"/>
          <w:color w:val="auto"/>
        </w:rPr>
      </w:pPr>
      <w:r>
        <w:rPr>
          <w:rFonts w:ascii="Arial" w:cs="Arial" w:eastAsia="Arial" w:hAnsi="Arial"/>
          <w:sz w:val="14"/>
          <w:szCs w:val="14"/>
          <w:b w:val="1"/>
          <w:bCs w:val="1"/>
          <w:color w:val="auto"/>
        </w:rPr>
        <w:t>SIGNATURES</w:t>
      </w:r>
    </w:p>
    <w:p>
      <w:pPr>
        <w:spacing w:after="0" w:line="96"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February 12, 2021.</w:t>
      </w:r>
    </w:p>
    <w:p>
      <w:pPr>
        <w:spacing w:after="0" w:line="146"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auto"/>
        </w:rPr>
        <w:t>Enphase Energy, Inc.</w:t>
      </w:r>
    </w:p>
    <w:p>
      <w:pPr>
        <w:spacing w:after="0" w:line="192" w:lineRule="exact"/>
        <w:rPr>
          <w:sz w:val="20"/>
          <w:szCs w:val="20"/>
          <w:color w:val="auto"/>
        </w:rPr>
      </w:pPr>
    </w:p>
    <w:p>
      <w:pPr>
        <w:ind w:left="6240"/>
        <w:spacing w:after="0"/>
        <w:tabs>
          <w:tab w:leader="none" w:pos="71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15240</wp:posOffset>
            </wp:positionV>
            <wp:extent cx="293243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2932430" cy="6985"/>
                    </a:xfrm>
                    <a:prstGeom prst="rect">
                      <a:avLst/>
                    </a:prstGeom>
                    <a:noFill/>
                  </pic:spPr>
                </pic:pic>
              </a:graphicData>
            </a:graphic>
          </wp:anchor>
        </w:drawing>
      </w:r>
    </w:p>
    <w:p>
      <w:pPr>
        <w:spacing w:after="0" w:line="11"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Badrinarayanan Kothandaraman</w:t>
      </w:r>
    </w:p>
    <w:p>
      <w:pPr>
        <w:spacing w:after="0" w:line="22"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640715</wp:posOffset>
            </wp:positionV>
            <wp:extent cx="695960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00"/>
        <w:spacing w:after="0"/>
        <w:rPr>
          <w:sz w:val="20"/>
          <w:szCs w:val="20"/>
          <w:color w:val="auto"/>
        </w:rPr>
      </w:pPr>
      <w:r>
        <w:rPr>
          <w:rFonts w:ascii="Arial" w:cs="Arial" w:eastAsia="Arial" w:hAnsi="Arial"/>
          <w:sz w:val="8"/>
          <w:szCs w:val="8"/>
          <w:color w:val="828282"/>
        </w:rPr>
        <w:t>Enphase Energy, Inc. | 2020 Form 10-K |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760"/>
          </w:cols>
          <w:pgMar w:left="300" w:top="250" w:right="839" w:bottom="1440" w:gutter="0" w:footer="0" w:header="0"/>
        </w:sectPr>
      </w:pPr>
    </w:p>
    <w:bookmarkStart w:id="137" w:name="page138"/>
    <w:bookmarkEnd w:id="137"/>
    <w:p>
      <w:pPr>
        <w:spacing w:after="0"/>
        <w:rPr>
          <w:rFonts w:ascii="Arial" w:cs="Arial" w:eastAsia="Arial" w:hAnsi="Arial"/>
          <w:sz w:val="14"/>
          <w:szCs w:val="14"/>
          <w:i w:val="1"/>
          <w:iCs w:val="1"/>
          <w:color w:val="0000FF"/>
        </w:rPr>
      </w:pPr>
      <w:hyperlink w:anchor="page2">
        <w:r>
          <w:rPr>
            <w:rFonts w:ascii="Arial" w:cs="Arial" w:eastAsia="Arial" w:hAnsi="Arial"/>
            <w:sz w:val="14"/>
            <w:szCs w:val="14"/>
            <w:i w:val="1"/>
            <w:i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b w:val="1"/>
          <w:bCs w:val="1"/>
          <w:color w:val="auto"/>
        </w:rPr>
        <w:t xml:space="preserve">KNOW ALL PERSONS BY THESE PRESENTS, </w:t>
      </w:r>
      <w:r>
        <w:rPr>
          <w:rFonts w:ascii="Arial" w:cs="Arial" w:eastAsia="Arial" w:hAnsi="Arial"/>
          <w:sz w:val="14"/>
          <w:szCs w:val="14"/>
          <w:color w:val="auto"/>
        </w:rPr>
        <w:t>that each person whose signature appears below constitutes and appoints Badrinarayanan Kothandaraman and Eric</w:t>
      </w:r>
      <w:r>
        <w:rPr>
          <w:rFonts w:ascii="Arial" w:cs="Arial" w:eastAsia="Arial" w:hAnsi="Arial"/>
          <w:sz w:val="14"/>
          <w:szCs w:val="14"/>
          <w:b w:val="1"/>
          <w:bCs w:val="1"/>
          <w:color w:val="auto"/>
        </w:rPr>
        <w:t xml:space="preserve"> </w:t>
      </w:r>
      <w:r>
        <w:rPr>
          <w:rFonts w:ascii="Arial" w:cs="Arial" w:eastAsia="Arial" w:hAnsi="Arial"/>
          <w:sz w:val="14"/>
          <w:szCs w:val="14"/>
          <w:color w:val="auto"/>
        </w:rPr>
        <w:t>Branderiz,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30"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on the dates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Signature</w:t>
            </w:r>
          </w:p>
        </w:tc>
        <w:tc>
          <w:tcPr>
            <w:tcW w:w="100" w:type="dxa"/>
            <w:vAlign w:val="bottom"/>
          </w:tcPr>
          <w:p>
            <w:pPr>
              <w:spacing w:after="0"/>
              <w:rPr>
                <w:sz w:val="13"/>
                <w:szCs w:val="13"/>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00" w:type="dxa"/>
            <w:vAlign w:val="bottom"/>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332"/>
        </w:trPr>
        <w:tc>
          <w:tcPr>
            <w:tcW w:w="4720" w:type="dxa"/>
            <w:vAlign w:val="bottom"/>
          </w:tcPr>
          <w:p>
            <w:pPr>
              <w:jc w:val="center"/>
              <w:spacing w:after="0"/>
              <w:rPr>
                <w:sz w:val="20"/>
                <w:szCs w:val="20"/>
                <w:color w:val="auto"/>
              </w:rPr>
            </w:pPr>
            <w:r>
              <w:rPr>
                <w:rFonts w:ascii="Arial" w:cs="Arial" w:eastAsia="Arial" w:hAnsi="Arial"/>
                <w:sz w:val="13"/>
                <w:szCs w:val="13"/>
                <w:color w:val="auto"/>
                <w:w w:val="96"/>
              </w:rPr>
              <w:t>/s/ BADRINARAYANAN KOTHANDARAMAN</w:t>
            </w:r>
          </w:p>
        </w:tc>
        <w:tc>
          <w:tcPr>
            <w:tcW w:w="100" w:type="dxa"/>
            <w:vAlign w:val="bottom"/>
          </w:tcPr>
          <w:p>
            <w:pPr>
              <w:spacing w:after="0"/>
              <w:rPr>
                <w:sz w:val="24"/>
                <w:szCs w:val="24"/>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President and Chief Executive Officer</w:t>
            </w:r>
          </w:p>
        </w:tc>
        <w:tc>
          <w:tcPr>
            <w:tcW w:w="2020" w:type="dxa"/>
            <w:vAlign w:val="bottom"/>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8"/>
              </w:rPr>
              <w:t>(Principal Executive Officer)</w:t>
            </w: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4720" w:type="dxa"/>
            <w:vAlign w:val="bottom"/>
            <w:vMerge w:val="restart"/>
          </w:tcPr>
          <w:p>
            <w:pPr>
              <w:jc w:val="center"/>
              <w:spacing w:after="0"/>
              <w:rPr>
                <w:sz w:val="20"/>
                <w:szCs w:val="20"/>
                <w:color w:val="auto"/>
              </w:rPr>
            </w:pPr>
            <w:r>
              <w:rPr>
                <w:rFonts w:ascii="Arial" w:cs="Arial" w:eastAsia="Arial" w:hAnsi="Arial"/>
                <w:sz w:val="13"/>
                <w:szCs w:val="13"/>
                <w:color w:val="auto"/>
                <w:w w:val="97"/>
              </w:rPr>
              <w:t>Badrinarayanan Kothandaraman</w:t>
            </w:r>
          </w:p>
        </w:tc>
        <w:tc>
          <w:tcPr>
            <w:tcW w:w="100" w:type="dxa"/>
            <w:vAlign w:val="bottom"/>
            <w:vMerge w:val="continue"/>
          </w:tcPr>
          <w:p>
            <w:pPr>
              <w:spacing w:after="0"/>
              <w:rPr>
                <w:sz w:val="11"/>
                <w:szCs w:val="11"/>
                <w:color w:val="auto"/>
              </w:rPr>
            </w:pPr>
          </w:p>
        </w:tc>
        <w:tc>
          <w:tcPr>
            <w:tcW w:w="444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720" w:type="dxa"/>
            <w:vAlign w:val="bottom"/>
          </w:tcPr>
          <w:p>
            <w:pPr>
              <w:jc w:val="center"/>
              <w:spacing w:after="0"/>
              <w:rPr>
                <w:sz w:val="20"/>
                <w:szCs w:val="20"/>
                <w:color w:val="auto"/>
              </w:rPr>
            </w:pPr>
            <w:r>
              <w:rPr>
                <w:rFonts w:ascii="Arial" w:cs="Arial" w:eastAsia="Arial" w:hAnsi="Arial"/>
                <w:sz w:val="13"/>
                <w:szCs w:val="13"/>
                <w:color w:val="auto"/>
                <w:w w:val="97"/>
              </w:rPr>
              <w:t>/s/ ERIC BRANDERIZ</w:t>
            </w:r>
          </w:p>
        </w:tc>
        <w:tc>
          <w:tcPr>
            <w:tcW w:w="100" w:type="dxa"/>
            <w:vAlign w:val="bottom"/>
          </w:tcPr>
          <w:p>
            <w:pPr>
              <w:spacing w:after="0"/>
              <w:rPr>
                <w:sz w:val="20"/>
                <w:szCs w:val="20"/>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Executive Vice President and Chief Financial Officer</w:t>
            </w:r>
          </w:p>
        </w:tc>
        <w:tc>
          <w:tcPr>
            <w:tcW w:w="2020" w:type="dxa"/>
            <w:vAlign w:val="bottom"/>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7"/>
              </w:rPr>
              <w:t>(Principal Financial Officer)</w:t>
            </w: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4720" w:type="dxa"/>
            <w:vAlign w:val="bottom"/>
            <w:vMerge w:val="restart"/>
          </w:tcPr>
          <w:p>
            <w:pPr>
              <w:jc w:val="center"/>
              <w:spacing w:after="0"/>
              <w:rPr>
                <w:sz w:val="20"/>
                <w:szCs w:val="20"/>
                <w:color w:val="auto"/>
              </w:rPr>
            </w:pPr>
            <w:r>
              <w:rPr>
                <w:rFonts w:ascii="Arial" w:cs="Arial" w:eastAsia="Arial" w:hAnsi="Arial"/>
                <w:sz w:val="13"/>
                <w:szCs w:val="13"/>
                <w:color w:val="auto"/>
                <w:w w:val="97"/>
              </w:rPr>
              <w:t>Eric Branderiz</w:t>
            </w:r>
          </w:p>
        </w:tc>
        <w:tc>
          <w:tcPr>
            <w:tcW w:w="100" w:type="dxa"/>
            <w:vAlign w:val="bottom"/>
            <w:vMerge w:val="continue"/>
          </w:tcPr>
          <w:p>
            <w:pPr>
              <w:spacing w:after="0"/>
              <w:rPr>
                <w:sz w:val="11"/>
                <w:szCs w:val="11"/>
                <w:color w:val="auto"/>
              </w:rPr>
            </w:pPr>
          </w:p>
        </w:tc>
        <w:tc>
          <w:tcPr>
            <w:tcW w:w="444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720" w:type="dxa"/>
            <w:vAlign w:val="bottom"/>
          </w:tcPr>
          <w:p>
            <w:pPr>
              <w:jc w:val="center"/>
              <w:spacing w:after="0"/>
              <w:rPr>
                <w:sz w:val="20"/>
                <w:szCs w:val="20"/>
                <w:color w:val="auto"/>
              </w:rPr>
            </w:pPr>
            <w:r>
              <w:rPr>
                <w:rFonts w:ascii="Arial" w:cs="Arial" w:eastAsia="Arial" w:hAnsi="Arial"/>
                <w:sz w:val="13"/>
                <w:szCs w:val="13"/>
                <w:color w:val="auto"/>
                <w:w w:val="95"/>
              </w:rPr>
              <w:t>/s/ MANDY YANG</w:t>
            </w:r>
          </w:p>
        </w:tc>
        <w:tc>
          <w:tcPr>
            <w:tcW w:w="100" w:type="dxa"/>
            <w:vAlign w:val="bottom"/>
          </w:tcPr>
          <w:p>
            <w:pPr>
              <w:spacing w:after="0"/>
              <w:rPr>
                <w:sz w:val="20"/>
                <w:szCs w:val="20"/>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Vice President, Chief Accounting Officer and Treasurer</w:t>
            </w:r>
          </w:p>
        </w:tc>
        <w:tc>
          <w:tcPr>
            <w:tcW w:w="2020" w:type="dxa"/>
            <w:vAlign w:val="bottom"/>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7"/>
              </w:rPr>
              <w:t>(Principal Accounting Officer)</w:t>
            </w: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4720" w:type="dxa"/>
            <w:vAlign w:val="bottom"/>
            <w:vMerge w:val="restart"/>
          </w:tcPr>
          <w:p>
            <w:pPr>
              <w:jc w:val="center"/>
              <w:spacing w:after="0"/>
              <w:rPr>
                <w:sz w:val="20"/>
                <w:szCs w:val="20"/>
                <w:color w:val="auto"/>
              </w:rPr>
            </w:pPr>
            <w:r>
              <w:rPr>
                <w:rFonts w:ascii="Arial" w:cs="Arial" w:eastAsia="Arial" w:hAnsi="Arial"/>
                <w:sz w:val="13"/>
                <w:szCs w:val="13"/>
                <w:color w:val="auto"/>
                <w:w w:val="98"/>
              </w:rPr>
              <w:t>Mandy Yang</w:t>
            </w:r>
          </w:p>
        </w:tc>
        <w:tc>
          <w:tcPr>
            <w:tcW w:w="100" w:type="dxa"/>
            <w:vAlign w:val="bottom"/>
            <w:vMerge w:val="continue"/>
          </w:tcPr>
          <w:p>
            <w:pPr>
              <w:spacing w:after="0"/>
              <w:rPr>
                <w:sz w:val="11"/>
                <w:szCs w:val="11"/>
                <w:color w:val="auto"/>
              </w:rPr>
            </w:pPr>
          </w:p>
        </w:tc>
        <w:tc>
          <w:tcPr>
            <w:tcW w:w="444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STEVEN J. GOMO</w:t>
            </w:r>
          </w:p>
        </w:tc>
        <w:tc>
          <w:tcPr>
            <w:tcW w:w="10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163"/>
        </w:trPr>
        <w:tc>
          <w:tcPr>
            <w:tcW w:w="4720" w:type="dxa"/>
            <w:vAlign w:val="bottom"/>
          </w:tcPr>
          <w:p>
            <w:pPr>
              <w:jc w:val="center"/>
              <w:spacing w:after="0"/>
              <w:rPr>
                <w:sz w:val="20"/>
                <w:szCs w:val="20"/>
                <w:color w:val="auto"/>
              </w:rPr>
            </w:pPr>
            <w:r>
              <w:rPr>
                <w:rFonts w:ascii="Arial" w:cs="Arial" w:eastAsia="Arial" w:hAnsi="Arial"/>
                <w:sz w:val="13"/>
                <w:szCs w:val="13"/>
                <w:color w:val="auto"/>
                <w:w w:val="98"/>
              </w:rPr>
              <w:t>Steven J. Gomo</w:t>
            </w: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JAMIE HAENGGI</w:t>
            </w:r>
          </w:p>
        </w:tc>
        <w:tc>
          <w:tcPr>
            <w:tcW w:w="10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163"/>
        </w:trPr>
        <w:tc>
          <w:tcPr>
            <w:tcW w:w="4720" w:type="dxa"/>
            <w:vAlign w:val="bottom"/>
          </w:tcPr>
          <w:p>
            <w:pPr>
              <w:jc w:val="center"/>
              <w:spacing w:after="0"/>
              <w:rPr>
                <w:sz w:val="20"/>
                <w:szCs w:val="20"/>
                <w:color w:val="auto"/>
              </w:rPr>
            </w:pPr>
            <w:r>
              <w:rPr>
                <w:rFonts w:ascii="Arial" w:cs="Arial" w:eastAsia="Arial" w:hAnsi="Arial"/>
                <w:sz w:val="13"/>
                <w:szCs w:val="13"/>
                <w:color w:val="auto"/>
                <w:w w:val="96"/>
              </w:rPr>
              <w:t>Jamie Haenggi</w:t>
            </w: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BENJAMIN KORTLANG</w:t>
            </w:r>
          </w:p>
        </w:tc>
        <w:tc>
          <w:tcPr>
            <w:tcW w:w="10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163"/>
        </w:trPr>
        <w:tc>
          <w:tcPr>
            <w:tcW w:w="4720" w:type="dxa"/>
            <w:vAlign w:val="bottom"/>
          </w:tcPr>
          <w:p>
            <w:pPr>
              <w:jc w:val="center"/>
              <w:spacing w:after="0"/>
              <w:rPr>
                <w:sz w:val="20"/>
                <w:szCs w:val="20"/>
                <w:color w:val="auto"/>
              </w:rPr>
            </w:pPr>
            <w:r>
              <w:rPr>
                <w:rFonts w:ascii="Arial" w:cs="Arial" w:eastAsia="Arial" w:hAnsi="Arial"/>
                <w:sz w:val="13"/>
                <w:szCs w:val="13"/>
                <w:color w:val="auto"/>
                <w:w w:val="97"/>
              </w:rPr>
              <w:t>Benjamin Kortlang</w:t>
            </w: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JOESEPH MALCHOW</w:t>
            </w:r>
          </w:p>
        </w:tc>
        <w:tc>
          <w:tcPr>
            <w:tcW w:w="10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163"/>
        </w:trPr>
        <w:tc>
          <w:tcPr>
            <w:tcW w:w="4720" w:type="dxa"/>
            <w:vAlign w:val="bottom"/>
          </w:tcPr>
          <w:p>
            <w:pPr>
              <w:jc w:val="center"/>
              <w:spacing w:after="0"/>
              <w:rPr>
                <w:sz w:val="20"/>
                <w:szCs w:val="20"/>
                <w:color w:val="auto"/>
              </w:rPr>
            </w:pPr>
            <w:r>
              <w:rPr>
                <w:rFonts w:ascii="Arial" w:cs="Arial" w:eastAsia="Arial" w:hAnsi="Arial"/>
                <w:sz w:val="13"/>
                <w:szCs w:val="13"/>
                <w:color w:val="auto"/>
                <w:w w:val="99"/>
              </w:rPr>
              <w:t>Joseph Malchow</w:t>
            </w: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RICHARD MORA</w:t>
            </w:r>
          </w:p>
        </w:tc>
        <w:tc>
          <w:tcPr>
            <w:tcW w:w="10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163"/>
        </w:trPr>
        <w:tc>
          <w:tcPr>
            <w:tcW w:w="4720" w:type="dxa"/>
            <w:vAlign w:val="bottom"/>
          </w:tcPr>
          <w:p>
            <w:pPr>
              <w:jc w:val="center"/>
              <w:spacing w:after="0"/>
              <w:rPr>
                <w:sz w:val="20"/>
                <w:szCs w:val="20"/>
                <w:color w:val="auto"/>
              </w:rPr>
            </w:pPr>
            <w:r>
              <w:rPr>
                <w:rFonts w:ascii="Arial" w:cs="Arial" w:eastAsia="Arial" w:hAnsi="Arial"/>
                <w:sz w:val="13"/>
                <w:szCs w:val="13"/>
                <w:color w:val="auto"/>
                <w:w w:val="97"/>
              </w:rPr>
              <w:t>Richard Mora</w:t>
            </w: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THURMAN JOHN RODGERS</w:t>
            </w:r>
          </w:p>
        </w:tc>
        <w:tc>
          <w:tcPr>
            <w:tcW w:w="100" w:type="dxa"/>
            <w:vAlign w:val="bottom"/>
          </w:tcPr>
          <w:p>
            <w:pPr>
              <w:spacing w:after="0"/>
              <w:rPr>
                <w:sz w:val="18"/>
                <w:szCs w:val="18"/>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February 12, 2021</w:t>
            </w:r>
          </w:p>
        </w:tc>
        <w:tc>
          <w:tcPr>
            <w:tcW w:w="0" w:type="dxa"/>
            <w:vAlign w:val="bottom"/>
          </w:tcPr>
          <w:p>
            <w:pPr>
              <w:spacing w:after="0"/>
              <w:rPr>
                <w:sz w:val="1"/>
                <w:szCs w:val="1"/>
                <w:color w:val="auto"/>
              </w:rPr>
            </w:pPr>
          </w:p>
        </w:tc>
      </w:tr>
      <w:tr>
        <w:trPr>
          <w:trHeight w:val="163"/>
        </w:trPr>
        <w:tc>
          <w:tcPr>
            <w:tcW w:w="4720" w:type="dxa"/>
            <w:vAlign w:val="bottom"/>
          </w:tcPr>
          <w:p>
            <w:pPr>
              <w:jc w:val="center"/>
              <w:spacing w:after="0"/>
              <w:rPr>
                <w:sz w:val="20"/>
                <w:szCs w:val="20"/>
                <w:color w:val="auto"/>
              </w:rPr>
            </w:pPr>
            <w:r>
              <w:rPr>
                <w:rFonts w:ascii="Arial" w:cs="Arial" w:eastAsia="Arial" w:hAnsi="Arial"/>
                <w:sz w:val="13"/>
                <w:szCs w:val="13"/>
                <w:color w:val="auto"/>
                <w:w w:val="96"/>
              </w:rPr>
              <w:t>Thurman John Rodgers</w:t>
            </w: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625475</wp:posOffset>
            </wp:positionV>
            <wp:extent cx="695960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8"/>
          <w:szCs w:val="8"/>
          <w:color w:val="828282"/>
        </w:rPr>
        <w:t>Enphase Energy, Inc. | 2020 Form 10-K | 138</w:t>
      </w:r>
    </w:p>
    <w:p>
      <w:pPr>
        <w:sectPr>
          <w:pgSz w:w="11900" w:h="16838" w:orient="portrait"/>
          <w:cols w:equalWidth="0" w:num="1">
            <w:col w:w="11280"/>
          </w:cols>
          <w:pgMar w:left="300" w:top="250"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auto"/>
        </w:rPr>
        <w:t>Exhibit 4.8</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96"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Enphase Energy, Inc., or the Company, is authorized to issue up to 200,000,000 shares of common stock, $0.00001 par value per share, or common stock, and 10,000,000 shares of preferred stock, $0.00001 par value per share, or preferred stock.</w:t>
      </w:r>
    </w:p>
    <w:p>
      <w:pPr>
        <w:spacing w:after="0" w:line="2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following summary description is based on the provisions of our certificate of incorporation, our amended and restated bylaws and the applicable provisions of the Delaware General Corporation Law. This information may not be complete in all respects and is qualified entirely by reference to the provisions of our certificate of incorporation, our amended and restated bylaws and the Delaware General Corporation Law. Our certificate of incorporation and our amended and restated bylaws are filed as exhibits to this Annual Report on Form 10-K to which this Description of Capital Stock is an exhibit.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92" w:lineRule="exact"/>
        <w:rPr>
          <w:sz w:val="20"/>
          <w:szCs w:val="20"/>
          <w:color w:val="auto"/>
        </w:rPr>
      </w:pPr>
    </w:p>
    <w:p>
      <w:pPr>
        <w:jc w:val="both"/>
        <w:ind w:firstLine="382"/>
        <w:spacing w:after="0" w:line="295" w:lineRule="auto"/>
        <w:rPr>
          <w:sz w:val="20"/>
          <w:szCs w:val="20"/>
          <w:color w:val="auto"/>
        </w:rPr>
      </w:pPr>
      <w:r>
        <w:rPr>
          <w:rFonts w:ascii="Arial" w:cs="Arial" w:eastAsia="Arial" w:hAnsi="Arial"/>
          <w:sz w:val="14"/>
          <w:szCs w:val="14"/>
          <w:i w:val="1"/>
          <w:iCs w:val="1"/>
          <w:color w:val="auto"/>
        </w:rPr>
        <w:t>General</w:t>
      </w:r>
      <w:r>
        <w:rPr>
          <w:rFonts w:ascii="Times New Roman" w:cs="Times New Roman" w:eastAsia="Times New Roman" w:hAnsi="Times New Roman"/>
          <w:sz w:val="14"/>
          <w:szCs w:val="14"/>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following is a description of our common stock, which is the only security of the Company registered pursuant to Section 12 of the Securities Exchange Act of</w:t>
      </w:r>
      <w:r>
        <w:rPr>
          <w:rFonts w:ascii="Arial" w:cs="Arial" w:eastAsia="Arial" w:hAnsi="Arial"/>
          <w:sz w:val="14"/>
          <w:szCs w:val="14"/>
          <w:i w:val="1"/>
          <w:iCs w:val="1"/>
          <w:color w:val="auto"/>
        </w:rPr>
        <w:t xml:space="preserve"> </w:t>
      </w:r>
      <w:r>
        <w:rPr>
          <w:rFonts w:ascii="Arial" w:cs="Arial" w:eastAsia="Arial" w:hAnsi="Arial"/>
          <w:sz w:val="14"/>
          <w:szCs w:val="14"/>
          <w:color w:val="auto"/>
        </w:rPr>
        <w:t>1934, as amended, or the Exchange Act.</w:t>
      </w:r>
    </w:p>
    <w:p>
      <w:pPr>
        <w:spacing w:after="0" w:line="28"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i w:val="1"/>
          <w:iCs w:val="1"/>
          <w:color w:val="auto"/>
        </w:rPr>
        <w:t xml:space="preserve">Dividend rights. </w:t>
      </w:r>
      <w:r>
        <w:rPr>
          <w:rFonts w:ascii="Arial" w:cs="Arial" w:eastAsia="Arial" w:hAnsi="Arial"/>
          <w:sz w:val="14"/>
          <w:szCs w:val="14"/>
          <w:color w:val="auto"/>
        </w:rPr>
        <w:t>Subject to preferences that may apply to shares of preferred stock outstanding at the time, the holders of outstanding shares of our common stock are entitled</w:t>
      </w:r>
      <w:r>
        <w:rPr>
          <w:rFonts w:ascii="Arial" w:cs="Arial" w:eastAsia="Arial" w:hAnsi="Arial"/>
          <w:sz w:val="14"/>
          <w:szCs w:val="14"/>
          <w:i w:val="1"/>
          <w:iCs w:val="1"/>
          <w:color w:val="auto"/>
        </w:rPr>
        <w:t xml:space="preserve"> </w:t>
      </w:r>
      <w:r>
        <w:rPr>
          <w:rFonts w:ascii="Arial" w:cs="Arial" w:eastAsia="Arial" w:hAnsi="Arial"/>
          <w:sz w:val="14"/>
          <w:szCs w:val="14"/>
          <w:color w:val="auto"/>
        </w:rPr>
        <w:t>to receive dividends out of funds legally available if our board of directors, in its discretion, determines to declare dividends and then only at the times and in the amounts that our board of directors may determine.</w:t>
      </w:r>
    </w:p>
    <w:p>
      <w:pPr>
        <w:spacing w:after="0" w:line="43"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Each holder of common stock is entitled to one vote for each share of common stock held on all matters submitted to a vote of stockholders. Our certificate of</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incorporation does not provide for the right of stockholders to cumulate votes for the election of directors. Our certificate of incorporation establishes a classified board of directors, which is divided into three classes with staggered three-year terms. Only one class of directors will be elected at each annual meeting of our stockholders, with the other classes continuing for the remainder of their respective three-year terms. These provisions in our amended and restated certificate of incorporation could discourage potential takeover attempts. See “Anti-Takeover Effects of Delaware Law and Our Charter Documents” below.</w:t>
      </w:r>
    </w:p>
    <w:p>
      <w:pPr>
        <w:spacing w:after="0" w:line="52"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i w:val="1"/>
          <w:iCs w:val="1"/>
          <w:color w:val="auto"/>
        </w:rPr>
        <w:t xml:space="preserve">No preemptive or similar rights. </w:t>
      </w:r>
      <w:r>
        <w:rPr>
          <w:rFonts w:ascii="Arial" w:cs="Arial" w:eastAsia="Arial" w:hAnsi="Arial"/>
          <w:sz w:val="14"/>
          <w:szCs w:val="14"/>
          <w:color w:val="auto"/>
        </w:rPr>
        <w:t>Our common stock is not entitled to preemptive rights and is not subject to conversion or redemption provisions. The rights, preferences and</w:t>
      </w:r>
      <w:r>
        <w:rPr>
          <w:rFonts w:ascii="Arial" w:cs="Arial" w:eastAsia="Arial" w:hAnsi="Arial"/>
          <w:sz w:val="14"/>
          <w:szCs w:val="14"/>
          <w:i w:val="1"/>
          <w:iCs w:val="1"/>
          <w:color w:val="auto"/>
        </w:rPr>
        <w:t xml:space="preserve"> </w:t>
      </w:r>
      <w:r>
        <w:rPr>
          <w:rFonts w:ascii="Arial" w:cs="Arial" w:eastAsia="Arial" w:hAnsi="Arial"/>
          <w:sz w:val="14"/>
          <w:szCs w:val="14"/>
          <w:color w:val="auto"/>
        </w:rPr>
        <w:t>privileges of the holders of our common stock are subject to, and may be adversely affected by, the rights of the holders of any series of our preferred stock that we may designate and issue in the future.</w:t>
      </w:r>
    </w:p>
    <w:p>
      <w:pPr>
        <w:spacing w:after="0" w:line="43"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4"/>
          <w:szCs w:val="14"/>
          <w:i w:val="1"/>
          <w:iCs w:val="1"/>
          <w:color w:val="auto"/>
        </w:rPr>
        <w:t xml:space="preserve">Right to receive liquidation distributions. </w:t>
      </w:r>
      <w:r>
        <w:rPr>
          <w:rFonts w:ascii="Arial" w:cs="Arial" w:eastAsia="Arial" w:hAnsi="Arial"/>
          <w:sz w:val="14"/>
          <w:szCs w:val="14"/>
          <w:color w:val="auto"/>
        </w:rPr>
        <w:t>Upon our dissolution, liquidation or winding-up, the assets legally available for distribution to our stockholders are distributable ratably</w:t>
      </w:r>
      <w:r>
        <w:rPr>
          <w:rFonts w:ascii="Arial" w:cs="Arial" w:eastAsia="Arial" w:hAnsi="Arial"/>
          <w:sz w:val="14"/>
          <w:szCs w:val="14"/>
          <w:i w:val="1"/>
          <w:iCs w:val="1"/>
          <w:color w:val="auto"/>
        </w:rPr>
        <w:t xml:space="preserve"> </w:t>
      </w:r>
      <w:r>
        <w:rPr>
          <w:rFonts w:ascii="Arial" w:cs="Arial" w:eastAsia="Arial" w:hAnsi="Arial"/>
          <w:sz w:val="14"/>
          <w:szCs w:val="14"/>
          <w:color w:val="auto"/>
        </w:rPr>
        <w:t>among the holders of our common stock, subject to prior satisfaction of all outstanding debt and liabilities and the preferential rights and payment of liquidation preferences, if any, on any outstanding shares of preferred stock.</w:t>
      </w:r>
    </w:p>
    <w:p>
      <w:pPr>
        <w:spacing w:after="0" w:line="43" w:lineRule="exact"/>
        <w:rPr>
          <w:sz w:val="20"/>
          <w:szCs w:val="20"/>
          <w:color w:val="auto"/>
        </w:rPr>
      </w:pPr>
    </w:p>
    <w:p>
      <w:pPr>
        <w:ind w:right="260"/>
        <w:spacing w:after="0" w:line="296" w:lineRule="auto"/>
        <w:rPr>
          <w:sz w:val="20"/>
          <w:szCs w:val="20"/>
          <w:color w:val="auto"/>
        </w:rPr>
      </w:pPr>
      <w:r>
        <w:rPr>
          <w:rFonts w:ascii="Arial" w:cs="Arial" w:eastAsia="Arial" w:hAnsi="Arial"/>
          <w:sz w:val="14"/>
          <w:szCs w:val="14"/>
          <w:color w:val="auto"/>
        </w:rPr>
        <w:t>The rights of the holders of our common stock are subject to, and may be adversely affected by, the rights of holders of shares of any preferred stock that we may designate and issue in the future.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Preferred stock</w:t>
      </w:r>
    </w:p>
    <w:p>
      <w:pPr>
        <w:spacing w:after="0" w:line="92"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We are authorized, subject to limitations prescribed by Delaware law, to issue up to 10,000,000 shares of preferred stock in one or more series established by our board of directors. Our board of directors is authorized to establish from time to time the number of shares to be included in each series and to fix the designation, powers, preferences and rights of the shares of each series and any of its qualifications, limitations or restrictions. Our board of directors can also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discouraging or preventing a change in control of the Company and may adversely affect the market price of our common stock and the voting and other rights of the holders of our common stock.</w:t>
      </w:r>
    </w:p>
    <w:p>
      <w:pPr>
        <w:sectPr>
          <w:pgSz w:w="11900" w:h="16838" w:orient="portrait"/>
          <w:cols w:equalWidth="0" w:num="1">
            <w:col w:w="11280"/>
          </w:cols>
          <w:pgMar w:left="300" w:top="723"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i w:val="1"/>
          <w:iCs w:val="1"/>
          <w:color w:val="auto"/>
        </w:rPr>
        <w:t>Anti-Takeover Effects of Delaware Law and Our Charter Documents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Some of the provisions of Delaware law may have the effect of delaying, deferring, discouraging or preventing another person from acquiring control of the Company.</w:t>
      </w:r>
    </w:p>
    <w:p>
      <w:pPr>
        <w:spacing w:after="0" w:line="94" w:lineRule="exact"/>
        <w:rPr>
          <w:sz w:val="20"/>
          <w:szCs w:val="20"/>
          <w:color w:val="auto"/>
        </w:rPr>
      </w:pPr>
    </w:p>
    <w:p>
      <w:pPr>
        <w:ind w:firstLine="382"/>
        <w:spacing w:after="0" w:line="296" w:lineRule="auto"/>
        <w:rPr>
          <w:sz w:val="20"/>
          <w:szCs w:val="20"/>
          <w:color w:val="auto"/>
        </w:rPr>
      </w:pPr>
      <w:r>
        <w:rPr>
          <w:rFonts w:ascii="Arial" w:cs="Arial" w:eastAsia="Arial" w:hAnsi="Arial"/>
          <w:sz w:val="14"/>
          <w:szCs w:val="14"/>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7" w:lineRule="exact"/>
        <w:rPr>
          <w:sz w:val="20"/>
          <w:szCs w:val="20"/>
          <w:color w:val="auto"/>
        </w:rPr>
      </w:pPr>
    </w:p>
    <w:p>
      <w:pPr>
        <w:ind w:left="520" w:hanging="133"/>
        <w:spacing w:after="0" w:line="296" w:lineRule="auto"/>
        <w:tabs>
          <w:tab w:leader="none" w:pos="516" w:val="left"/>
        </w:tabs>
        <w:numPr>
          <w:ilvl w:val="0"/>
          <w:numId w:val="66"/>
        </w:numPr>
        <w:rPr>
          <w:rFonts w:ascii="Arial" w:cs="Arial" w:eastAsia="Arial" w:hAnsi="Arial"/>
          <w:sz w:val="14"/>
          <w:szCs w:val="14"/>
          <w:color w:val="auto"/>
        </w:rPr>
      </w:pPr>
      <w:r>
        <w:rPr>
          <w:rFonts w:ascii="Arial" w:cs="Arial" w:eastAsia="Arial" w:hAnsi="Arial"/>
          <w:sz w:val="14"/>
          <w:szCs w:val="14"/>
          <w:color w:val="auto"/>
        </w:rPr>
        <w:t>before such date, the board of directors of the corporation approved either the business combination or the transaction that resulted in the stockholder becoming an interested stockholder;</w:t>
      </w:r>
    </w:p>
    <w:p>
      <w:pPr>
        <w:spacing w:after="0" w:line="27" w:lineRule="exact"/>
        <w:rPr>
          <w:rFonts w:ascii="Arial" w:cs="Arial" w:eastAsia="Arial" w:hAnsi="Arial"/>
          <w:sz w:val="14"/>
          <w:szCs w:val="14"/>
          <w:color w:val="auto"/>
        </w:rPr>
      </w:pPr>
    </w:p>
    <w:p>
      <w:pPr>
        <w:jc w:val="both"/>
        <w:ind w:left="520" w:hanging="133"/>
        <w:spacing w:after="0" w:line="267" w:lineRule="auto"/>
        <w:tabs>
          <w:tab w:leader="none" w:pos="516" w:val="left"/>
        </w:tabs>
        <w:numPr>
          <w:ilvl w:val="0"/>
          <w:numId w:val="66"/>
        </w:numPr>
        <w:rPr>
          <w:rFonts w:ascii="Arial" w:cs="Arial" w:eastAsia="Arial" w:hAnsi="Arial"/>
          <w:sz w:val="14"/>
          <w:szCs w:val="14"/>
          <w:color w:val="auto"/>
        </w:rPr>
      </w:pPr>
      <w:r>
        <w:rPr>
          <w:rFonts w:ascii="Arial" w:cs="Arial" w:eastAsia="Arial" w:hAnsi="Arial"/>
          <w:sz w:val="14"/>
          <w:szCs w:val="14"/>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47" w:lineRule="exact"/>
        <w:rPr>
          <w:rFonts w:ascii="Arial" w:cs="Arial" w:eastAsia="Arial" w:hAnsi="Arial"/>
          <w:sz w:val="14"/>
          <w:szCs w:val="14"/>
          <w:color w:val="auto"/>
        </w:rPr>
      </w:pPr>
    </w:p>
    <w:p>
      <w:pPr>
        <w:ind w:left="520" w:hanging="133"/>
        <w:spacing w:after="0" w:line="296" w:lineRule="auto"/>
        <w:tabs>
          <w:tab w:leader="none" w:pos="516"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general, Section 203 defines business combination to include the following:</w:t>
      </w:r>
    </w:p>
    <w:p>
      <w:pPr>
        <w:spacing w:after="0" w:line="94" w:lineRule="exact"/>
        <w:rPr>
          <w:sz w:val="20"/>
          <w:szCs w:val="20"/>
          <w:color w:val="auto"/>
        </w:rPr>
      </w:pPr>
    </w:p>
    <w:p>
      <w:pPr>
        <w:ind w:left="520" w:hanging="133"/>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any merger or consolidation involving the corporation and the interested stockholder;</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any sale, transfer, pledge or other disposition of 10% or more of the assets of the corporation involving the interested stockholder;</w:t>
      </w:r>
    </w:p>
    <w:p>
      <w:pPr>
        <w:spacing w:after="0" w:line="93" w:lineRule="exact"/>
        <w:rPr>
          <w:rFonts w:ascii="Arial" w:cs="Arial" w:eastAsia="Arial" w:hAnsi="Arial"/>
          <w:sz w:val="14"/>
          <w:szCs w:val="14"/>
          <w:color w:val="auto"/>
        </w:rPr>
      </w:pPr>
    </w:p>
    <w:p>
      <w:pPr>
        <w:ind w:left="520" w:hanging="133"/>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subject to certain exceptions, any transaction that results in the issuance or transfer by the corporation of any stock of the corporation to the interested stockholder;</w:t>
      </w:r>
    </w:p>
    <w:p>
      <w:pPr>
        <w:spacing w:after="0" w:line="93" w:lineRule="exact"/>
        <w:rPr>
          <w:rFonts w:ascii="Arial" w:cs="Arial" w:eastAsia="Arial" w:hAnsi="Arial"/>
          <w:sz w:val="14"/>
          <w:szCs w:val="14"/>
          <w:color w:val="auto"/>
        </w:rPr>
      </w:pPr>
    </w:p>
    <w:p>
      <w:pPr>
        <w:ind w:left="520" w:hanging="133"/>
        <w:spacing w:after="0" w:line="296" w:lineRule="auto"/>
        <w:tabs>
          <w:tab w:leader="none" w:pos="516"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27" w:lineRule="exact"/>
        <w:rPr>
          <w:rFonts w:ascii="Arial" w:cs="Arial" w:eastAsia="Arial" w:hAnsi="Arial"/>
          <w:sz w:val="14"/>
          <w:szCs w:val="14"/>
          <w:color w:val="auto"/>
        </w:rPr>
      </w:pPr>
    </w:p>
    <w:p>
      <w:pPr>
        <w:ind w:left="520" w:hanging="133"/>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loss, advances, guarantees, pledges or other financial benefits by or through the corporation.</w:t>
      </w:r>
    </w:p>
    <w:p>
      <w:pPr>
        <w:spacing w:after="0" w:line="94" w:lineRule="exact"/>
        <w:rPr>
          <w:sz w:val="20"/>
          <w:szCs w:val="20"/>
          <w:color w:val="auto"/>
        </w:rPr>
      </w:pPr>
    </w:p>
    <w:p>
      <w:pPr>
        <w:jc w:val="both"/>
        <w:ind w:firstLine="382"/>
        <w:spacing w:after="0" w:line="296" w:lineRule="auto"/>
        <w:rPr>
          <w:sz w:val="20"/>
          <w:szCs w:val="20"/>
          <w:color w:val="auto"/>
        </w:rPr>
      </w:pPr>
      <w:r>
        <w:rPr>
          <w:rFonts w:ascii="Arial" w:cs="Arial" w:eastAsia="Arial" w:hAnsi="Arial"/>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elected to “opt out” of these provisions. The statute could prohibit or delay mergers or other takeover or change in control attempts and, accordingly, may discourage attempts to acquire us. Certain provisions in our certificate of incorporation and our amended and restated bylaws could have an effect of delaying, deferring or preventing a change in control.</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Choice of Forum</w:t>
      </w:r>
    </w:p>
    <w:p>
      <w:pPr>
        <w:spacing w:after="0" w:line="92"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4"/>
          <w:szCs w:val="14"/>
          <w:color w:val="auto"/>
        </w:rPr>
        <w:t>Our certificate of incorporation provides that the Court of Chancery of the State of Delaware will be the exclusive forum for any derivative action or proceeding brought on our behalf, any action asserting a breach of fiduciary duty owed by any director, officer or employee to us or our stockholders, any action asserting a claim against us arising pursuant to the Delaware General Corporation Law or any action asserting a claim against us that is governed by the internal affairs doctrine. However, several lawsuits involving other companies have been brought challenging the validity of choice of forum provisions in certificates of incorporation, and it is possible that a court could rule that such provision is inapplicable or unenforceable.</w:t>
      </w:r>
    </w:p>
    <w:p>
      <w:pPr>
        <w:sectPr>
          <w:pgSz w:w="11900" w:h="16838" w:orient="portrait"/>
          <w:cols w:equalWidth="0" w:num="1">
            <w:col w:w="11280"/>
          </w:cols>
          <w:pgMar w:left="300" w:top="812" w:right="319" w:bottom="1440" w:gutter="0" w:footer="0" w:header="0"/>
        </w:sectPr>
      </w:pPr>
    </w:p>
    <w:bookmarkStart w:id="140" w:name="page141"/>
    <w:bookmarkEnd w:id="140"/>
    <w:p>
      <w:pPr>
        <w:ind w:left="3200"/>
        <w:spacing w:after="0"/>
        <w:rPr>
          <w:sz w:val="20"/>
          <w:szCs w:val="20"/>
          <w:color w:val="auto"/>
        </w:rPr>
      </w:pPr>
      <w:r>
        <w:rPr>
          <w:rFonts w:ascii="Times New Roman" w:cs="Times New Roman" w:eastAsia="Times New Roman" w:hAnsi="Times New Roman"/>
          <w:sz w:val="17"/>
          <w:szCs w:val="17"/>
          <w:b w:val="1"/>
          <w:bCs w:val="1"/>
          <w:color w:val="auto"/>
        </w:rPr>
        <w:t>Summary of Board of Director Compensation (Non-Employee Directors)</w:t>
      </w:r>
    </w:p>
    <w:p>
      <w:pPr>
        <w:spacing w:after="0" w:line="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Enphase Energy,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November 1, 2020</w:t>
      </w:r>
    </w:p>
    <w:p>
      <w:pPr>
        <w:spacing w:after="0" w:line="200" w:lineRule="exact"/>
        <w:rPr>
          <w:sz w:val="20"/>
          <w:szCs w:val="20"/>
          <w:color w:val="auto"/>
        </w:rPr>
      </w:pPr>
    </w:p>
    <w:p>
      <w:pPr>
        <w:spacing w:after="0" w:line="255" w:lineRule="exact"/>
        <w:rPr>
          <w:sz w:val="20"/>
          <w:szCs w:val="20"/>
          <w:color w:val="auto"/>
        </w:rPr>
      </w:pPr>
    </w:p>
    <w:p>
      <w:pPr>
        <w:jc w:val="both"/>
        <w:ind w:firstLine="382"/>
        <w:spacing w:after="0" w:line="276" w:lineRule="auto"/>
        <w:rPr>
          <w:sz w:val="20"/>
          <w:szCs w:val="20"/>
          <w:color w:val="auto"/>
        </w:rPr>
      </w:pPr>
      <w:r>
        <w:rPr>
          <w:rFonts w:ascii="Times New Roman" w:cs="Times New Roman" w:eastAsia="Times New Roman" w:hAnsi="Times New Roman"/>
          <w:sz w:val="17"/>
          <w:szCs w:val="17"/>
          <w:color w:val="auto"/>
        </w:rPr>
        <w:t>Each member of the Board of Directors (the “Board”) who is not also serving as an employee of Enphase Energy, Inc. (“Enphase”) or any of its subsidiaries (each such member, a “Director”) will receive the following compensation for his or her Board service following the effective date of this policy:</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Annual Cash Compensation</w:t>
      </w:r>
    </w:p>
    <w:p>
      <w:pPr>
        <w:spacing w:after="0" w:line="9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7"/>
          <w:szCs w:val="17"/>
          <w:color w:val="auto"/>
        </w:rPr>
        <w:t>The annual cash compensation amount set forth below is payable in equal quarterly installments, payable in arrears on the last day of each fiscal quarter in which the service occurred. If a Director joins the Board or a committee at a time other than effective as of the first day of a fiscal quarter, each annual retainer set forth below will be pro-rated based on days served in the applicable fiscal year, with the pro-rated amount paid for the first fiscal quarter in which the Director provides the service, and regular full quarterly payments thereafter. All annual cash fees are vested upon payment.</w:t>
      </w:r>
    </w:p>
    <w:p>
      <w:pPr>
        <w:spacing w:after="0" w:line="54" w:lineRule="exact"/>
        <w:rPr>
          <w:sz w:val="20"/>
          <w:szCs w:val="20"/>
          <w:color w:val="auto"/>
        </w:rPr>
      </w:pPr>
    </w:p>
    <w:p>
      <w:pPr>
        <w:ind w:left="1020" w:hanging="379"/>
        <w:spacing w:after="0"/>
        <w:tabs>
          <w:tab w:leader="none" w:pos="10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Board Service Retainer</w:t>
      </w:r>
      <w:r>
        <w:rPr>
          <w:rFonts w:ascii="Times New Roman" w:cs="Times New Roman" w:eastAsia="Times New Roman" w:hAnsi="Times New Roman"/>
          <w:sz w:val="17"/>
          <w:szCs w:val="17"/>
          <w:color w:val="auto"/>
        </w:rPr>
        <w:t>:</w:t>
      </w:r>
    </w:p>
    <w:p>
      <w:pPr>
        <w:spacing w:after="0" w:line="90" w:lineRule="exact"/>
        <w:rPr>
          <w:rFonts w:ascii="Times New Roman" w:cs="Times New Roman" w:eastAsia="Times New Roman" w:hAnsi="Times New Roman"/>
          <w:sz w:val="17"/>
          <w:szCs w:val="17"/>
          <w:color w:val="auto"/>
        </w:rPr>
      </w:pPr>
    </w:p>
    <w:p>
      <w:pPr>
        <w:ind w:left="1520" w:hanging="369"/>
        <w:spacing w:after="0"/>
        <w:tabs>
          <w:tab w:leader="none" w:pos="15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$50,000</w:t>
      </w:r>
    </w:p>
    <w:p>
      <w:pPr>
        <w:spacing w:after="0" w:line="90" w:lineRule="exact"/>
        <w:rPr>
          <w:rFonts w:ascii="Times New Roman" w:cs="Times New Roman" w:eastAsia="Times New Roman" w:hAnsi="Times New Roman"/>
          <w:sz w:val="17"/>
          <w:szCs w:val="17"/>
          <w:color w:val="auto"/>
        </w:rPr>
      </w:pPr>
    </w:p>
    <w:p>
      <w:pPr>
        <w:ind w:left="1020" w:hanging="379"/>
        <w:spacing w:after="0"/>
        <w:tabs>
          <w:tab w:leader="none" w:pos="10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Chair Retainer</w:t>
      </w:r>
      <w:r>
        <w:rPr>
          <w:rFonts w:ascii="Times New Roman" w:cs="Times New Roman" w:eastAsia="Times New Roman" w:hAnsi="Times New Roman"/>
          <w:sz w:val="17"/>
          <w:szCs w:val="17"/>
          <w:color w:val="auto"/>
        </w:rPr>
        <w:t>:</w:t>
      </w:r>
    </w:p>
    <w:p>
      <w:pPr>
        <w:spacing w:after="0" w:line="90" w:lineRule="exact"/>
        <w:rPr>
          <w:rFonts w:ascii="Times New Roman" w:cs="Times New Roman" w:eastAsia="Times New Roman" w:hAnsi="Times New Roman"/>
          <w:sz w:val="17"/>
          <w:szCs w:val="17"/>
          <w:color w:val="auto"/>
        </w:rPr>
      </w:pPr>
    </w:p>
    <w:p>
      <w:pPr>
        <w:ind w:left="1520" w:hanging="369"/>
        <w:spacing w:after="0"/>
        <w:tabs>
          <w:tab w:leader="none" w:pos="15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Chairman of the Audit Committee: $25,000</w:t>
      </w:r>
    </w:p>
    <w:p>
      <w:pPr>
        <w:spacing w:after="0" w:line="90"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Chairman of the Compensation Committee: $20,000</w:t>
      </w:r>
    </w:p>
    <w:p>
      <w:pPr>
        <w:spacing w:after="0" w:line="90" w:lineRule="exact"/>
        <w:rPr>
          <w:rFonts w:ascii="Times New Roman" w:cs="Times New Roman" w:eastAsia="Times New Roman" w:hAnsi="Times New Roman"/>
          <w:sz w:val="17"/>
          <w:szCs w:val="17"/>
          <w:color w:val="auto"/>
        </w:rPr>
      </w:pPr>
    </w:p>
    <w:p>
      <w:pPr>
        <w:ind w:left="1520" w:hanging="369"/>
        <w:spacing w:after="0"/>
        <w:tabs>
          <w:tab w:leader="none" w:pos="15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Chairman of the Nominating &amp; Corporate Governance Committee: $10,000</w:t>
      </w:r>
    </w:p>
    <w:p>
      <w:pPr>
        <w:spacing w:after="0" w:line="90" w:lineRule="exact"/>
        <w:rPr>
          <w:rFonts w:ascii="Times New Roman" w:cs="Times New Roman" w:eastAsia="Times New Roman" w:hAnsi="Times New Roman"/>
          <w:sz w:val="17"/>
          <w:szCs w:val="17"/>
          <w:color w:val="auto"/>
        </w:rPr>
      </w:pPr>
    </w:p>
    <w:p>
      <w:pPr>
        <w:ind w:left="1020" w:hanging="379"/>
        <w:spacing w:after="0"/>
        <w:tabs>
          <w:tab w:leader="none" w:pos="10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Member (non-Chair) Retainer</w:t>
      </w:r>
      <w:r>
        <w:rPr>
          <w:rFonts w:ascii="Times New Roman" w:cs="Times New Roman" w:eastAsia="Times New Roman" w:hAnsi="Times New Roman"/>
          <w:sz w:val="17"/>
          <w:szCs w:val="17"/>
          <w:color w:val="auto"/>
        </w:rPr>
        <w:t>:</w:t>
      </w:r>
    </w:p>
    <w:p>
      <w:pPr>
        <w:spacing w:after="0" w:line="90" w:lineRule="exact"/>
        <w:rPr>
          <w:rFonts w:ascii="Times New Roman" w:cs="Times New Roman" w:eastAsia="Times New Roman" w:hAnsi="Times New Roman"/>
          <w:sz w:val="17"/>
          <w:szCs w:val="17"/>
          <w:color w:val="auto"/>
        </w:rPr>
      </w:pPr>
    </w:p>
    <w:p>
      <w:pPr>
        <w:ind w:left="1520" w:hanging="369"/>
        <w:spacing w:after="0"/>
        <w:tabs>
          <w:tab w:leader="none" w:pos="15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Committee: $15,000</w:t>
      </w:r>
    </w:p>
    <w:p>
      <w:pPr>
        <w:spacing w:after="0" w:line="90"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$10,000</w:t>
      </w:r>
    </w:p>
    <w:p>
      <w:pPr>
        <w:spacing w:after="0" w:line="90" w:lineRule="exact"/>
        <w:rPr>
          <w:rFonts w:ascii="Times New Roman" w:cs="Times New Roman" w:eastAsia="Times New Roman" w:hAnsi="Times New Roman"/>
          <w:sz w:val="17"/>
          <w:szCs w:val="17"/>
          <w:color w:val="auto"/>
        </w:rPr>
      </w:pPr>
    </w:p>
    <w:p>
      <w:pPr>
        <w:ind w:left="1520" w:hanging="369"/>
        <w:spacing w:after="0"/>
        <w:tabs>
          <w:tab w:leader="none" w:pos="15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Nominating &amp; Corporate Governance Committee: $5,000</w:t>
      </w:r>
    </w:p>
    <w:p>
      <w:pPr>
        <w:spacing w:after="0" w:line="90"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Committee: $10,000</w:t>
      </w:r>
    </w:p>
    <w:p>
      <w:pPr>
        <w:spacing w:after="0" w:line="90" w:lineRule="exact"/>
        <w:rPr>
          <w:rFonts w:ascii="Times New Roman" w:cs="Times New Roman" w:eastAsia="Times New Roman" w:hAnsi="Times New Roman"/>
          <w:sz w:val="17"/>
          <w:szCs w:val="17"/>
          <w:color w:val="auto"/>
        </w:rPr>
      </w:pPr>
    </w:p>
    <w:p>
      <w:pPr>
        <w:ind w:left="1020" w:hanging="379"/>
        <w:spacing w:after="0"/>
        <w:tabs>
          <w:tab w:leader="none" w:pos="10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Lease Independent Director Retainer</w:t>
      </w:r>
      <w:r>
        <w:rPr>
          <w:rFonts w:ascii="Times New Roman" w:cs="Times New Roman" w:eastAsia="Times New Roman" w:hAnsi="Times New Roman"/>
          <w:sz w:val="17"/>
          <w:szCs w:val="17"/>
          <w:color w:val="auto"/>
        </w:rPr>
        <w:t>: $20,000</w:t>
      </w: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Equity Compensation</w:t>
      </w:r>
    </w:p>
    <w:p>
      <w:pPr>
        <w:spacing w:after="0" w:line="95" w:lineRule="exact"/>
        <w:rPr>
          <w:sz w:val="20"/>
          <w:szCs w:val="20"/>
          <w:color w:val="auto"/>
        </w:rPr>
      </w:pPr>
    </w:p>
    <w:p>
      <w:pPr>
        <w:ind w:firstLine="382"/>
        <w:spacing w:after="0" w:line="276" w:lineRule="auto"/>
        <w:rPr>
          <w:sz w:val="20"/>
          <w:szCs w:val="20"/>
          <w:color w:val="auto"/>
        </w:rPr>
      </w:pPr>
      <w:r>
        <w:rPr>
          <w:rFonts w:ascii="Times New Roman" w:cs="Times New Roman" w:eastAsia="Times New Roman" w:hAnsi="Times New Roman"/>
          <w:sz w:val="17"/>
          <w:szCs w:val="17"/>
          <w:color w:val="auto"/>
        </w:rPr>
        <w:t>The equity compensation set forth below will be granted under the Enphase 2011 Equity Incentive Plan (the “Plan”) or (if applicable) any successor plan approved by Enphase’s stockholders.</w:t>
      </w:r>
    </w:p>
    <w:p>
      <w:pPr>
        <w:spacing w:after="0" w:line="38" w:lineRule="exact"/>
        <w:rPr>
          <w:sz w:val="20"/>
          <w:szCs w:val="20"/>
          <w:color w:val="auto"/>
        </w:rPr>
      </w:pPr>
    </w:p>
    <w:p>
      <w:pPr>
        <w:jc w:val="both"/>
        <w:ind w:left="520" w:firstLine="121"/>
        <w:spacing w:after="0" w:line="235" w:lineRule="auto"/>
        <w:tabs>
          <w:tab w:leader="none" w:pos="102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Grant</w:t>
      </w:r>
      <w:r>
        <w:rPr>
          <w:rFonts w:ascii="Times New Roman" w:cs="Times New Roman" w:eastAsia="Times New Roman" w:hAnsi="Times New Roman"/>
          <w:sz w:val="17"/>
          <w:szCs w:val="17"/>
          <w:color w:val="auto"/>
        </w:rPr>
        <w:t>: On the date of each Enphase annual stockholder meeting, each Director will be automatically, and without further action by the Board, granted a restricted stock unit (RSU) award for a number of shares with a target fair value equal to $250,000, rounded down for any partial share. Such RSU award will vest in four (4) quarterly installments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August, November, February, and May following the grant date, subject to the Director’s Continuous Service (as defined in the Plan).</w:t>
      </w:r>
    </w:p>
    <w:p>
      <w:pPr>
        <w:sectPr>
          <w:pgSz w:w="11900" w:h="16838" w:orient="portrait"/>
          <w:cols w:equalWidth="0" w:num="1">
            <w:col w:w="11280"/>
          </w:cols>
          <w:pgMar w:left="300" w:top="804" w:right="319" w:bottom="1440" w:gutter="0" w:footer="0" w:header="0"/>
        </w:sectPr>
      </w:pPr>
    </w:p>
    <w:bookmarkStart w:id="141" w:name="page142"/>
    <w:bookmarkEnd w:id="141"/>
    <w:p>
      <w:pPr>
        <w:jc w:val="both"/>
        <w:ind w:left="520" w:firstLine="121"/>
        <w:spacing w:after="0" w:line="235" w:lineRule="auto"/>
        <w:tabs>
          <w:tab w:leader="none" w:pos="102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Grant to Lead Independent Director</w:t>
      </w:r>
      <w:r>
        <w:rPr>
          <w:rFonts w:ascii="Times New Roman" w:cs="Times New Roman" w:eastAsia="Times New Roman" w:hAnsi="Times New Roman"/>
          <w:sz w:val="17"/>
          <w:szCs w:val="17"/>
          <w:color w:val="auto"/>
        </w:rPr>
        <w:t>: On the date of each Enphase annual stockholder meeting, the Lead Independent Director will be automatically, and without further action by the Board, granted a restricted stock unit (RSU) award for a number of shares with a target fair value equal to $20,000, rounded down for any partial share. Such RSU award will vest in four (4) quarterly installments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August, November, February, and May following the grant date, subject to the Director’s Continuous Service (as defined in the Plan).</w:t>
      </w:r>
    </w:p>
    <w:p>
      <w:pPr>
        <w:spacing w:after="0" w:line="69" w:lineRule="exact"/>
        <w:rPr>
          <w:sz w:val="20"/>
          <w:szCs w:val="20"/>
          <w:color w:val="auto"/>
        </w:rPr>
      </w:pPr>
    </w:p>
    <w:p>
      <w:pPr>
        <w:ind w:firstLine="382"/>
        <w:spacing w:after="0" w:line="276" w:lineRule="auto"/>
        <w:rPr>
          <w:sz w:val="20"/>
          <w:szCs w:val="20"/>
          <w:color w:val="auto"/>
        </w:rPr>
      </w:pPr>
      <w:r>
        <w:rPr>
          <w:rFonts w:ascii="Times New Roman" w:cs="Times New Roman" w:eastAsia="Times New Roman" w:hAnsi="Times New Roman"/>
          <w:sz w:val="17"/>
          <w:szCs w:val="17"/>
          <w:color w:val="auto"/>
        </w:rPr>
        <w:t>Target fair value for the above RSU awards will be calculated using the closing stock price on the Nasdaq Global Market (or any successor exchange) on the grant date.</w:t>
      </w:r>
    </w:p>
    <w:p>
      <w:pPr>
        <w:sectPr>
          <w:pgSz w:w="11900" w:h="16838" w:orient="portrait"/>
          <w:cols w:equalWidth="0" w:num="1">
            <w:col w:w="11280"/>
          </w:cols>
          <w:pgMar w:left="300" w:top="819" w:right="319" w:bottom="1440" w:gutter="0" w:footer="0" w:header="0"/>
        </w:sectPr>
      </w:pPr>
    </w:p>
    <w:bookmarkStart w:id="142" w:name="page143"/>
    <w:bookmarkEnd w:id="142"/>
    <w:p>
      <w:pPr>
        <w:jc w:val="right"/>
        <w:ind w:left="6540" w:hanging="2123"/>
        <w:spacing w:after="0" w:line="309" w:lineRule="auto"/>
        <w:tabs>
          <w:tab w:leader="none" w:pos="4596"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Certain confidential information contained in this document, marked by brackets, has been omitted because it is both not material and would likely cause competitive harm to the Company if publicly disclosed.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No.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Master Supply Agreement</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This Amendment No. 2 to Master Supply Agreement (the “</w:t>
      </w:r>
      <w:r>
        <w:rPr>
          <w:rFonts w:ascii="Arial" w:cs="Arial" w:eastAsia="Arial" w:hAnsi="Arial"/>
          <w:sz w:val="16"/>
          <w:szCs w:val="16"/>
          <w:b w:val="1"/>
          <w:bCs w:val="1"/>
          <w:i w:val="1"/>
          <w:iCs w:val="1"/>
          <w:color w:val="auto"/>
        </w:rPr>
        <w:t>Amendment</w:t>
      </w:r>
      <w:r>
        <w:rPr>
          <w:rFonts w:ascii="Arial" w:cs="Arial" w:eastAsia="Arial" w:hAnsi="Arial"/>
          <w:sz w:val="16"/>
          <w:szCs w:val="16"/>
          <w:b w:val="1"/>
          <w:bCs w:val="1"/>
          <w:color w:val="auto"/>
        </w:rPr>
        <w:t>”), having an effective date of October 15, 2020 (“</w:t>
      </w:r>
      <w:r>
        <w:rPr>
          <w:rFonts w:ascii="Arial" w:cs="Arial" w:eastAsia="Arial" w:hAnsi="Arial"/>
          <w:sz w:val="16"/>
          <w:szCs w:val="16"/>
          <w:b w:val="1"/>
          <w:bCs w:val="1"/>
          <w:i w:val="1"/>
          <w:iCs w:val="1"/>
          <w:color w:val="auto"/>
        </w:rPr>
        <w:t>Amendment Effective Date</w:t>
      </w:r>
      <w:r>
        <w:rPr>
          <w:rFonts w:ascii="Arial" w:cs="Arial" w:eastAsia="Arial" w:hAnsi="Arial"/>
          <w:sz w:val="16"/>
          <w:szCs w:val="16"/>
          <w:b w:val="1"/>
          <w:bCs w:val="1"/>
          <w:color w:val="auto"/>
        </w:rPr>
        <w:t>”) to the Master Supply Agreement dated June 12, 2018 (as amended, the “</w:t>
      </w:r>
      <w:r>
        <w:rPr>
          <w:rFonts w:ascii="Arial" w:cs="Arial" w:eastAsia="Arial" w:hAnsi="Arial"/>
          <w:sz w:val="16"/>
          <w:szCs w:val="16"/>
          <w:b w:val="1"/>
          <w:bCs w:val="1"/>
          <w:i w:val="1"/>
          <w:iCs w:val="1"/>
          <w:color w:val="auto"/>
        </w:rPr>
        <w:t>MSA</w:t>
      </w:r>
      <w:r>
        <w:rPr>
          <w:rFonts w:ascii="Arial" w:cs="Arial" w:eastAsia="Arial" w:hAnsi="Arial"/>
          <w:sz w:val="16"/>
          <w:szCs w:val="16"/>
          <w:b w:val="1"/>
          <w:bCs w:val="1"/>
          <w:color w:val="auto"/>
        </w:rPr>
        <w:t>”) is entered into by and between SunPower Corporation, a Delaware corporation with offices at 51 Rio Robles, San Jose, California 95134 (“</w:t>
      </w:r>
      <w:r>
        <w:rPr>
          <w:rFonts w:ascii="Arial" w:cs="Arial" w:eastAsia="Arial" w:hAnsi="Arial"/>
          <w:sz w:val="16"/>
          <w:szCs w:val="16"/>
          <w:b w:val="1"/>
          <w:bCs w:val="1"/>
          <w:i w:val="1"/>
          <w:iCs w:val="1"/>
          <w:color w:val="auto"/>
        </w:rPr>
        <w:t>SunPower</w:t>
      </w:r>
      <w:r>
        <w:rPr>
          <w:rFonts w:ascii="Arial" w:cs="Arial" w:eastAsia="Arial" w:hAnsi="Arial"/>
          <w:sz w:val="16"/>
          <w:szCs w:val="16"/>
          <w:b w:val="1"/>
          <w:bCs w:val="1"/>
          <w:color w:val="auto"/>
        </w:rPr>
        <w:t>”), and Enphase Energy, Inc., a Delaware corporation with offices at 47281 Bayside Parkway, Fremont, California 94538 (formerly at 1420 N. McDowell Blvd., Petaluma, CA 94954) (“</w:t>
      </w:r>
      <w:r>
        <w:rPr>
          <w:rFonts w:ascii="Arial" w:cs="Arial" w:eastAsia="Arial" w:hAnsi="Arial"/>
          <w:sz w:val="16"/>
          <w:szCs w:val="16"/>
          <w:b w:val="1"/>
          <w:bCs w:val="1"/>
          <w:i w:val="1"/>
          <w:iCs w:val="1"/>
          <w:color w:val="auto"/>
        </w:rPr>
        <w:t>Enphase</w:t>
      </w:r>
      <w:r>
        <w:rPr>
          <w:rFonts w:ascii="Arial" w:cs="Arial" w:eastAsia="Arial" w:hAnsi="Arial"/>
          <w:sz w:val="16"/>
          <w:szCs w:val="16"/>
          <w:b w:val="1"/>
          <w:bCs w:val="1"/>
          <w:color w:val="auto"/>
        </w:rPr>
        <w:t>”). Capitalized terms not otherwise defined herein shall have the meaning ascribed to them in the MSA.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89" w:lineRule="exact"/>
        <w:rPr>
          <w:sz w:val="20"/>
          <w:szCs w:val="20"/>
          <w:color w:val="auto"/>
        </w:rPr>
      </w:pPr>
    </w:p>
    <w:p>
      <w:pPr>
        <w:ind w:left="840" w:hanging="326"/>
        <w:spacing w:after="0"/>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Initial Term of the MSA ends on December 31, 2023 and the Parties desire to extend the Initial Term of the MSA as set forth herein.</w:t>
      </w:r>
    </w:p>
    <w:p>
      <w:pPr>
        <w:spacing w:after="0" w:line="187" w:lineRule="exact"/>
        <w:rPr>
          <w:rFonts w:ascii="Arial" w:cs="Arial" w:eastAsia="Arial" w:hAnsi="Arial"/>
          <w:sz w:val="16"/>
          <w:szCs w:val="16"/>
          <w:color w:val="auto"/>
        </w:rPr>
      </w:pPr>
    </w:p>
    <w:p>
      <w:pPr>
        <w:ind w:left="840" w:hanging="326"/>
        <w:spacing w:after="0"/>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Parties also wish to amend the terms of the MSA as set forth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NOW, THEREFORE, for adequate consideration, the receipt of which is hereby acknowledged, the Parties agree to the following:</w:t>
      </w:r>
    </w:p>
    <w:p>
      <w:pPr>
        <w:spacing w:after="0" w:line="185" w:lineRule="exact"/>
        <w:rPr>
          <w:sz w:val="20"/>
          <w:szCs w:val="20"/>
          <w:color w:val="auto"/>
        </w:rPr>
      </w:pPr>
    </w:p>
    <w:p>
      <w:pPr>
        <w:ind w:left="820" w:hanging="306"/>
        <w:spacing w:after="0"/>
        <w:tabs>
          <w:tab w:leader="none" w:pos="82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to Section 6.1 of the MSA. </w:t>
      </w:r>
      <w:r>
        <w:rPr>
          <w:rFonts w:ascii="Arial" w:cs="Arial" w:eastAsia="Arial" w:hAnsi="Arial"/>
          <w:sz w:val="16"/>
          <w:szCs w:val="16"/>
          <w:color w:val="auto"/>
        </w:rPr>
        <w:t>Section 6.1 of the MSA is hereby amended by replacing “December 31, 2023” with “March 31, 2024”.</w:t>
      </w:r>
    </w:p>
    <w:p>
      <w:pPr>
        <w:spacing w:after="0" w:line="187" w:lineRule="exact"/>
        <w:rPr>
          <w:rFonts w:ascii="Arial" w:cs="Arial" w:eastAsia="Arial" w:hAnsi="Arial"/>
          <w:sz w:val="16"/>
          <w:szCs w:val="16"/>
          <w:b w:val="1"/>
          <w:bCs w:val="1"/>
          <w:color w:val="auto"/>
        </w:rPr>
      </w:pPr>
    </w:p>
    <w:p>
      <w:pPr>
        <w:ind w:firstLine="514"/>
        <w:spacing w:after="0" w:line="272" w:lineRule="auto"/>
        <w:tabs>
          <w:tab w:leader="none" w:pos="882"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to Exhibit B, Base Price. </w:t>
      </w:r>
      <w:r>
        <w:rPr>
          <w:rFonts w:ascii="Arial" w:cs="Arial" w:eastAsia="Arial" w:hAnsi="Arial"/>
          <w:sz w:val="16"/>
          <w:szCs w:val="16"/>
          <w:color w:val="auto"/>
        </w:rPr>
        <w:t>Effective January 1, 2024, the Base Price set forth in Exhibit B for single-phase grid-tied MLPE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standard wiring Cable Products for portrait mode installations, shall be [*].</w:t>
      </w:r>
    </w:p>
    <w:p>
      <w:pPr>
        <w:spacing w:after="0" w:line="134" w:lineRule="exact"/>
        <w:rPr>
          <w:rFonts w:ascii="Arial" w:cs="Arial" w:eastAsia="Arial" w:hAnsi="Arial"/>
          <w:sz w:val="16"/>
          <w:szCs w:val="16"/>
          <w:b w:val="1"/>
          <w:bCs w:val="1"/>
          <w:color w:val="auto"/>
        </w:rPr>
      </w:pPr>
    </w:p>
    <w:p>
      <w:pPr>
        <w:jc w:val="both"/>
        <w:ind w:firstLine="514"/>
        <w:spacing w:after="0" w:line="247" w:lineRule="auto"/>
        <w:tabs>
          <w:tab w:leader="none" w:pos="83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Except as otherwise specifically modified by this Amendment, all terms and provisions of the MSA, as modified hereby, shall remain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force and effect. Nothing contained in this Amendment shall in any way impair the validity or enforceability of the MSA, as modified hereby, or alter, waive, annul, vary, affect, or impair any provisions, conditions, or covenants contained therein or any rights, powers, or remedies granted therein, except as otherwise specifically provided in this Amendment.</w:t>
      </w:r>
    </w:p>
    <w:p>
      <w:pPr>
        <w:spacing w:after="0" w:line="155" w:lineRule="exact"/>
        <w:rPr>
          <w:rFonts w:ascii="Arial" w:cs="Arial" w:eastAsia="Arial" w:hAnsi="Arial"/>
          <w:sz w:val="16"/>
          <w:szCs w:val="16"/>
          <w:b w:val="1"/>
          <w:bCs w:val="1"/>
          <w:color w:val="auto"/>
        </w:rPr>
      </w:pPr>
    </w:p>
    <w:p>
      <w:pPr>
        <w:jc w:val="both"/>
        <w:ind w:firstLine="514"/>
        <w:spacing w:after="0" w:line="254" w:lineRule="auto"/>
        <w:tabs>
          <w:tab w:leader="none" w:pos="83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Amendment may be signed originally or by facsimile or other means of electronic transmission in any number of counterparts, and</w:t>
      </w:r>
      <w:r>
        <w:rPr>
          <w:rFonts w:ascii="Arial" w:cs="Arial" w:eastAsia="Arial" w:hAnsi="Arial"/>
          <w:sz w:val="16"/>
          <w:szCs w:val="16"/>
          <w:b w:val="1"/>
          <w:bCs w:val="1"/>
          <w:color w:val="auto"/>
        </w:rPr>
        <w:t xml:space="preserve"> </w:t>
      </w:r>
      <w:r>
        <w:rPr>
          <w:rFonts w:ascii="Arial" w:cs="Arial" w:eastAsia="Arial" w:hAnsi="Arial"/>
          <w:sz w:val="16"/>
          <w:szCs w:val="16"/>
          <w:color w:val="auto"/>
        </w:rPr>
        <w:t>by different parties hereto in separate counterparts, with the same effect as if the signatures to each such counterpart were upon a single instrument. All counterparts shall be deemed an original of this Amendment.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280"/>
          </w:cols>
          <w:pgMar w:left="300" w:top="1145" w:right="319" w:bottom="1440" w:gutter="0" w:footer="0" w:header="0"/>
        </w:sectPr>
      </w:pPr>
    </w:p>
    <w:bookmarkStart w:id="143" w:name="page144"/>
    <w:bookmarkEnd w:id="143"/>
    <w:p>
      <w:pPr>
        <w:jc w:val="both"/>
        <w:ind w:firstLine="514"/>
        <w:spacing w:after="0" w:line="254" w:lineRule="auto"/>
        <w:tabs>
          <w:tab w:leader="none" w:pos="897"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Integration</w:t>
      </w:r>
      <w:r>
        <w:rPr>
          <w:rFonts w:ascii="Arial" w:cs="Arial" w:eastAsia="Arial" w:hAnsi="Arial"/>
          <w:sz w:val="16"/>
          <w:szCs w:val="16"/>
          <w:color w:val="auto"/>
        </w:rPr>
        <w:t>. This Amendment and any documents executed in connection herewith or pursuant hereto contain the entire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with respect to the subject matter hereof and supersede all prior agreements, understandings, offers and negotiations, oral or written, with respect thereto and no extrinsic evidence whatsoever may be introduced in any judicial or arbitration proceeding, if any, involving this Amendment.</w:t>
      </w:r>
    </w:p>
    <w:p>
      <w:pPr>
        <w:spacing w:after="0" w:line="147" w:lineRule="exact"/>
        <w:rPr>
          <w:rFonts w:ascii="Arial" w:cs="Arial" w:eastAsia="Arial" w:hAnsi="Arial"/>
          <w:sz w:val="16"/>
          <w:szCs w:val="16"/>
          <w:b w:val="1"/>
          <w:bCs w:val="1"/>
          <w:color w:val="auto"/>
        </w:rPr>
      </w:pPr>
    </w:p>
    <w:p>
      <w:pPr>
        <w:ind w:firstLine="514"/>
        <w:spacing w:after="0" w:line="272" w:lineRule="auto"/>
        <w:tabs>
          <w:tab w:leader="none" w:pos="863"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Amendment shall be governed by and construed in accordance with the laws of the State of California, without regard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280"/>
          </w:cols>
          <w:pgMar w:left="300" w:top="1324" w:right="319" w:bottom="1440" w:gutter="0" w:footer="0" w:header="0"/>
        </w:sectPr>
      </w:pPr>
    </w:p>
    <w:bookmarkStart w:id="144" w:name="page145"/>
    <w:bookmarkEnd w:id="144"/>
    <w:p>
      <w:pPr>
        <w:ind w:left="5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authorized and caused this Amendment to be executed as of the Date written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gridSpan w:val="9"/>
          </w:tcPr>
          <w:p>
            <w:pPr>
              <w:spacing w:after="0"/>
              <w:rPr>
                <w:sz w:val="20"/>
                <w:szCs w:val="20"/>
                <w:color w:val="auto"/>
              </w:rPr>
            </w:pPr>
            <w:r>
              <w:rPr>
                <w:rFonts w:ascii="Arial" w:cs="Arial" w:eastAsia="Arial" w:hAnsi="Arial"/>
                <w:sz w:val="16"/>
                <w:szCs w:val="16"/>
                <w:b w:val="1"/>
                <w:bCs w:val="1"/>
                <w:color w:val="auto"/>
              </w:rPr>
              <w:t>ENPHASE ENERGY, INC.</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360" w:type="dxa"/>
            <w:vAlign w:val="bottom"/>
            <w:gridSpan w:val="10"/>
          </w:tcPr>
          <w:p>
            <w:pPr>
              <w:spacing w:after="0"/>
              <w:rPr>
                <w:sz w:val="20"/>
                <w:szCs w:val="20"/>
                <w:color w:val="auto"/>
              </w:rPr>
            </w:pPr>
            <w:r>
              <w:rPr>
                <w:rFonts w:ascii="Arial" w:cs="Arial" w:eastAsia="Arial" w:hAnsi="Arial"/>
                <w:sz w:val="16"/>
                <w:szCs w:val="16"/>
                <w:b w:val="1"/>
                <w:bCs w:val="1"/>
                <w:color w:val="auto"/>
              </w:rPr>
              <w:t>SUNPOWER CORPORATION</w:t>
            </w: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5"/>
        </w:trPr>
        <w:tc>
          <w:tcPr>
            <w:tcW w:w="2040" w:type="dxa"/>
            <w:vAlign w:val="bottom"/>
            <w:gridSpan w:val="9"/>
          </w:tcPr>
          <w:p>
            <w:pPr>
              <w:spacing w:after="0"/>
              <w:rPr>
                <w:sz w:val="20"/>
                <w:szCs w:val="20"/>
                <w:color w:val="auto"/>
              </w:rPr>
            </w:pPr>
            <w:r>
              <w:rPr>
                <w:rFonts w:ascii="Arial" w:cs="Arial" w:eastAsia="Arial" w:hAnsi="Arial"/>
                <w:sz w:val="16"/>
                <w:szCs w:val="16"/>
                <w:color w:val="auto"/>
              </w:rPr>
              <w:t>By: /S/ Eric Branderiz</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By: /S/ Manavendra Sial</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40" w:type="dxa"/>
            <w:vAlign w:val="bottom"/>
            <w:gridSpan w:val="9"/>
          </w:tcPr>
          <w:p>
            <w:pPr>
              <w:spacing w:after="0"/>
              <w:rPr>
                <w:sz w:val="20"/>
                <w:szCs w:val="20"/>
                <w:color w:val="auto"/>
              </w:rPr>
            </w:pPr>
            <w:r>
              <w:rPr>
                <w:rFonts w:ascii="Arial" w:cs="Arial" w:eastAsia="Arial" w:hAnsi="Arial"/>
                <w:sz w:val="16"/>
                <w:szCs w:val="16"/>
                <w:color w:val="auto"/>
              </w:rPr>
              <w:t>Name: Eric Branderiz</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Name: Manvendra Sial</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40" w:type="dxa"/>
            <w:vAlign w:val="bottom"/>
            <w:gridSpan w:val="9"/>
          </w:tcPr>
          <w:p>
            <w:pPr>
              <w:spacing w:after="0"/>
              <w:rPr>
                <w:sz w:val="20"/>
                <w:szCs w:val="20"/>
                <w:color w:val="auto"/>
              </w:rPr>
            </w:pPr>
            <w:r>
              <w:rPr>
                <w:rFonts w:ascii="Arial" w:cs="Arial" w:eastAsia="Arial" w:hAnsi="Arial"/>
                <w:sz w:val="16"/>
                <w:szCs w:val="16"/>
                <w:color w:val="auto"/>
              </w:rPr>
              <w:t>Title: Chief Financial Officer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gridSpan w:val="4"/>
          </w:tcPr>
          <w:p>
            <w:pPr>
              <w:spacing w:after="0"/>
              <w:rPr>
                <w:sz w:val="20"/>
                <w:szCs w:val="20"/>
                <w:color w:val="auto"/>
              </w:rPr>
            </w:pPr>
            <w:r>
              <w:rPr>
                <w:rFonts w:ascii="Arial" w:cs="Arial" w:eastAsia="Arial" w:hAnsi="Arial"/>
                <w:sz w:val="16"/>
                <w:szCs w:val="16"/>
                <w:color w:val="auto"/>
              </w:rPr>
              <w:t>Title:</w:t>
            </w:r>
          </w:p>
        </w:tc>
        <w:tc>
          <w:tcPr>
            <w:tcW w:w="1300" w:type="dxa"/>
            <w:vAlign w:val="bottom"/>
            <w:gridSpan w:val="4"/>
          </w:tcPr>
          <w:p>
            <w:pPr>
              <w:jc w:val="right"/>
              <w:ind w:right="360"/>
              <w:spacing w:after="0"/>
              <w:rPr>
                <w:sz w:val="20"/>
                <w:szCs w:val="20"/>
                <w:color w:val="auto"/>
              </w:rPr>
            </w:pPr>
            <w:r>
              <w:rPr>
                <w:rFonts w:ascii="Arial" w:cs="Arial" w:eastAsia="Arial" w:hAnsi="Arial"/>
                <w:sz w:val="16"/>
                <w:szCs w:val="16"/>
                <w:color w:val="auto"/>
              </w:rPr>
              <w:t>Executive</w:t>
            </w:r>
          </w:p>
        </w:tc>
        <w:tc>
          <w:tcPr>
            <w:tcW w:w="600" w:type="dxa"/>
            <w:vAlign w:val="bottom"/>
            <w:gridSpan w:val="2"/>
          </w:tcPr>
          <w:p>
            <w:pPr>
              <w:ind w:left="20"/>
              <w:spacing w:after="0"/>
              <w:rPr>
                <w:sz w:val="20"/>
                <w:szCs w:val="20"/>
                <w:color w:val="auto"/>
              </w:rPr>
            </w:pPr>
            <w:r>
              <w:rPr>
                <w:rFonts w:ascii="Arial" w:cs="Arial" w:eastAsia="Arial" w:hAnsi="Arial"/>
                <w:sz w:val="16"/>
                <w:szCs w:val="16"/>
                <w:color w:val="auto"/>
              </w:rPr>
              <w:t>Vice</w:t>
            </w:r>
          </w:p>
        </w:tc>
        <w:tc>
          <w:tcPr>
            <w:tcW w:w="940" w:type="dxa"/>
            <w:vAlign w:val="bottom"/>
          </w:tcPr>
          <w:p>
            <w:pPr>
              <w:ind w:left="100"/>
              <w:spacing w:after="0"/>
              <w:rPr>
                <w:sz w:val="20"/>
                <w:szCs w:val="20"/>
                <w:color w:val="auto"/>
              </w:rPr>
            </w:pPr>
            <w:r>
              <w:rPr>
                <w:rFonts w:ascii="Arial" w:cs="Arial" w:eastAsia="Arial" w:hAnsi="Arial"/>
                <w:sz w:val="16"/>
                <w:szCs w:val="16"/>
                <w:color w:val="auto"/>
              </w:rPr>
              <w:t>President</w:t>
            </w:r>
          </w:p>
        </w:tc>
        <w:tc>
          <w:tcPr>
            <w:tcW w:w="760" w:type="dxa"/>
            <w:vAlign w:val="bottom"/>
            <w:gridSpan w:val="2"/>
          </w:tcPr>
          <w:p>
            <w:pPr>
              <w:ind w:left="200"/>
              <w:spacing w:after="0"/>
              <w:rPr>
                <w:sz w:val="20"/>
                <w:szCs w:val="20"/>
                <w:color w:val="auto"/>
              </w:rPr>
            </w:pPr>
            <w:r>
              <w:rPr>
                <w:rFonts w:ascii="Arial" w:cs="Arial" w:eastAsia="Arial" w:hAnsi="Arial"/>
                <w:sz w:val="16"/>
                <w:szCs w:val="16"/>
                <w:color w:val="auto"/>
              </w:rPr>
              <w:t>and</w:t>
            </w:r>
          </w:p>
        </w:tc>
        <w:tc>
          <w:tcPr>
            <w:tcW w:w="620" w:type="dxa"/>
            <w:vAlign w:val="bottom"/>
          </w:tcPr>
          <w:p>
            <w:pPr>
              <w:ind w:left="80"/>
              <w:spacing w:after="0"/>
              <w:rPr>
                <w:sz w:val="20"/>
                <w:szCs w:val="20"/>
                <w:color w:val="auto"/>
              </w:rPr>
            </w:pPr>
            <w:r>
              <w:rPr>
                <w:rFonts w:ascii="Arial" w:cs="Arial" w:eastAsia="Arial" w:hAnsi="Arial"/>
                <w:sz w:val="16"/>
                <w:szCs w:val="16"/>
                <w:color w:val="auto"/>
              </w:rPr>
              <w:t>Chief</w:t>
            </w:r>
          </w:p>
        </w:tc>
        <w:tc>
          <w:tcPr>
            <w:tcW w:w="820" w:type="dxa"/>
            <w:vAlign w:val="bottom"/>
          </w:tcPr>
          <w:p>
            <w:pPr>
              <w:ind w:left="200"/>
              <w:spacing w:after="0"/>
              <w:rPr>
                <w:sz w:val="20"/>
                <w:szCs w:val="20"/>
                <w:color w:val="auto"/>
              </w:rPr>
            </w:pPr>
            <w:r>
              <w:rPr>
                <w:rFonts w:ascii="Arial" w:cs="Arial" w:eastAsia="Arial" w:hAnsi="Arial"/>
                <w:sz w:val="16"/>
                <w:szCs w:val="16"/>
                <w:color w:val="auto"/>
                <w:w w:val="93"/>
              </w:rPr>
              <w:t>Financial</w:t>
            </w:r>
          </w:p>
        </w:tc>
        <w:tc>
          <w:tcPr>
            <w:tcW w:w="0" w:type="dxa"/>
            <w:vAlign w:val="bottom"/>
          </w:tcPr>
          <w:p>
            <w:pPr>
              <w:spacing w:after="0"/>
              <w:rPr>
                <w:sz w:val="1"/>
                <w:szCs w:val="1"/>
                <w:color w:val="auto"/>
              </w:rPr>
            </w:pPr>
          </w:p>
        </w:tc>
      </w:tr>
      <w:tr>
        <w:trPr>
          <w:trHeight w:val="20"/>
        </w:trPr>
        <w:tc>
          <w:tcPr>
            <w:tcW w:w="340" w:type="dxa"/>
            <w:vAlign w:val="bottom"/>
            <w:gridSpan w:val="3"/>
            <w:vMerge w:val="restart"/>
          </w:tcPr>
          <w:p>
            <w:pPr>
              <w:spacing w:after="0" w:line="181" w:lineRule="exact"/>
              <w:rPr>
                <w:sz w:val="20"/>
                <w:szCs w:val="20"/>
                <w:color w:val="auto"/>
              </w:rPr>
            </w:pPr>
            <w:r>
              <w:rPr>
                <w:rFonts w:ascii="Arial" w:cs="Arial" w:eastAsia="Arial" w:hAnsi="Arial"/>
                <w:sz w:val="16"/>
                <w:szCs w:val="16"/>
                <w:color w:val="auto"/>
                <w:w w:val="83"/>
              </w:rPr>
              <w:t>Date:</w:t>
            </w: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80"/>
              <w:spacing w:after="0" w:line="161" w:lineRule="exact"/>
              <w:rPr>
                <w:sz w:val="20"/>
                <w:szCs w:val="20"/>
                <w:color w:val="auto"/>
              </w:rPr>
            </w:pPr>
            <w:r>
              <w:rPr>
                <w:rFonts w:ascii="Arial" w:cs="Arial" w:eastAsia="Arial" w:hAnsi="Arial"/>
                <w:sz w:val="16"/>
                <w:szCs w:val="16"/>
                <w:color w:val="auto"/>
              </w:rPr>
              <w:t>October 28, 2020</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Arial" w:cs="Arial" w:eastAsia="Arial" w:hAnsi="Arial"/>
                <w:sz w:val="16"/>
                <w:szCs w:val="16"/>
                <w:color w:val="auto"/>
                <w:w w:val="89"/>
              </w:rPr>
              <w:t>Officer</w:t>
            </w:r>
          </w:p>
        </w:tc>
        <w:tc>
          <w:tcPr>
            <w:tcW w:w="86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3"/>
          </w:tcPr>
          <w:p>
            <w:pPr>
              <w:spacing w:after="0" w:line="161" w:lineRule="exact"/>
              <w:rPr>
                <w:sz w:val="20"/>
                <w:szCs w:val="20"/>
                <w:color w:val="auto"/>
              </w:rPr>
            </w:pPr>
            <w:r>
              <w:rPr>
                <w:rFonts w:ascii="Arial" w:cs="Arial" w:eastAsia="Arial" w:hAnsi="Arial"/>
                <w:sz w:val="16"/>
                <w:szCs w:val="16"/>
                <w:color w:val="auto"/>
              </w:rPr>
              <w:t>Date:</w:t>
            </w:r>
          </w:p>
        </w:tc>
        <w:tc>
          <w:tcPr>
            <w:tcW w:w="860" w:type="dxa"/>
            <w:vAlign w:val="bottom"/>
            <w:tcBorders>
              <w:top w:val="single" w:sz="8" w:color="auto"/>
              <w:bottom w:val="single" w:sz="8" w:color="auto"/>
            </w:tcBorders>
          </w:tcPr>
          <w:p>
            <w:pPr>
              <w:ind w:left="100"/>
              <w:spacing w:after="0" w:line="161" w:lineRule="exact"/>
              <w:rPr>
                <w:sz w:val="20"/>
                <w:szCs w:val="20"/>
                <w:color w:val="auto"/>
              </w:rPr>
            </w:pPr>
            <w:r>
              <w:rPr>
                <w:rFonts w:ascii="Arial" w:cs="Arial" w:eastAsia="Arial" w:hAnsi="Arial"/>
                <w:sz w:val="16"/>
                <w:szCs w:val="16"/>
                <w:color w:val="auto"/>
                <w:w w:val="88"/>
              </w:rPr>
              <w:t>October 27,</w:t>
            </w:r>
          </w:p>
        </w:tc>
        <w:tc>
          <w:tcPr>
            <w:tcW w:w="440" w:type="dxa"/>
            <w:vAlign w:val="bottom"/>
            <w:tcBorders>
              <w:bottom w:val="single" w:sz="8" w:color="auto"/>
            </w:tcBorders>
            <w:gridSpan w:val="3"/>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2040" w:type="dxa"/>
            <w:vAlign w:val="bottom"/>
            <w:gridSpan w:val="9"/>
          </w:tcPr>
          <w:p>
            <w:pPr>
              <w:spacing w:after="0"/>
              <w:rPr>
                <w:sz w:val="20"/>
                <w:szCs w:val="20"/>
                <w:color w:val="auto"/>
              </w:rPr>
            </w:pPr>
            <w:r>
              <w:rPr>
                <w:rFonts w:ascii="Arial" w:cs="Arial" w:eastAsia="Arial" w:hAnsi="Arial"/>
                <w:sz w:val="16"/>
                <w:szCs w:val="16"/>
                <w:color w:val="auto"/>
              </w:rPr>
              <w:t>By: /S/ Eric Branderiz</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By: /S/ Manavendra Sial</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gridSpan w:val="9"/>
          </w:tcPr>
          <w:p>
            <w:pPr>
              <w:spacing w:after="0"/>
              <w:rPr>
                <w:sz w:val="20"/>
                <w:szCs w:val="20"/>
                <w:color w:val="auto"/>
              </w:rPr>
            </w:pPr>
            <w:r>
              <w:rPr>
                <w:rFonts w:ascii="Arial" w:cs="Arial" w:eastAsia="Arial" w:hAnsi="Arial"/>
                <w:sz w:val="16"/>
                <w:szCs w:val="16"/>
                <w:color w:val="auto"/>
              </w:rPr>
              <w:t>Name: Eric Branderiz</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Name: Manavendra Sial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36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gridSpan w:val="9"/>
          </w:tcPr>
          <w:p>
            <w:pPr>
              <w:spacing w:after="0"/>
              <w:rPr>
                <w:sz w:val="20"/>
                <w:szCs w:val="20"/>
                <w:color w:val="auto"/>
              </w:rPr>
            </w:pPr>
            <w:r>
              <w:rPr>
                <w:rFonts w:ascii="Arial" w:cs="Arial" w:eastAsia="Arial" w:hAnsi="Arial"/>
                <w:sz w:val="16"/>
                <w:szCs w:val="16"/>
                <w:color w:val="auto"/>
              </w:rPr>
              <w:t>Title: Chief Financial Officer</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Arial" w:cs="Arial" w:eastAsia="Arial" w:hAnsi="Arial"/>
                <w:sz w:val="16"/>
                <w:szCs w:val="16"/>
                <w:color w:val="auto"/>
                <w:w w:val="98"/>
              </w:rPr>
              <w:t>Title: Executive Vice President and Chief Financial Officer</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gridSpan w:val="9"/>
          </w:tcPr>
          <w:p>
            <w:pPr>
              <w:spacing w:after="0"/>
              <w:rPr>
                <w:sz w:val="20"/>
                <w:szCs w:val="20"/>
                <w:color w:val="auto"/>
              </w:rPr>
            </w:pPr>
            <w:r>
              <w:rPr>
                <w:rFonts w:ascii="Arial" w:cs="Arial" w:eastAsia="Arial" w:hAnsi="Arial"/>
                <w:sz w:val="16"/>
                <w:szCs w:val="16"/>
                <w:color w:val="auto"/>
              </w:rPr>
              <w:t>Date: October 28, 2020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Date: October 27, 2020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[Signature Page to Amendment No. 2 to Master Supply Agreement]</w:t>
      </w:r>
    </w:p>
    <w:p>
      <w:pPr>
        <w:sectPr>
          <w:pgSz w:w="11900" w:h="16838" w:orient="portrait"/>
          <w:cols w:equalWidth="0" w:num="1">
            <w:col w:w="11020"/>
          </w:cols>
          <w:pgMar w:left="320" w:top="1133" w:right="559" w:bottom="1440" w:gutter="0" w:footer="0" w:header="0"/>
        </w:sectPr>
      </w:pPr>
    </w:p>
    <w:bookmarkStart w:id="145" w:name="page146"/>
    <w:bookmarkEnd w:id="145"/>
    <w:p>
      <w:pPr>
        <w:jc w:val="right"/>
        <w:ind w:left="6540" w:hanging="2123"/>
        <w:spacing w:after="0" w:line="309" w:lineRule="auto"/>
        <w:tabs>
          <w:tab w:leader="none" w:pos="4596" w:val="left"/>
        </w:tabs>
        <w:numPr>
          <w:ilvl w:val="0"/>
          <w:numId w:val="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Certain confidential information contained in this document, marked by brackets, has been omitted because it is both not material and would likely cause competitive harm to the Company if publicly disclosed.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3</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Master Supply Agreement</w:t>
      </w:r>
    </w:p>
    <w:p>
      <w:pPr>
        <w:spacing w:after="0" w:line="3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This Amendment No. 3 to Master Supply Agreement (the “</w:t>
      </w:r>
      <w:r>
        <w:rPr>
          <w:rFonts w:ascii="Arial" w:cs="Arial" w:eastAsia="Arial" w:hAnsi="Arial"/>
          <w:sz w:val="17"/>
          <w:szCs w:val="17"/>
          <w:b w:val="1"/>
          <w:bCs w:val="1"/>
          <w:i w:val="1"/>
          <w:iCs w:val="1"/>
          <w:color w:val="auto"/>
        </w:rPr>
        <w:t>Amendment</w:t>
      </w:r>
      <w:r>
        <w:rPr>
          <w:rFonts w:ascii="Arial" w:cs="Arial" w:eastAsia="Arial" w:hAnsi="Arial"/>
          <w:sz w:val="17"/>
          <w:szCs w:val="17"/>
          <w:b w:val="1"/>
          <w:bCs w:val="1"/>
          <w:color w:val="auto"/>
        </w:rPr>
        <w:t>”), having an effective date of October 1, 2019 (“</w:t>
      </w:r>
      <w:r>
        <w:rPr>
          <w:rFonts w:ascii="Arial" w:cs="Arial" w:eastAsia="Arial" w:hAnsi="Arial"/>
          <w:sz w:val="17"/>
          <w:szCs w:val="17"/>
          <w:b w:val="1"/>
          <w:bCs w:val="1"/>
          <w:i w:val="1"/>
          <w:iCs w:val="1"/>
          <w:color w:val="auto"/>
        </w:rPr>
        <w:t>Amendment Effective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b w:val="1"/>
          <w:bCs w:val="1"/>
          <w:color w:val="auto"/>
        </w:rPr>
        <w:t>”) to the Master Supply Agreement dated June 12, 2018 (as amended, the “</w:t>
      </w:r>
      <w:r>
        <w:rPr>
          <w:rFonts w:ascii="Arial" w:cs="Arial" w:eastAsia="Arial" w:hAnsi="Arial"/>
          <w:sz w:val="17"/>
          <w:szCs w:val="17"/>
          <w:b w:val="1"/>
          <w:bCs w:val="1"/>
          <w:i w:val="1"/>
          <w:iCs w:val="1"/>
          <w:color w:val="auto"/>
        </w:rPr>
        <w:t>MSA</w:t>
      </w:r>
      <w:r>
        <w:rPr>
          <w:rFonts w:ascii="Arial" w:cs="Arial" w:eastAsia="Arial" w:hAnsi="Arial"/>
          <w:sz w:val="17"/>
          <w:szCs w:val="17"/>
          <w:b w:val="1"/>
          <w:bCs w:val="1"/>
          <w:color w:val="auto"/>
        </w:rPr>
        <w:t>”) is entered into by and between SunPower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Corporation, a Delaware corporation with offices at 51 Rio Robles, San Jose, California 95134 (“</w:t>
      </w:r>
      <w:r>
        <w:rPr>
          <w:rFonts w:ascii="Arial" w:cs="Arial" w:eastAsia="Arial" w:hAnsi="Arial"/>
          <w:sz w:val="17"/>
          <w:szCs w:val="17"/>
          <w:b w:val="1"/>
          <w:bCs w:val="1"/>
          <w:i w:val="1"/>
          <w:iCs w:val="1"/>
          <w:color w:val="auto"/>
        </w:rPr>
        <w:t>SunPower</w:t>
      </w:r>
      <w:r>
        <w:rPr>
          <w:rFonts w:ascii="Arial" w:cs="Arial" w:eastAsia="Arial" w:hAnsi="Arial"/>
          <w:sz w:val="17"/>
          <w:szCs w:val="17"/>
          <w:b w:val="1"/>
          <w:bCs w:val="1"/>
          <w:color w:val="auto"/>
        </w:rPr>
        <w:t>”), and Enphase Energy, Inc., a Delaware corporation with offices at 47281 Bayside Parkway, Fremont, California 94538 (formerly at 1420 N. McDowell Blvd., Petaluma, CA 94954) (“</w:t>
      </w:r>
      <w:r>
        <w:rPr>
          <w:rFonts w:ascii="Arial" w:cs="Arial" w:eastAsia="Arial" w:hAnsi="Arial"/>
          <w:sz w:val="17"/>
          <w:szCs w:val="17"/>
          <w:b w:val="1"/>
          <w:bCs w:val="1"/>
          <w:i w:val="1"/>
          <w:iCs w:val="1"/>
          <w:color w:val="auto"/>
        </w:rPr>
        <w:t>Enphase</w:t>
      </w:r>
      <w:r>
        <w:rPr>
          <w:rFonts w:ascii="Arial" w:cs="Arial" w:eastAsia="Arial" w:hAnsi="Arial"/>
          <w:sz w:val="17"/>
          <w:szCs w:val="17"/>
          <w:b w:val="1"/>
          <w:bCs w:val="1"/>
          <w:color w:val="auto"/>
        </w:rPr>
        <w:t>”). Capitalized terms not otherwise defined herein shall have the meaning ascribed to them in the MSA.</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SunPower desires to purchase certain other Enphase microinverters for purposes of using such microinverters as field replacement units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FRU</w:t>
      </w:r>
      <w:r>
        <w:rPr>
          <w:rFonts w:ascii="Arial" w:cs="Arial" w:eastAsia="Arial" w:hAnsi="Arial"/>
          <w:sz w:val="17"/>
          <w:szCs w:val="17"/>
          <w:color w:val="auto"/>
        </w:rPr>
        <w:t>”s) in place of existing inverters in SunPower’s Gen 1.x, Gen 2.x and Gen 3.x AC Module based solar systems (collectively, the “</w:t>
      </w:r>
      <w:r>
        <w:rPr>
          <w:rFonts w:ascii="Arial" w:cs="Arial" w:eastAsia="Arial" w:hAnsi="Arial"/>
          <w:sz w:val="17"/>
          <w:szCs w:val="17"/>
          <w:b w:val="1"/>
          <w:bCs w:val="1"/>
          <w:i w:val="1"/>
          <w:iCs w:val="1"/>
          <w:color w:val="auto"/>
        </w:rPr>
        <w:t>Legacy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Systems</w:t>
      </w:r>
      <w:r>
        <w:rPr>
          <w:rFonts w:ascii="Arial" w:cs="Arial" w:eastAsia="Arial" w:hAnsi="Arial"/>
          <w:sz w:val="17"/>
          <w:szCs w:val="17"/>
          <w:color w:val="auto"/>
        </w:rPr>
        <w:t>”, and the inverter replacement program shall be referred to as, the “</w:t>
      </w:r>
      <w:r>
        <w:rPr>
          <w:rFonts w:ascii="Arial" w:cs="Arial" w:eastAsia="Arial" w:hAnsi="Arial"/>
          <w:sz w:val="17"/>
          <w:szCs w:val="17"/>
          <w:b w:val="1"/>
          <w:bCs w:val="1"/>
          <w:i w:val="1"/>
          <w:iCs w:val="1"/>
          <w:color w:val="auto"/>
        </w:rPr>
        <w:t>FRU Program</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Enphase wishes to sell such other products to SunPower for the FRU Program;</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have entered into the MSA for purposes of specifying the terms and conditions under which SunPower will purchase and</w:t>
      </w:r>
      <w:r>
        <w:rPr>
          <w:rFonts w:ascii="Arial" w:cs="Arial" w:eastAsia="Arial" w:hAnsi="Arial"/>
          <w:sz w:val="17"/>
          <w:szCs w:val="17"/>
          <w:b w:val="1"/>
          <w:bCs w:val="1"/>
          <w:color w:val="auto"/>
        </w:rPr>
        <w:t xml:space="preserve"> </w:t>
      </w:r>
      <w:r>
        <w:rPr>
          <w:rFonts w:ascii="Arial" w:cs="Arial" w:eastAsia="Arial" w:hAnsi="Arial"/>
          <w:sz w:val="17"/>
          <w:szCs w:val="17"/>
          <w:color w:val="auto"/>
        </w:rPr>
        <w:t>Enphase will supply certain Enphase products to be used by SunPower;</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SunPower and Enphase now desire to further supplement and add additional Products (as defined below) to the scope of the MSA,</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those to be used as part of the FRU Program;</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AND WHEREAS</w:t>
      </w:r>
      <w:r>
        <w:rPr>
          <w:rFonts w:ascii="Arial" w:cs="Arial" w:eastAsia="Arial" w:hAnsi="Arial"/>
          <w:sz w:val="17"/>
          <w:szCs w:val="17"/>
          <w:color w:val="auto"/>
        </w:rPr>
        <w:t>; For purposes of this Amendment, “</w:t>
      </w:r>
      <w:r>
        <w:rPr>
          <w:rFonts w:ascii="Arial" w:cs="Arial" w:eastAsia="Arial" w:hAnsi="Arial"/>
          <w:sz w:val="17"/>
          <w:szCs w:val="17"/>
          <w:b w:val="1"/>
          <w:bCs w:val="1"/>
          <w:i w:val="1"/>
          <w:iCs w:val="1"/>
          <w:color w:val="auto"/>
        </w:rPr>
        <w:t>Covered Product</w:t>
      </w:r>
      <w:r>
        <w:rPr>
          <w:rFonts w:ascii="Arial" w:cs="Arial" w:eastAsia="Arial" w:hAnsi="Arial"/>
          <w:sz w:val="17"/>
          <w:szCs w:val="17"/>
          <w:b w:val="1"/>
          <w:bCs w:val="1"/>
          <w:color w:val="auto"/>
        </w:rPr>
        <w:t>s</w:t>
      </w:r>
      <w:r>
        <w:rPr>
          <w:rFonts w:ascii="Arial" w:cs="Arial" w:eastAsia="Arial" w:hAnsi="Arial"/>
          <w:sz w:val="17"/>
          <w:szCs w:val="17"/>
          <w:color w:val="auto"/>
        </w:rPr>
        <w:t>” are defined as Enphase Products sold to SunPower hereunder as FRUs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support Legacy Systems as further outlined in the table below:</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SunPower MI</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W-ac</w:t>
            </w:r>
          </w:p>
        </w:tc>
        <w:tc>
          <w:tcPr>
            <w:tcW w:w="118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V-dc range</w:t>
            </w:r>
          </w:p>
        </w:tc>
        <w:tc>
          <w:tcPr>
            <w:tcW w:w="344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Enphase MI</w:t>
            </w:r>
          </w:p>
        </w:tc>
        <w:tc>
          <w:tcPr>
            <w:tcW w:w="3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Gateway</w:t>
            </w:r>
          </w:p>
        </w:tc>
      </w:tr>
      <w:tr>
        <w:trPr>
          <w:trHeight w:val="24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(each a “FRU Microinverter”)</w:t>
            </w:r>
          </w:p>
        </w:tc>
        <w:tc>
          <w:tcPr>
            <w:tcW w:w="3860" w:type="dxa"/>
            <w:vAlign w:val="bottom"/>
            <w:tcBorders>
              <w:bottom w:val="single" w:sz="8" w:color="auto"/>
              <w:right w:val="single" w:sz="8" w:color="auto"/>
            </w:tcBorders>
          </w:tcPr>
          <w:p>
            <w:pPr>
              <w:spacing w:after="0"/>
              <w:rPr>
                <w:sz w:val="20"/>
                <w:szCs w:val="20"/>
                <w:color w:val="auto"/>
              </w:rPr>
            </w:pPr>
          </w:p>
        </w:tc>
      </w:tr>
      <w:tr>
        <w:trPr>
          <w:trHeight w:val="226"/>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Gen 3.x</w:t>
            </w:r>
          </w:p>
        </w:tc>
        <w:tc>
          <w:tcPr>
            <w:tcW w:w="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320</w:t>
            </w:r>
          </w:p>
        </w:tc>
        <w:tc>
          <w:tcPr>
            <w:tcW w:w="11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20-64</w:t>
            </w:r>
          </w:p>
        </w:tc>
        <w:tc>
          <w:tcPr>
            <w:tcW w:w="34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IQ7XS-96-2-US</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Sunpower PVS6</w:t>
            </w: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3860" w:type="dxa"/>
            <w:vAlign w:val="bottom"/>
            <w:tcBorders>
              <w:bottom w:val="single" w:sz="8" w:color="auto"/>
              <w:right w:val="single" w:sz="8" w:color="auto"/>
            </w:tcBorders>
          </w:tcPr>
          <w:p>
            <w:pPr>
              <w:spacing w:after="0" w:line="20" w:lineRule="exact"/>
              <w:rPr>
                <w:sz w:val="1"/>
                <w:szCs w:val="1"/>
                <w:color w:val="auto"/>
              </w:rPr>
            </w:pPr>
          </w:p>
        </w:tc>
      </w:tr>
      <w:tr>
        <w:trPr>
          <w:trHeight w:val="225"/>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Gen 2.x</w:t>
            </w:r>
          </w:p>
        </w:tc>
        <w:tc>
          <w:tcPr>
            <w:tcW w:w="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238</w:t>
            </w:r>
          </w:p>
        </w:tc>
        <w:tc>
          <w:tcPr>
            <w:tcW w:w="11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25-50</w:t>
            </w:r>
          </w:p>
        </w:tc>
        <w:tc>
          <w:tcPr>
            <w:tcW w:w="34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IQ7PD-84-2-US</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Enphase Envoy or AC Combiner</w:t>
            </w: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3860" w:type="dxa"/>
            <w:vAlign w:val="bottom"/>
            <w:tcBorders>
              <w:bottom w:val="single" w:sz="8" w:color="auto"/>
              <w:right w:val="single" w:sz="8" w:color="auto"/>
            </w:tcBorders>
          </w:tcPr>
          <w:p>
            <w:pPr>
              <w:spacing w:after="0" w:line="20" w:lineRule="exact"/>
              <w:rPr>
                <w:sz w:val="1"/>
                <w:szCs w:val="1"/>
                <w:color w:val="auto"/>
              </w:rPr>
            </w:pPr>
          </w:p>
        </w:tc>
      </w:tr>
      <w:tr>
        <w:trPr>
          <w:trHeight w:val="225"/>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Gen 1.x</w:t>
            </w:r>
          </w:p>
        </w:tc>
        <w:tc>
          <w:tcPr>
            <w:tcW w:w="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225</w:t>
            </w:r>
          </w:p>
        </w:tc>
        <w:tc>
          <w:tcPr>
            <w:tcW w:w="11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25-50</w:t>
            </w:r>
          </w:p>
        </w:tc>
        <w:tc>
          <w:tcPr>
            <w:tcW w:w="34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IQ7PD-84-2-US</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Enphase Envoy or AC Combiner</w:t>
            </w: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38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1145" w:right="31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adequate consideration, the receipt of which is hereby acknowledged, the Parties agree to the following:</w:t>
      </w:r>
    </w:p>
    <w:p>
      <w:pPr>
        <w:spacing w:after="0" w:line="197" w:lineRule="exact"/>
        <w:rPr>
          <w:sz w:val="20"/>
          <w:szCs w:val="20"/>
          <w:color w:val="auto"/>
        </w:rPr>
      </w:pPr>
    </w:p>
    <w:p>
      <w:pPr>
        <w:jc w:val="both"/>
        <w:ind w:left="760" w:hanging="246"/>
        <w:spacing w:after="0" w:line="269" w:lineRule="auto"/>
        <w:tabs>
          <w:tab w:leader="none" w:pos="887"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Covered Products. </w:t>
      </w:r>
      <w:r>
        <w:rPr>
          <w:rFonts w:ascii="Arial" w:cs="Arial" w:eastAsia="Arial" w:hAnsi="Arial"/>
          <w:sz w:val="17"/>
          <w:szCs w:val="17"/>
          <w:color w:val="auto"/>
        </w:rPr>
        <w:t>SunPower shall purchase and Enphase shall supply Covered Products, including those necessary for SunPower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mount the FRU Microinverter to a SunPower Legacy System as a replacement for an existing inverter that is part of the Legacy System. The applicable data sheet for the FRU Microinverters are attached hereto as </w:t>
      </w:r>
      <w:r>
        <w:rPr>
          <w:rFonts w:ascii="Arial" w:cs="Arial" w:eastAsia="Arial" w:hAnsi="Arial"/>
          <w:sz w:val="17"/>
          <w:szCs w:val="17"/>
          <w:u w:val="single" w:color="auto"/>
          <w:color w:val="auto"/>
        </w:rPr>
        <w:t>Attachment A</w:t>
      </w:r>
      <w:r>
        <w:rPr>
          <w:rFonts w:ascii="Arial" w:cs="Arial" w:eastAsia="Arial" w:hAnsi="Arial"/>
          <w:sz w:val="17"/>
          <w:szCs w:val="17"/>
          <w:color w:val="auto"/>
        </w:rPr>
        <w:t>.</w:t>
      </w:r>
    </w:p>
    <w:p>
      <w:pPr>
        <w:spacing w:after="0" w:line="138" w:lineRule="exact"/>
        <w:rPr>
          <w:rFonts w:ascii="Arial" w:cs="Arial" w:eastAsia="Arial" w:hAnsi="Arial"/>
          <w:sz w:val="17"/>
          <w:szCs w:val="17"/>
          <w:b w:val="1"/>
          <w:bCs w:val="1"/>
          <w:color w:val="auto"/>
        </w:rPr>
      </w:pPr>
    </w:p>
    <w:p>
      <w:pPr>
        <w:jc w:val="both"/>
        <w:ind w:left="760" w:hanging="246"/>
        <w:spacing w:after="0" w:line="228" w:lineRule="auto"/>
        <w:tabs>
          <w:tab w:leader="none" w:pos="878"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Pricing</w:t>
      </w:r>
      <w:r>
        <w:rPr>
          <w:rFonts w:ascii="Arial" w:cs="Arial" w:eastAsia="Arial" w:hAnsi="Arial"/>
          <w:sz w:val="17"/>
          <w:szCs w:val="17"/>
          <w:color w:val="auto"/>
        </w:rPr>
        <w:t>. Enphase shall supply and SunPower shall purchase Covered Products at the prices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Attachment B</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As used in this Amendment, Covered Products does not include any other Products supplied under the terms of the MSA. All references to a quarter, or “Q”, in this Amendment means the three month calendar period, starting with Q1 being January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through March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respective year. For the avoidance of doubt, this Attachment B shall apply solely to the FRUs made available under this Amendment and, except as expressly set forth herein, shall in no way modify the Exhibit B agreed upon in Amendment No. 2 to the MSA.</w:t>
      </w:r>
    </w:p>
    <w:p>
      <w:pPr>
        <w:spacing w:after="0" w:line="161" w:lineRule="exact"/>
        <w:rPr>
          <w:rFonts w:ascii="Arial" w:cs="Arial" w:eastAsia="Arial" w:hAnsi="Arial"/>
          <w:sz w:val="17"/>
          <w:szCs w:val="17"/>
          <w:b w:val="1"/>
          <w:bCs w:val="1"/>
          <w:color w:val="auto"/>
        </w:rPr>
      </w:pPr>
    </w:p>
    <w:p>
      <w:pPr>
        <w:ind w:left="840" w:hanging="326"/>
        <w:spacing w:after="0"/>
        <w:tabs>
          <w:tab w:leader="none" w:pos="8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Forecasts. </w:t>
      </w:r>
      <w:r>
        <w:rPr>
          <w:rFonts w:ascii="Arial" w:cs="Arial" w:eastAsia="Arial" w:hAnsi="Arial"/>
          <w:sz w:val="17"/>
          <w:szCs w:val="17"/>
          <w:color w:val="auto"/>
        </w:rPr>
        <w:t>Section 2.1 of the MSA (Forecasts) shall be applicable to the Covered Products.</w:t>
      </w:r>
    </w:p>
    <w:p>
      <w:pPr>
        <w:spacing w:after="0" w:line="197" w:lineRule="exact"/>
        <w:rPr>
          <w:rFonts w:ascii="Arial" w:cs="Arial" w:eastAsia="Arial" w:hAnsi="Arial"/>
          <w:sz w:val="17"/>
          <w:szCs w:val="17"/>
          <w:b w:val="1"/>
          <w:bCs w:val="1"/>
          <w:color w:val="auto"/>
        </w:rPr>
      </w:pPr>
    </w:p>
    <w:p>
      <w:pPr>
        <w:jc w:val="both"/>
        <w:ind w:left="760" w:hanging="246"/>
        <w:spacing w:after="0" w:line="269" w:lineRule="auto"/>
        <w:tabs>
          <w:tab w:leader="none" w:pos="963"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Volume. </w:t>
      </w:r>
      <w:r>
        <w:rPr>
          <w:rFonts w:ascii="Arial" w:cs="Arial" w:eastAsia="Arial" w:hAnsi="Arial"/>
          <w:sz w:val="17"/>
          <w:szCs w:val="17"/>
          <w:color w:val="auto"/>
        </w:rPr>
        <w:t>Enphase shall sell and SunPower shall purchase the volume of FRU Microinverters set forth for each period specified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Attachment B</w:t>
      </w:r>
      <w:r>
        <w:rPr>
          <w:rFonts w:ascii="Arial" w:cs="Arial" w:eastAsia="Arial" w:hAnsi="Arial"/>
          <w:sz w:val="17"/>
          <w:szCs w:val="17"/>
          <w:color w:val="auto"/>
        </w:rPr>
        <w:t>. All Covered Products supplied to SunPower under this Amendment shall be included for purposes of calculating the Volume-Based Price Adjustment under the MSA.</w:t>
      </w:r>
    </w:p>
    <w:p>
      <w:pPr>
        <w:spacing w:after="0" w:line="138" w:lineRule="exact"/>
        <w:rPr>
          <w:rFonts w:ascii="Arial" w:cs="Arial" w:eastAsia="Arial" w:hAnsi="Arial"/>
          <w:sz w:val="17"/>
          <w:szCs w:val="17"/>
          <w:b w:val="1"/>
          <w:bCs w:val="1"/>
          <w:color w:val="auto"/>
        </w:rPr>
      </w:pPr>
    </w:p>
    <w:p>
      <w:pPr>
        <w:jc w:val="both"/>
        <w:ind w:left="760" w:hanging="246"/>
        <w:spacing w:after="0" w:line="269" w:lineRule="auto"/>
        <w:tabs>
          <w:tab w:leader="none" w:pos="836"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FRU Program Requirements</w:t>
      </w:r>
      <w:r>
        <w:rPr>
          <w:rFonts w:ascii="Arial" w:cs="Arial" w:eastAsia="Arial" w:hAnsi="Arial"/>
          <w:sz w:val="17"/>
          <w:szCs w:val="17"/>
          <w:color w:val="auto"/>
        </w:rPr>
        <w:t>. The Parties agree that microinverter reliability is an important aspect of the FRU Program and it is critical to</w:t>
      </w:r>
      <w:r>
        <w:rPr>
          <w:rFonts w:ascii="Arial" w:cs="Arial" w:eastAsia="Arial" w:hAnsi="Arial"/>
          <w:sz w:val="17"/>
          <w:szCs w:val="17"/>
          <w:b w:val="1"/>
          <w:bCs w:val="1"/>
          <w:color w:val="auto"/>
        </w:rPr>
        <w:t xml:space="preserve"> </w:t>
      </w:r>
      <w:r>
        <w:rPr>
          <w:rFonts w:ascii="Arial" w:cs="Arial" w:eastAsia="Arial" w:hAnsi="Arial"/>
          <w:sz w:val="17"/>
          <w:szCs w:val="17"/>
          <w:color w:val="auto"/>
        </w:rPr>
        <w:t>ensure that each microinverter can be remotely monitored and updated in order to lead to that desired reliability. Accordingly, the Parties agree to the following:</w:t>
      </w:r>
    </w:p>
    <w:p>
      <w:pPr>
        <w:spacing w:after="0" w:line="140" w:lineRule="exact"/>
        <w:rPr>
          <w:rFonts w:ascii="Arial" w:cs="Arial" w:eastAsia="Arial" w:hAnsi="Arial"/>
          <w:sz w:val="17"/>
          <w:szCs w:val="17"/>
          <w:b w:val="1"/>
          <w:bCs w:val="1"/>
          <w:color w:val="auto"/>
        </w:rPr>
      </w:pPr>
    </w:p>
    <w:p>
      <w:pPr>
        <w:jc w:val="both"/>
        <w:ind w:left="1280" w:hanging="257"/>
        <w:spacing w:after="0" w:line="261" w:lineRule="auto"/>
        <w:tabs>
          <w:tab w:leader="none" w:pos="143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Complete Legacy System Replacement.</w:t>
      </w:r>
      <w:r>
        <w:rPr>
          <w:rFonts w:ascii="Arial" w:cs="Arial" w:eastAsia="Arial" w:hAnsi="Arial"/>
          <w:sz w:val="17"/>
          <w:szCs w:val="17"/>
          <w:color w:val="auto"/>
        </w:rPr>
        <w:t xml:space="preserve"> If SunPower replaces any one inverter on a Legacy System with a FRU Microinverter, SunPower shall replace each and every existing inverter on such Legacy System with an Enphase FRU Microinverter (such action referred to as a “</w:t>
      </w:r>
      <w:r>
        <w:rPr>
          <w:rFonts w:ascii="Arial" w:cs="Arial" w:eastAsia="Arial" w:hAnsi="Arial"/>
          <w:sz w:val="17"/>
          <w:szCs w:val="17"/>
          <w:b w:val="1"/>
          <w:bCs w:val="1"/>
          <w:i w:val="1"/>
          <w:iCs w:val="1"/>
          <w:color w:val="auto"/>
        </w:rPr>
        <w:t>Full Site Replacement</w:t>
      </w:r>
      <w:r>
        <w:rPr>
          <w:rFonts w:ascii="Arial" w:cs="Arial" w:eastAsia="Arial" w:hAnsi="Arial"/>
          <w:sz w:val="17"/>
          <w:szCs w:val="17"/>
          <w:color w:val="auto"/>
        </w:rPr>
        <w:t>”). Upon future review of technical feasibility and mutual agreement of both Parties, SunPower may elect to perform partial replacement at a site at a later date.</w:t>
      </w:r>
    </w:p>
    <w:p>
      <w:pPr>
        <w:spacing w:after="0" w:line="147" w:lineRule="exact"/>
        <w:rPr>
          <w:rFonts w:ascii="Arial" w:cs="Arial" w:eastAsia="Arial" w:hAnsi="Arial"/>
          <w:sz w:val="17"/>
          <w:szCs w:val="17"/>
          <w:color w:val="auto"/>
        </w:rPr>
      </w:pPr>
    </w:p>
    <w:p>
      <w:pPr>
        <w:jc w:val="both"/>
        <w:ind w:left="1280" w:hanging="257"/>
        <w:spacing w:after="0" w:line="268" w:lineRule="auto"/>
        <w:tabs>
          <w:tab w:leader="none" w:pos="1377"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Required Software Updates</w:t>
      </w:r>
      <w:r>
        <w:rPr>
          <w:rFonts w:ascii="Arial" w:cs="Arial" w:eastAsia="Arial" w:hAnsi="Arial"/>
          <w:sz w:val="17"/>
          <w:szCs w:val="17"/>
          <w:color w:val="auto"/>
        </w:rPr>
        <w:t>. For systems connected to Enphase’s Envoy systems, Enphase will follow the Sunpower PCN process and notify SunPower of any updates prior to performing upgrades. For systems connected to PVS6, software updates shall be carried out in accordance with the MSA.</w:t>
      </w:r>
    </w:p>
    <w:p>
      <w:pPr>
        <w:sectPr>
          <w:pgSz w:w="11900" w:h="16838" w:orient="portrait"/>
          <w:cols w:equalWidth="0" w:num="1">
            <w:col w:w="11280"/>
          </w:cols>
          <w:pgMar w:left="300" w:top="1330" w:right="319" w:bottom="1440" w:gutter="0" w:footer="0" w:header="0"/>
        </w:sectPr>
      </w:pPr>
    </w:p>
    <w:bookmarkStart w:id="147" w:name="page148"/>
    <w:bookmarkEnd w:id="147"/>
    <w:p>
      <w:pPr>
        <w:jc w:val="both"/>
        <w:ind w:left="257" w:hanging="257"/>
        <w:spacing w:after="0" w:line="255" w:lineRule="auto"/>
        <w:tabs>
          <w:tab w:leader="none" w:pos="354"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Gateway Product</w:t>
      </w:r>
      <w:r>
        <w:rPr>
          <w:rFonts w:ascii="Arial" w:cs="Arial" w:eastAsia="Arial" w:hAnsi="Arial"/>
          <w:sz w:val="17"/>
          <w:szCs w:val="17"/>
          <w:color w:val="auto"/>
        </w:rPr>
        <w:t>. For each replacement with IQ7XS-96-2-US, SunPower shall ensure that each IQ7XS-96-2-US unit is connected to a SunPower PVS6 or compatible gateway product, with the ability to remotely commission, monitor, control and provide the firmware upgrade capability on each FRU Microinverter. For each replacement with IQ7PD-84-2-US SunPower shall ensure that each IQ7PD-84-2-US unit is connected to an Enphase Envoy with the ability to remotely commission, monitor, control and provide the firmware upgrade capability on each FRU Microinverter. Enphase and Sunpower shall cooperate to develop relevant System APIs to provide performance data to SunPower.</w:t>
      </w:r>
    </w:p>
    <w:p>
      <w:pPr>
        <w:spacing w:after="0" w:line="154" w:lineRule="exact"/>
        <w:rPr>
          <w:rFonts w:ascii="Arial" w:cs="Arial" w:eastAsia="Arial" w:hAnsi="Arial"/>
          <w:sz w:val="17"/>
          <w:szCs w:val="17"/>
          <w:color w:val="auto"/>
        </w:rPr>
      </w:pPr>
    </w:p>
    <w:p>
      <w:pPr>
        <w:jc w:val="both"/>
        <w:ind w:left="257" w:hanging="257"/>
        <w:spacing w:after="0" w:line="250" w:lineRule="auto"/>
        <w:tabs>
          <w:tab w:leader="none" w:pos="37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Data Sharing</w:t>
      </w:r>
      <w:r>
        <w:rPr>
          <w:rFonts w:ascii="Arial" w:cs="Arial" w:eastAsia="Arial" w:hAnsi="Arial"/>
          <w:sz w:val="17"/>
          <w:szCs w:val="17"/>
          <w:color w:val="auto"/>
        </w:rPr>
        <w:t>. SunPower shall gather the performance data described in Attachment D-1 in relation to a SunPower PVS6 product (the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xml:space="preserve">”) and make such Data available to Enphase for the previous [*] (at a minimum), on a rolling basis, refreshed no less frequently than weekly (provided that SunPower shall make available one month of Data promptly following the date this Amendment is signed and shall provide each subsequent month’s Data until the aforementioned three (3) months of Data is available), including, without limitation, the data points set forth in </w:t>
      </w:r>
      <w:r>
        <w:rPr>
          <w:rFonts w:ascii="Arial" w:cs="Arial" w:eastAsia="Arial" w:hAnsi="Arial"/>
          <w:sz w:val="17"/>
          <w:szCs w:val="17"/>
          <w:u w:val="single" w:color="auto"/>
          <w:color w:val="auto"/>
        </w:rPr>
        <w:t>Attachment D-1</w:t>
      </w:r>
      <w:r>
        <w:rPr>
          <w:rFonts w:ascii="Arial" w:cs="Arial" w:eastAsia="Arial" w:hAnsi="Arial"/>
          <w:sz w:val="17"/>
          <w:szCs w:val="17"/>
          <w:color w:val="auto"/>
        </w:rPr>
        <w:t>, attached hereto and incorporated by reference. The Data is made available “as-is” and SunPower makes no representation or warranty whether express or implied, including accuracy, completeness, or any implied warranties of title, non-infringement, quiet enjoyment, integration, merchantability or fitness for a particular purpose with respect to such Data. Following the first month in which three (3) month’s Data has been made available, Enphase shall make a payment of [*] to SunPower for purposes of maintaining the database and equipment necessary to provide Data to Enphase under this Section. For the avoidance of doubt, Enphase will have no obligation to pay the [*] that SunPower fails to provide at least [*] worth of then-current data. Each party shall comply with the Data Protection Addendum (“</w:t>
      </w:r>
      <w:r>
        <w:rPr>
          <w:rFonts w:ascii="Arial" w:cs="Arial" w:eastAsia="Arial" w:hAnsi="Arial"/>
          <w:sz w:val="17"/>
          <w:szCs w:val="17"/>
          <w:b w:val="1"/>
          <w:bCs w:val="1"/>
          <w:color w:val="auto"/>
        </w:rPr>
        <w:t>DPA</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D-2</w:t>
      </w:r>
      <w:r>
        <w:rPr>
          <w:rFonts w:ascii="Arial" w:cs="Arial" w:eastAsia="Arial" w:hAnsi="Arial"/>
          <w:sz w:val="17"/>
          <w:szCs w:val="17"/>
          <w:color w:val="auto"/>
        </w:rPr>
        <w:t>. For the avoidance of doubt, the parties acknowledge that Enphase’s access to the Data is not part of the consideration exchanged by the parties in connection with the MSA. The Parties agree to discuss in good faith the feasibility of a data-porting integration enabling the provision of the Data to Enphase, after which SunPower will no longer be required to provide, and Enphase will no longer be required to pay for, the above-referenced database, and the terms of any such arrangement shall subject to mutual agreement by the parties in a separate definitive agreement.</w:t>
      </w:r>
    </w:p>
    <w:p>
      <w:pPr>
        <w:spacing w:after="0" w:line="158" w:lineRule="exact"/>
        <w:rPr>
          <w:rFonts w:ascii="Arial" w:cs="Arial" w:eastAsia="Arial" w:hAnsi="Arial"/>
          <w:sz w:val="17"/>
          <w:szCs w:val="17"/>
          <w:color w:val="auto"/>
        </w:rPr>
      </w:pPr>
    </w:p>
    <w:p>
      <w:pPr>
        <w:jc w:val="both"/>
        <w:ind w:left="257" w:hanging="257"/>
        <w:spacing w:after="0" w:line="268" w:lineRule="auto"/>
        <w:tabs>
          <w:tab w:leader="none" w:pos="38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Racking system</w:t>
      </w:r>
      <w:r>
        <w:rPr>
          <w:rFonts w:ascii="Arial" w:cs="Arial" w:eastAsia="Arial" w:hAnsi="Arial"/>
          <w:sz w:val="17"/>
          <w:szCs w:val="17"/>
          <w:color w:val="auto"/>
        </w:rPr>
        <w:t>. SunPower shall (i) use the Invisimount racking or other UL 2703 compliant racking system for Legacy Systems requiring this certification at the time of install and (ii) for systems installed prior to this requirement, SunPower will use an UL approved racking system. For racking</w:t>
      </w:r>
    </w:p>
    <w:p>
      <w:pPr>
        <w:sectPr>
          <w:pgSz w:w="11900" w:h="16838" w:orient="portrait"/>
          <w:cols w:equalWidth="0" w:num="1">
            <w:col w:w="10257"/>
          </w:cols>
          <w:pgMar w:left="1323" w:top="1332" w:right="319" w:bottom="1440" w:gutter="0" w:footer="0" w:header="0"/>
        </w:sectPr>
      </w:pPr>
    </w:p>
    <w:bookmarkStart w:id="148" w:name="page149"/>
    <w:bookmarkEnd w:id="148"/>
    <w:p>
      <w:pPr>
        <w:jc w:val="both"/>
        <w:ind w:left="257"/>
        <w:spacing w:after="0" w:line="255" w:lineRule="auto"/>
        <w:rPr>
          <w:sz w:val="20"/>
          <w:szCs w:val="20"/>
          <w:color w:val="auto"/>
        </w:rPr>
      </w:pPr>
      <w:r>
        <w:rPr>
          <w:rFonts w:ascii="Arial" w:cs="Arial" w:eastAsia="Arial" w:hAnsi="Arial"/>
          <w:sz w:val="17"/>
          <w:szCs w:val="17"/>
          <w:color w:val="auto"/>
        </w:rPr>
        <w:t>components that affix directly to the FRU Microinverter, SunPower will use UL2703 listed components. In case a suitable racking system is not available, SunPower may use approved frame mounting solutions for replacements. Notwithstanding the foregoing, SunPower will not use any racking system or frame mounting solution unless it has been approved in writing by Enphase (“</w:t>
      </w:r>
      <w:r>
        <w:rPr>
          <w:rFonts w:ascii="Arial" w:cs="Arial" w:eastAsia="Arial" w:hAnsi="Arial"/>
          <w:sz w:val="17"/>
          <w:szCs w:val="17"/>
          <w:b w:val="1"/>
          <w:bCs w:val="1"/>
          <w:i w:val="1"/>
          <w:iCs w:val="1"/>
          <w:color w:val="auto"/>
        </w:rPr>
        <w:t>Approved Racking</w:t>
      </w:r>
      <w:r>
        <w:rPr>
          <w:rFonts w:ascii="Arial" w:cs="Arial" w:eastAsia="Arial" w:hAnsi="Arial"/>
          <w:sz w:val="17"/>
          <w:szCs w:val="17"/>
          <w:color w:val="auto"/>
        </w:rPr>
        <w:t xml:space="preserve">”). All Approved Racking must ensure sufficient protection of the FRU Microinverter from the elements and ample clearance from the roof for proper thermal dissipation. The Approved Racking shall be specified in the Installation Manual and communicated to all SunPower FRU Program installation teams. A copy of the Manual is attached hereto as </w:t>
      </w:r>
      <w:r>
        <w:rPr>
          <w:rFonts w:ascii="Arial" w:cs="Arial" w:eastAsia="Arial" w:hAnsi="Arial"/>
          <w:sz w:val="17"/>
          <w:szCs w:val="17"/>
          <w:u w:val="single" w:color="auto"/>
          <w:color w:val="auto"/>
        </w:rPr>
        <w:t>Attachment C.</w:t>
      </w:r>
    </w:p>
    <w:p>
      <w:pPr>
        <w:spacing w:after="0" w:line="154" w:lineRule="exact"/>
        <w:rPr>
          <w:sz w:val="20"/>
          <w:szCs w:val="20"/>
          <w:color w:val="auto"/>
        </w:rPr>
      </w:pPr>
    </w:p>
    <w:p>
      <w:pPr>
        <w:jc w:val="both"/>
        <w:ind w:left="257" w:hanging="257"/>
        <w:spacing w:after="0" w:line="261" w:lineRule="auto"/>
        <w:tabs>
          <w:tab w:leader="none" w:pos="28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Installation Manual (the “</w:t>
      </w:r>
      <w:r>
        <w:rPr>
          <w:rFonts w:ascii="Arial" w:cs="Arial" w:eastAsia="Arial" w:hAnsi="Arial"/>
          <w:sz w:val="17"/>
          <w:szCs w:val="17"/>
          <w:b w:val="1"/>
          <w:bCs w:val="1"/>
          <w:i w:val="1"/>
          <w:iCs w:val="1"/>
          <w:u w:val="single" w:color="auto"/>
          <w:color w:val="auto"/>
        </w:rPr>
        <w:t>Manual</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Review</w:t>
      </w:r>
      <w:r>
        <w:rPr>
          <w:rFonts w:ascii="Arial" w:cs="Arial" w:eastAsia="Arial" w:hAnsi="Arial"/>
          <w:sz w:val="17"/>
          <w:szCs w:val="17"/>
          <w:color w:val="auto"/>
        </w:rPr>
        <w:t>. For IQ7XS-96-2-US, the Parties agree that they will jointly review the Manual from time to time, including for purposes of improving or clarifying instructions and to incorporate best-known methods. For IQ7PD-84-2-US, the standard Enphase Installation Manual (Feb 2020, 141-00043-04) will be used. The manuals described in this Section (f) are collectively referred to as the “Manual”. Enphase will follow PCN process to notify SunPower any changes on the Manual.</w:t>
      </w:r>
    </w:p>
    <w:p>
      <w:pPr>
        <w:spacing w:after="0" w:line="147" w:lineRule="exact"/>
        <w:rPr>
          <w:rFonts w:ascii="Arial" w:cs="Arial" w:eastAsia="Arial" w:hAnsi="Arial"/>
          <w:sz w:val="17"/>
          <w:szCs w:val="17"/>
          <w:color w:val="auto"/>
        </w:rPr>
      </w:pPr>
    </w:p>
    <w:p>
      <w:pPr>
        <w:ind w:left="257" w:hanging="257"/>
        <w:spacing w:after="0" w:line="289" w:lineRule="auto"/>
        <w:tabs>
          <w:tab w:leader="none" w:pos="34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Exclusions under the Limited Warranty.</w:t>
      </w:r>
      <w:r>
        <w:rPr>
          <w:rFonts w:ascii="Arial" w:cs="Arial" w:eastAsia="Arial" w:hAnsi="Arial"/>
          <w:sz w:val="17"/>
          <w:szCs w:val="17"/>
          <w:color w:val="auto"/>
        </w:rPr>
        <w:t xml:space="preserve"> In addition to the terms set forth in Section 4.1 of the MSA, “Limited Warranty”, the following terms are added: a non-conforming FRU Microinverter shall not be eligible for the Limited Warranty if any of the following occur:</w:t>
      </w:r>
    </w:p>
    <w:p>
      <w:pPr>
        <w:spacing w:after="0" w:line="123" w:lineRule="exact"/>
        <w:rPr>
          <w:rFonts w:ascii="Arial" w:cs="Arial" w:eastAsia="Arial" w:hAnsi="Arial"/>
          <w:sz w:val="17"/>
          <w:szCs w:val="17"/>
          <w:color w:val="auto"/>
        </w:rPr>
      </w:pPr>
    </w:p>
    <w:p>
      <w:pPr>
        <w:ind w:left="977" w:hanging="340"/>
        <w:spacing w:after="0"/>
        <w:tabs>
          <w:tab w:leader="none" w:pos="977" w:val="left"/>
        </w:tabs>
        <w:numPr>
          <w:ilvl w:val="1"/>
          <w:numId w:val="78"/>
        </w:numPr>
        <w:rPr>
          <w:rFonts w:ascii="Arial" w:cs="Arial" w:eastAsia="Arial" w:hAnsi="Arial"/>
          <w:sz w:val="17"/>
          <w:szCs w:val="17"/>
          <w:color w:val="auto"/>
        </w:rPr>
      </w:pPr>
      <w:r>
        <w:rPr>
          <w:rFonts w:ascii="Arial" w:cs="Arial" w:eastAsia="Arial" w:hAnsi="Arial"/>
          <w:sz w:val="17"/>
          <w:szCs w:val="17"/>
          <w:color w:val="auto"/>
        </w:rPr>
        <w:t>Connectors other than the MC4 DC connectors set forth in the Manual are used on IQ7XS FRU units;</w:t>
      </w:r>
    </w:p>
    <w:p>
      <w:pPr>
        <w:spacing w:after="0" w:line="28" w:lineRule="exact"/>
        <w:rPr>
          <w:rFonts w:ascii="Arial" w:cs="Arial" w:eastAsia="Arial" w:hAnsi="Arial"/>
          <w:sz w:val="17"/>
          <w:szCs w:val="17"/>
          <w:color w:val="auto"/>
        </w:rPr>
      </w:pPr>
    </w:p>
    <w:p>
      <w:pPr>
        <w:jc w:val="both"/>
        <w:ind w:left="757" w:hanging="120"/>
        <w:spacing w:after="0" w:line="247" w:lineRule="auto"/>
        <w:tabs>
          <w:tab w:leader="none" w:pos="1075" w:val="left"/>
        </w:tabs>
        <w:numPr>
          <w:ilvl w:val="1"/>
          <w:numId w:val="78"/>
        </w:numPr>
        <w:rPr>
          <w:rFonts w:ascii="Arial" w:cs="Arial" w:eastAsia="Arial" w:hAnsi="Arial"/>
          <w:sz w:val="17"/>
          <w:szCs w:val="17"/>
          <w:color w:val="auto"/>
        </w:rPr>
      </w:pPr>
      <w:r>
        <w:rPr>
          <w:rFonts w:ascii="Arial" w:cs="Arial" w:eastAsia="Arial" w:hAnsi="Arial"/>
          <w:sz w:val="17"/>
          <w:szCs w:val="17"/>
          <w:color w:val="auto"/>
        </w:rPr>
        <w:t>Connectors other than MC4 DC connectors set forth in the Manual are used on the IQ7PD FRU units unless the other connectors are identified, reviewed by both parties, such other connectors successfully complete UL compatibility testing or UL approval, and are approved in writing by both parties, in advance;</w:t>
      </w:r>
    </w:p>
    <w:p>
      <w:pPr>
        <w:spacing w:after="0" w:line="1" w:lineRule="exact"/>
        <w:rPr>
          <w:rFonts w:ascii="Arial" w:cs="Arial" w:eastAsia="Arial" w:hAnsi="Arial"/>
          <w:sz w:val="17"/>
          <w:szCs w:val="17"/>
          <w:color w:val="auto"/>
        </w:rPr>
      </w:pPr>
    </w:p>
    <w:p>
      <w:pPr>
        <w:ind w:left="1057" w:hanging="420"/>
        <w:spacing w:after="0"/>
        <w:tabs>
          <w:tab w:leader="none" w:pos="1057" w:val="left"/>
        </w:tabs>
        <w:numPr>
          <w:ilvl w:val="1"/>
          <w:numId w:val="78"/>
        </w:numPr>
        <w:rPr>
          <w:rFonts w:ascii="Arial" w:cs="Arial" w:eastAsia="Arial" w:hAnsi="Arial"/>
          <w:sz w:val="17"/>
          <w:szCs w:val="17"/>
          <w:color w:val="auto"/>
        </w:rPr>
      </w:pPr>
      <w:r>
        <w:rPr>
          <w:rFonts w:ascii="Arial" w:cs="Arial" w:eastAsia="Arial" w:hAnsi="Arial"/>
          <w:sz w:val="17"/>
          <w:szCs w:val="17"/>
          <w:color w:val="auto"/>
        </w:rPr>
        <w:t>Full Site Replacement is not completed; or partial site replacement is completed without both Parties’ agreement;</w:t>
      </w:r>
    </w:p>
    <w:p>
      <w:pPr>
        <w:spacing w:after="0" w:line="6" w:lineRule="exact"/>
        <w:rPr>
          <w:rFonts w:ascii="Arial" w:cs="Arial" w:eastAsia="Arial" w:hAnsi="Arial"/>
          <w:sz w:val="17"/>
          <w:szCs w:val="17"/>
          <w:color w:val="auto"/>
        </w:rPr>
      </w:pPr>
    </w:p>
    <w:p>
      <w:pPr>
        <w:ind w:left="1057" w:hanging="420"/>
        <w:spacing w:after="0"/>
        <w:tabs>
          <w:tab w:leader="none" w:pos="1057" w:val="left"/>
        </w:tabs>
        <w:numPr>
          <w:ilvl w:val="1"/>
          <w:numId w:val="78"/>
        </w:numPr>
        <w:rPr>
          <w:rFonts w:ascii="Arial" w:cs="Arial" w:eastAsia="Arial" w:hAnsi="Arial"/>
          <w:sz w:val="17"/>
          <w:szCs w:val="17"/>
          <w:color w:val="auto"/>
        </w:rPr>
      </w:pPr>
      <w:r>
        <w:rPr>
          <w:rFonts w:ascii="Arial" w:cs="Arial" w:eastAsia="Arial" w:hAnsi="Arial"/>
          <w:sz w:val="17"/>
          <w:szCs w:val="17"/>
          <w:color w:val="auto"/>
        </w:rPr>
        <w:t>It has not been connected to a SunPower PVS6, Enphase Envoy, or compatible gateway product;</w:t>
      </w:r>
    </w:p>
    <w:p>
      <w:pPr>
        <w:spacing w:after="0" w:line="6" w:lineRule="exact"/>
        <w:rPr>
          <w:rFonts w:ascii="Arial" w:cs="Arial" w:eastAsia="Arial" w:hAnsi="Arial"/>
          <w:sz w:val="17"/>
          <w:szCs w:val="17"/>
          <w:color w:val="auto"/>
        </w:rPr>
      </w:pPr>
    </w:p>
    <w:p>
      <w:pPr>
        <w:ind w:left="1017" w:hanging="380"/>
        <w:spacing w:after="0"/>
        <w:tabs>
          <w:tab w:leader="none" w:pos="1017" w:val="left"/>
        </w:tabs>
        <w:numPr>
          <w:ilvl w:val="1"/>
          <w:numId w:val="78"/>
        </w:numPr>
        <w:rPr>
          <w:rFonts w:ascii="Arial" w:cs="Arial" w:eastAsia="Arial" w:hAnsi="Arial"/>
          <w:sz w:val="17"/>
          <w:szCs w:val="17"/>
          <w:color w:val="auto"/>
        </w:rPr>
      </w:pPr>
      <w:r>
        <w:rPr>
          <w:rFonts w:ascii="Arial" w:cs="Arial" w:eastAsia="Arial" w:hAnsi="Arial"/>
          <w:sz w:val="17"/>
          <w:szCs w:val="17"/>
          <w:color w:val="auto"/>
        </w:rPr>
        <w:t>Its firmware has not been updated by SunPower as requested by Enphase per MSA;</w:t>
      </w:r>
    </w:p>
    <w:p>
      <w:pPr>
        <w:spacing w:after="0" w:line="6" w:lineRule="exact"/>
        <w:rPr>
          <w:rFonts w:ascii="Arial" w:cs="Arial" w:eastAsia="Arial" w:hAnsi="Arial"/>
          <w:sz w:val="17"/>
          <w:szCs w:val="17"/>
          <w:color w:val="auto"/>
        </w:rPr>
      </w:pPr>
    </w:p>
    <w:p>
      <w:pPr>
        <w:ind w:left="1057" w:hanging="420"/>
        <w:spacing w:after="0"/>
        <w:tabs>
          <w:tab w:leader="none" w:pos="1057" w:val="left"/>
        </w:tabs>
        <w:numPr>
          <w:ilvl w:val="1"/>
          <w:numId w:val="78"/>
        </w:numPr>
        <w:rPr>
          <w:rFonts w:ascii="Arial" w:cs="Arial" w:eastAsia="Arial" w:hAnsi="Arial"/>
          <w:sz w:val="17"/>
          <w:szCs w:val="17"/>
          <w:color w:val="auto"/>
        </w:rPr>
      </w:pPr>
      <w:r>
        <w:rPr>
          <w:rFonts w:ascii="Arial" w:cs="Arial" w:eastAsia="Arial" w:hAnsi="Arial"/>
          <w:sz w:val="17"/>
          <w:szCs w:val="17"/>
          <w:color w:val="auto"/>
        </w:rPr>
        <w:t>It has been installed on a racking system other than an Approved Racking system;</w:t>
      </w:r>
    </w:p>
    <w:p>
      <w:pPr>
        <w:spacing w:after="0" w:line="6" w:lineRule="exact"/>
        <w:rPr>
          <w:rFonts w:ascii="Arial" w:cs="Arial" w:eastAsia="Arial" w:hAnsi="Arial"/>
          <w:sz w:val="17"/>
          <w:szCs w:val="17"/>
          <w:color w:val="auto"/>
        </w:rPr>
      </w:pPr>
    </w:p>
    <w:p>
      <w:pPr>
        <w:ind w:left="1097" w:hanging="460"/>
        <w:spacing w:after="0"/>
        <w:tabs>
          <w:tab w:leader="none" w:pos="1097"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failure is caused by a JBOX DC connector attached to SunPower PV module; and / or</w:t>
      </w:r>
    </w:p>
    <w:p>
      <w:pPr>
        <w:spacing w:after="0" w:line="6" w:lineRule="exact"/>
        <w:rPr>
          <w:rFonts w:ascii="Arial" w:cs="Arial" w:eastAsia="Arial" w:hAnsi="Arial"/>
          <w:sz w:val="17"/>
          <w:szCs w:val="17"/>
          <w:color w:val="auto"/>
        </w:rPr>
      </w:pPr>
    </w:p>
    <w:p>
      <w:pPr>
        <w:ind w:left="1137" w:hanging="500"/>
        <w:spacing w:after="0"/>
        <w:tabs>
          <w:tab w:leader="none" w:pos="1137" w:val="left"/>
        </w:tabs>
        <w:numPr>
          <w:ilvl w:val="1"/>
          <w:numId w:val="78"/>
        </w:numPr>
        <w:rPr>
          <w:rFonts w:ascii="Arial" w:cs="Arial" w:eastAsia="Arial" w:hAnsi="Arial"/>
          <w:sz w:val="17"/>
          <w:szCs w:val="17"/>
          <w:color w:val="auto"/>
        </w:rPr>
      </w:pPr>
      <w:r>
        <w:rPr>
          <w:rFonts w:ascii="Arial" w:cs="Arial" w:eastAsia="Arial" w:hAnsi="Arial"/>
          <w:sz w:val="17"/>
          <w:szCs w:val="17"/>
          <w:color w:val="auto"/>
        </w:rPr>
        <w:t>It has not been installed in accordance to the Manual and failure is caused by improper installation.</w:t>
      </w:r>
    </w:p>
    <w:p>
      <w:pPr>
        <w:sectPr>
          <w:pgSz w:w="11900" w:h="16838" w:orient="portrait"/>
          <w:cols w:equalWidth="0" w:num="1">
            <w:col w:w="10257"/>
          </w:cols>
          <w:pgMar w:left="1323" w:top="1141" w:right="319" w:bottom="1440" w:gutter="0" w:footer="0" w:header="0"/>
        </w:sectPr>
      </w:pPr>
    </w:p>
    <w:bookmarkStart w:id="149" w:name="page150"/>
    <w:bookmarkEnd w:id="149"/>
    <w:p>
      <w:pPr>
        <w:ind w:left="246" w:hanging="246"/>
        <w:spacing w:after="0" w:line="291" w:lineRule="auto"/>
        <w:tabs>
          <w:tab w:leader="none" w:pos="338"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Payment terms</w:t>
      </w:r>
      <w:r>
        <w:rPr>
          <w:rFonts w:ascii="Arial" w:cs="Arial" w:eastAsia="Arial" w:hAnsi="Arial"/>
          <w:sz w:val="17"/>
          <w:szCs w:val="17"/>
          <w:color w:val="auto"/>
        </w:rPr>
        <w:t>. Payment for Covered Products shall be made in accordance with the MSA, 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Attachment B</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p>
    <w:p>
      <w:pPr>
        <w:spacing w:after="0" w:line="120" w:lineRule="exact"/>
        <w:rPr>
          <w:rFonts w:ascii="Arial" w:cs="Arial" w:eastAsia="Arial" w:hAnsi="Arial"/>
          <w:sz w:val="17"/>
          <w:szCs w:val="17"/>
          <w:b w:val="1"/>
          <w:bCs w:val="1"/>
          <w:color w:val="auto"/>
        </w:rPr>
      </w:pPr>
    </w:p>
    <w:p>
      <w:pPr>
        <w:ind w:left="246" w:hanging="246"/>
        <w:spacing w:after="0" w:line="262" w:lineRule="auto"/>
        <w:tabs>
          <w:tab w:leader="none" w:pos="418"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Shipping &amp; Delivery. </w:t>
      </w:r>
      <w:r>
        <w:rPr>
          <w:rFonts w:ascii="Arial" w:cs="Arial" w:eastAsia="Arial" w:hAnsi="Arial"/>
          <w:sz w:val="17"/>
          <w:szCs w:val="17"/>
          <w:color w:val="auto"/>
        </w:rPr>
        <w:t>Shipping and delivery of Covered Products shall be made in accordance with the MSA, 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attached hereto.</w:t>
      </w:r>
    </w:p>
    <w:p>
      <w:pPr>
        <w:ind w:left="246" w:hanging="246"/>
        <w:spacing w:after="0" w:line="262" w:lineRule="auto"/>
        <w:tabs>
          <w:tab w:leader="none" w:pos="412"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Full Force and Effect. </w:t>
      </w:r>
      <w:r>
        <w:rPr>
          <w:rFonts w:ascii="Arial" w:cs="Arial" w:eastAsia="Arial" w:hAnsi="Arial"/>
          <w:sz w:val="17"/>
          <w:szCs w:val="17"/>
          <w:color w:val="auto"/>
        </w:rPr>
        <w:t>Except as expressly set forth herein, the terms of the MSA remain in full force and effect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Products.</w:t>
      </w:r>
    </w:p>
    <w:p>
      <w:pPr>
        <w:spacing w:after="0" w:line="143" w:lineRule="exact"/>
        <w:rPr>
          <w:rFonts w:ascii="Arial" w:cs="Arial" w:eastAsia="Arial" w:hAnsi="Arial"/>
          <w:sz w:val="17"/>
          <w:szCs w:val="17"/>
          <w:b w:val="1"/>
          <w:bCs w:val="1"/>
          <w:color w:val="auto"/>
        </w:rPr>
      </w:pPr>
    </w:p>
    <w:p>
      <w:pPr>
        <w:ind w:left="246" w:hanging="246"/>
        <w:spacing w:after="0" w:line="291" w:lineRule="auto"/>
        <w:tabs>
          <w:tab w:leader="none" w:pos="398"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Amendment shall be governed by and construed in accordance with the laws of the State of California,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regard to any conflicts of laws principles.</w:t>
      </w:r>
    </w:p>
    <w:p>
      <w:pPr>
        <w:spacing w:after="0" w:line="122" w:lineRule="exact"/>
        <w:rPr>
          <w:sz w:val="20"/>
          <w:szCs w:val="20"/>
          <w:color w:val="auto"/>
        </w:rPr>
      </w:pPr>
    </w:p>
    <w:p>
      <w:pPr>
        <w:ind w:left="4246"/>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0766"/>
          </w:cols>
          <w:pgMar w:left="814" w:top="1330" w:right="319" w:bottom="1440" w:gutter="0" w:footer="0" w:header="0"/>
        </w:sectPr>
      </w:pPr>
    </w:p>
    <w:bookmarkStart w:id="150" w:name="page151"/>
    <w:bookmarkEnd w:id="150"/>
    <w:p>
      <w:pPr>
        <w:spacing w:after="0" w:line="291"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duly authorized and caused this Amendment to be executed as of the Date written below. This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signed in counterparts, with the same effect as if each were upon a single instrument.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2040" w:type="dxa"/>
            <w:vAlign w:val="bottom"/>
            <w:gridSpan w:val="9"/>
          </w:tcPr>
          <w:p>
            <w:pPr>
              <w:spacing w:after="0"/>
              <w:rPr>
                <w:sz w:val="20"/>
                <w:szCs w:val="20"/>
                <w:color w:val="auto"/>
              </w:rPr>
            </w:pPr>
            <w:r>
              <w:rPr>
                <w:rFonts w:ascii="Arial" w:cs="Arial" w:eastAsia="Arial" w:hAnsi="Arial"/>
                <w:sz w:val="16"/>
                <w:szCs w:val="16"/>
                <w:b w:val="1"/>
                <w:bCs w:val="1"/>
                <w:color w:val="auto"/>
              </w:rPr>
              <w:t>ENPHASE ENERGY, INC.</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360" w:type="dxa"/>
            <w:vAlign w:val="bottom"/>
            <w:gridSpan w:val="10"/>
          </w:tcPr>
          <w:p>
            <w:pPr>
              <w:spacing w:after="0"/>
              <w:rPr>
                <w:sz w:val="20"/>
                <w:szCs w:val="20"/>
                <w:color w:val="auto"/>
              </w:rPr>
            </w:pPr>
            <w:r>
              <w:rPr>
                <w:rFonts w:ascii="Arial" w:cs="Arial" w:eastAsia="Arial" w:hAnsi="Arial"/>
                <w:sz w:val="16"/>
                <w:szCs w:val="16"/>
                <w:b w:val="1"/>
                <w:bCs w:val="1"/>
                <w:color w:val="auto"/>
              </w:rPr>
              <w:t>SUNPOWER CORPORATION</w:t>
            </w: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5"/>
        </w:trPr>
        <w:tc>
          <w:tcPr>
            <w:tcW w:w="2040" w:type="dxa"/>
            <w:vAlign w:val="bottom"/>
            <w:gridSpan w:val="9"/>
          </w:tcPr>
          <w:p>
            <w:pPr>
              <w:spacing w:after="0"/>
              <w:rPr>
                <w:sz w:val="20"/>
                <w:szCs w:val="20"/>
                <w:color w:val="auto"/>
              </w:rPr>
            </w:pPr>
            <w:r>
              <w:rPr>
                <w:rFonts w:ascii="Arial" w:cs="Arial" w:eastAsia="Arial" w:hAnsi="Arial"/>
                <w:sz w:val="16"/>
                <w:szCs w:val="16"/>
                <w:color w:val="auto"/>
              </w:rPr>
              <w:t>By: /S/ Eric Branderiz</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By: /S/ Manavendra Sial</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40" w:type="dxa"/>
            <w:vAlign w:val="bottom"/>
            <w:gridSpan w:val="9"/>
          </w:tcPr>
          <w:p>
            <w:pPr>
              <w:spacing w:after="0"/>
              <w:rPr>
                <w:sz w:val="20"/>
                <w:szCs w:val="20"/>
                <w:color w:val="auto"/>
              </w:rPr>
            </w:pPr>
            <w:r>
              <w:rPr>
                <w:rFonts w:ascii="Arial" w:cs="Arial" w:eastAsia="Arial" w:hAnsi="Arial"/>
                <w:sz w:val="16"/>
                <w:szCs w:val="16"/>
                <w:color w:val="auto"/>
              </w:rPr>
              <w:t>Name: Eric Branderiz</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Name: Manvendra Sial</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40" w:type="dxa"/>
            <w:vAlign w:val="bottom"/>
            <w:gridSpan w:val="9"/>
          </w:tcPr>
          <w:p>
            <w:pPr>
              <w:spacing w:after="0"/>
              <w:rPr>
                <w:sz w:val="20"/>
                <w:szCs w:val="20"/>
                <w:color w:val="auto"/>
              </w:rPr>
            </w:pPr>
            <w:r>
              <w:rPr>
                <w:rFonts w:ascii="Arial" w:cs="Arial" w:eastAsia="Arial" w:hAnsi="Arial"/>
                <w:sz w:val="16"/>
                <w:szCs w:val="16"/>
                <w:color w:val="auto"/>
              </w:rPr>
              <w:t>Title: Chief Financial Officer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gridSpan w:val="4"/>
          </w:tcPr>
          <w:p>
            <w:pPr>
              <w:spacing w:after="0"/>
              <w:rPr>
                <w:sz w:val="20"/>
                <w:szCs w:val="20"/>
                <w:color w:val="auto"/>
              </w:rPr>
            </w:pPr>
            <w:r>
              <w:rPr>
                <w:rFonts w:ascii="Arial" w:cs="Arial" w:eastAsia="Arial" w:hAnsi="Arial"/>
                <w:sz w:val="16"/>
                <w:szCs w:val="16"/>
                <w:color w:val="auto"/>
              </w:rPr>
              <w:t>Title:</w:t>
            </w:r>
          </w:p>
        </w:tc>
        <w:tc>
          <w:tcPr>
            <w:tcW w:w="1300" w:type="dxa"/>
            <w:vAlign w:val="bottom"/>
            <w:gridSpan w:val="4"/>
          </w:tcPr>
          <w:p>
            <w:pPr>
              <w:jc w:val="right"/>
              <w:ind w:right="360"/>
              <w:spacing w:after="0"/>
              <w:rPr>
                <w:sz w:val="20"/>
                <w:szCs w:val="20"/>
                <w:color w:val="auto"/>
              </w:rPr>
            </w:pPr>
            <w:r>
              <w:rPr>
                <w:rFonts w:ascii="Arial" w:cs="Arial" w:eastAsia="Arial" w:hAnsi="Arial"/>
                <w:sz w:val="16"/>
                <w:szCs w:val="16"/>
                <w:color w:val="auto"/>
              </w:rPr>
              <w:t>Executive</w:t>
            </w:r>
          </w:p>
        </w:tc>
        <w:tc>
          <w:tcPr>
            <w:tcW w:w="600" w:type="dxa"/>
            <w:vAlign w:val="bottom"/>
            <w:gridSpan w:val="2"/>
          </w:tcPr>
          <w:p>
            <w:pPr>
              <w:ind w:left="20"/>
              <w:spacing w:after="0"/>
              <w:rPr>
                <w:sz w:val="20"/>
                <w:szCs w:val="20"/>
                <w:color w:val="auto"/>
              </w:rPr>
            </w:pPr>
            <w:r>
              <w:rPr>
                <w:rFonts w:ascii="Arial" w:cs="Arial" w:eastAsia="Arial" w:hAnsi="Arial"/>
                <w:sz w:val="16"/>
                <w:szCs w:val="16"/>
                <w:color w:val="auto"/>
              </w:rPr>
              <w:t>Vice</w:t>
            </w:r>
          </w:p>
        </w:tc>
        <w:tc>
          <w:tcPr>
            <w:tcW w:w="940" w:type="dxa"/>
            <w:vAlign w:val="bottom"/>
          </w:tcPr>
          <w:p>
            <w:pPr>
              <w:ind w:left="100"/>
              <w:spacing w:after="0"/>
              <w:rPr>
                <w:sz w:val="20"/>
                <w:szCs w:val="20"/>
                <w:color w:val="auto"/>
              </w:rPr>
            </w:pPr>
            <w:r>
              <w:rPr>
                <w:rFonts w:ascii="Arial" w:cs="Arial" w:eastAsia="Arial" w:hAnsi="Arial"/>
                <w:sz w:val="16"/>
                <w:szCs w:val="16"/>
                <w:color w:val="auto"/>
              </w:rPr>
              <w:t>President</w:t>
            </w:r>
          </w:p>
        </w:tc>
        <w:tc>
          <w:tcPr>
            <w:tcW w:w="760" w:type="dxa"/>
            <w:vAlign w:val="bottom"/>
            <w:gridSpan w:val="2"/>
          </w:tcPr>
          <w:p>
            <w:pPr>
              <w:ind w:left="200"/>
              <w:spacing w:after="0"/>
              <w:rPr>
                <w:sz w:val="20"/>
                <w:szCs w:val="20"/>
                <w:color w:val="auto"/>
              </w:rPr>
            </w:pPr>
            <w:r>
              <w:rPr>
                <w:rFonts w:ascii="Arial" w:cs="Arial" w:eastAsia="Arial" w:hAnsi="Arial"/>
                <w:sz w:val="16"/>
                <w:szCs w:val="16"/>
                <w:color w:val="auto"/>
              </w:rPr>
              <w:t>and</w:t>
            </w:r>
          </w:p>
        </w:tc>
        <w:tc>
          <w:tcPr>
            <w:tcW w:w="620" w:type="dxa"/>
            <w:vAlign w:val="bottom"/>
          </w:tcPr>
          <w:p>
            <w:pPr>
              <w:ind w:left="80"/>
              <w:spacing w:after="0"/>
              <w:rPr>
                <w:sz w:val="20"/>
                <w:szCs w:val="20"/>
                <w:color w:val="auto"/>
              </w:rPr>
            </w:pPr>
            <w:r>
              <w:rPr>
                <w:rFonts w:ascii="Arial" w:cs="Arial" w:eastAsia="Arial" w:hAnsi="Arial"/>
                <w:sz w:val="16"/>
                <w:szCs w:val="16"/>
                <w:color w:val="auto"/>
              </w:rPr>
              <w:t>Chief</w:t>
            </w:r>
          </w:p>
        </w:tc>
        <w:tc>
          <w:tcPr>
            <w:tcW w:w="820" w:type="dxa"/>
            <w:vAlign w:val="bottom"/>
          </w:tcPr>
          <w:p>
            <w:pPr>
              <w:ind w:left="200"/>
              <w:spacing w:after="0"/>
              <w:rPr>
                <w:sz w:val="20"/>
                <w:szCs w:val="20"/>
                <w:color w:val="auto"/>
              </w:rPr>
            </w:pPr>
            <w:r>
              <w:rPr>
                <w:rFonts w:ascii="Arial" w:cs="Arial" w:eastAsia="Arial" w:hAnsi="Arial"/>
                <w:sz w:val="16"/>
                <w:szCs w:val="16"/>
                <w:color w:val="auto"/>
                <w:w w:val="93"/>
              </w:rPr>
              <w:t>Financial</w:t>
            </w:r>
          </w:p>
        </w:tc>
        <w:tc>
          <w:tcPr>
            <w:tcW w:w="0" w:type="dxa"/>
            <w:vAlign w:val="bottom"/>
          </w:tcPr>
          <w:p>
            <w:pPr>
              <w:spacing w:after="0"/>
              <w:rPr>
                <w:sz w:val="1"/>
                <w:szCs w:val="1"/>
                <w:color w:val="auto"/>
              </w:rPr>
            </w:pPr>
          </w:p>
        </w:tc>
      </w:tr>
      <w:tr>
        <w:trPr>
          <w:trHeight w:val="20"/>
        </w:trPr>
        <w:tc>
          <w:tcPr>
            <w:tcW w:w="340" w:type="dxa"/>
            <w:vAlign w:val="bottom"/>
            <w:gridSpan w:val="3"/>
            <w:vMerge w:val="restart"/>
          </w:tcPr>
          <w:p>
            <w:pPr>
              <w:spacing w:after="0" w:line="181" w:lineRule="exact"/>
              <w:rPr>
                <w:sz w:val="20"/>
                <w:szCs w:val="20"/>
                <w:color w:val="auto"/>
              </w:rPr>
            </w:pPr>
            <w:r>
              <w:rPr>
                <w:rFonts w:ascii="Arial" w:cs="Arial" w:eastAsia="Arial" w:hAnsi="Arial"/>
                <w:sz w:val="16"/>
                <w:szCs w:val="16"/>
                <w:color w:val="auto"/>
                <w:w w:val="83"/>
              </w:rPr>
              <w:t>Date:</w:t>
            </w: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80"/>
              <w:spacing w:after="0" w:line="161" w:lineRule="exact"/>
              <w:rPr>
                <w:sz w:val="20"/>
                <w:szCs w:val="20"/>
                <w:color w:val="auto"/>
              </w:rPr>
            </w:pPr>
            <w:r>
              <w:rPr>
                <w:rFonts w:ascii="Arial" w:cs="Arial" w:eastAsia="Arial" w:hAnsi="Arial"/>
                <w:sz w:val="16"/>
                <w:szCs w:val="16"/>
                <w:color w:val="auto"/>
              </w:rPr>
              <w:t>October 28, 2020</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Arial" w:cs="Arial" w:eastAsia="Arial" w:hAnsi="Arial"/>
                <w:sz w:val="16"/>
                <w:szCs w:val="16"/>
                <w:color w:val="auto"/>
                <w:w w:val="89"/>
              </w:rPr>
              <w:t>Officer</w:t>
            </w:r>
          </w:p>
        </w:tc>
        <w:tc>
          <w:tcPr>
            <w:tcW w:w="86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3"/>
          </w:tcPr>
          <w:p>
            <w:pPr>
              <w:spacing w:after="0" w:line="161" w:lineRule="exact"/>
              <w:rPr>
                <w:sz w:val="20"/>
                <w:szCs w:val="20"/>
                <w:color w:val="auto"/>
              </w:rPr>
            </w:pPr>
            <w:r>
              <w:rPr>
                <w:rFonts w:ascii="Arial" w:cs="Arial" w:eastAsia="Arial" w:hAnsi="Arial"/>
                <w:sz w:val="16"/>
                <w:szCs w:val="16"/>
                <w:color w:val="auto"/>
              </w:rPr>
              <w:t>Date:</w:t>
            </w:r>
          </w:p>
        </w:tc>
        <w:tc>
          <w:tcPr>
            <w:tcW w:w="860" w:type="dxa"/>
            <w:vAlign w:val="bottom"/>
            <w:tcBorders>
              <w:top w:val="single" w:sz="8" w:color="auto"/>
              <w:bottom w:val="single" w:sz="8" w:color="auto"/>
            </w:tcBorders>
          </w:tcPr>
          <w:p>
            <w:pPr>
              <w:ind w:left="100"/>
              <w:spacing w:after="0" w:line="161" w:lineRule="exact"/>
              <w:rPr>
                <w:sz w:val="20"/>
                <w:szCs w:val="20"/>
                <w:color w:val="auto"/>
              </w:rPr>
            </w:pPr>
            <w:r>
              <w:rPr>
                <w:rFonts w:ascii="Arial" w:cs="Arial" w:eastAsia="Arial" w:hAnsi="Arial"/>
                <w:sz w:val="16"/>
                <w:szCs w:val="16"/>
                <w:color w:val="auto"/>
                <w:w w:val="88"/>
              </w:rPr>
              <w:t>October 27,</w:t>
            </w:r>
          </w:p>
        </w:tc>
        <w:tc>
          <w:tcPr>
            <w:tcW w:w="440" w:type="dxa"/>
            <w:vAlign w:val="bottom"/>
            <w:tcBorders>
              <w:bottom w:val="single" w:sz="8" w:color="auto"/>
            </w:tcBorders>
            <w:gridSpan w:val="3"/>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2040" w:type="dxa"/>
            <w:vAlign w:val="bottom"/>
            <w:gridSpan w:val="9"/>
          </w:tcPr>
          <w:p>
            <w:pPr>
              <w:spacing w:after="0"/>
              <w:rPr>
                <w:sz w:val="20"/>
                <w:szCs w:val="20"/>
                <w:color w:val="auto"/>
              </w:rPr>
            </w:pPr>
            <w:r>
              <w:rPr>
                <w:rFonts w:ascii="Arial" w:cs="Arial" w:eastAsia="Arial" w:hAnsi="Arial"/>
                <w:sz w:val="16"/>
                <w:szCs w:val="16"/>
                <w:color w:val="auto"/>
              </w:rPr>
              <w:t>By: /S/ Eric Branderiz</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By: /S/ Manavendra Sial</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gridSpan w:val="9"/>
          </w:tcPr>
          <w:p>
            <w:pPr>
              <w:spacing w:after="0"/>
              <w:rPr>
                <w:sz w:val="20"/>
                <w:szCs w:val="20"/>
                <w:color w:val="auto"/>
              </w:rPr>
            </w:pPr>
            <w:r>
              <w:rPr>
                <w:rFonts w:ascii="Arial" w:cs="Arial" w:eastAsia="Arial" w:hAnsi="Arial"/>
                <w:sz w:val="16"/>
                <w:szCs w:val="16"/>
                <w:color w:val="auto"/>
              </w:rPr>
              <w:t>Name: Eric Branderiz</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Name: Manavendra Sial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36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gridSpan w:val="9"/>
          </w:tcPr>
          <w:p>
            <w:pPr>
              <w:spacing w:after="0"/>
              <w:rPr>
                <w:sz w:val="20"/>
                <w:szCs w:val="20"/>
                <w:color w:val="auto"/>
              </w:rPr>
            </w:pPr>
            <w:r>
              <w:rPr>
                <w:rFonts w:ascii="Arial" w:cs="Arial" w:eastAsia="Arial" w:hAnsi="Arial"/>
                <w:sz w:val="16"/>
                <w:szCs w:val="16"/>
                <w:color w:val="auto"/>
              </w:rPr>
              <w:t>Title: Chief Financial Officer</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Arial" w:cs="Arial" w:eastAsia="Arial" w:hAnsi="Arial"/>
                <w:sz w:val="16"/>
                <w:szCs w:val="16"/>
                <w:color w:val="auto"/>
                <w:w w:val="98"/>
              </w:rPr>
              <w:t>Title: Executive Vice President and Chief Financial Officer</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40" w:type="dxa"/>
            <w:vAlign w:val="bottom"/>
            <w:gridSpan w:val="9"/>
          </w:tcPr>
          <w:p>
            <w:pPr>
              <w:spacing w:after="0"/>
              <w:rPr>
                <w:sz w:val="20"/>
                <w:szCs w:val="20"/>
                <w:color w:val="auto"/>
              </w:rPr>
            </w:pPr>
            <w:r>
              <w:rPr>
                <w:rFonts w:ascii="Arial" w:cs="Arial" w:eastAsia="Arial" w:hAnsi="Arial"/>
                <w:sz w:val="16"/>
                <w:szCs w:val="16"/>
                <w:color w:val="auto"/>
              </w:rPr>
              <w:t>Date: October 28, 2020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60" w:type="dxa"/>
            <w:vAlign w:val="bottom"/>
            <w:gridSpan w:val="8"/>
          </w:tcPr>
          <w:p>
            <w:pPr>
              <w:spacing w:after="0"/>
              <w:rPr>
                <w:sz w:val="20"/>
                <w:szCs w:val="20"/>
                <w:color w:val="auto"/>
              </w:rPr>
            </w:pPr>
            <w:r>
              <w:rPr>
                <w:rFonts w:ascii="Arial" w:cs="Arial" w:eastAsia="Arial" w:hAnsi="Arial"/>
                <w:sz w:val="16"/>
                <w:szCs w:val="16"/>
                <w:color w:val="auto"/>
              </w:rPr>
              <w:t>Date: October 27, 2020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Attachments: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Attachment A – Enphase IQ™ 7 XS Data Sheet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Attachment B – Pricing, Volumes, Shipping and Payment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Attachment C – SunPower Installation Manual</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Attachment D-1 – Data Specifications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Attachment D-2 – Data Protection Addendum</w:t>
      </w:r>
    </w:p>
    <w:p>
      <w:pPr>
        <w:sectPr>
          <w:pgSz w:w="11900" w:h="16838" w:orient="portrait"/>
          <w:cols w:equalWidth="0" w:num="1">
            <w:col w:w="11280"/>
          </w:cols>
          <w:pgMar w:left="300" w:top="1139" w:right="319" w:bottom="1440" w:gutter="0" w:footer="0" w:header="0"/>
        </w:sectPr>
      </w:pPr>
    </w:p>
    <w:bookmarkStart w:id="151" w:name="page152"/>
    <w:bookmarkEnd w:id="151"/>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Attachment A – Enphase IQ™ 7 XS Data Sheet</w:t>
      </w:r>
    </w:p>
    <w:p>
      <w:pPr>
        <w:sectPr>
          <w:pgSz w:w="11900" w:h="16838" w:orient="portrait"/>
          <w:cols w:equalWidth="0" w:num="1">
            <w:col w:w="9019"/>
          </w:cols>
          <w:pgMar w:left="1440" w:top="1440"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152" w:name="page153"/>
    <w:bookmarkEnd w:id="152"/>
    <w:p>
      <w:pPr>
        <w:jc w:val="center"/>
        <w:ind w:right="-59"/>
        <w:spacing w:after="0"/>
        <w:rPr>
          <w:sz w:val="20"/>
          <w:szCs w:val="20"/>
          <w:color w:val="auto"/>
        </w:rPr>
      </w:pPr>
      <w:r>
        <w:rPr>
          <w:rFonts w:ascii="Arial" w:cs="Arial" w:eastAsia="Arial" w:hAnsi="Arial"/>
          <w:sz w:val="17"/>
          <w:szCs w:val="17"/>
          <w:b w:val="1"/>
          <w:bCs w:val="1"/>
          <w:color w:val="auto"/>
        </w:rPr>
        <w:t>Attachment B</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Pricing, Volumes, Shipping and Payment</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40" w:type="dxa"/>
            <w:vAlign w:val="bottom"/>
            <w:tcBorders>
              <w:top w:val="single" w:sz="8" w:color="auto"/>
              <w:left w:val="single" w:sz="8" w:color="auto"/>
              <w:right w:val="single" w:sz="8" w:color="auto"/>
            </w:tcBorders>
            <w:vMerge w:val="restart"/>
            <w:shd w:val="clear" w:color="auto" w:fill="4472C4"/>
          </w:tcPr>
          <w:p>
            <w:pPr>
              <w:ind w:left="100"/>
              <w:spacing w:after="0"/>
              <w:rPr>
                <w:sz w:val="20"/>
                <w:szCs w:val="20"/>
                <w:color w:val="auto"/>
              </w:rPr>
            </w:pPr>
            <w:r>
              <w:rPr>
                <w:rFonts w:ascii="Arial" w:cs="Arial" w:eastAsia="Arial" w:hAnsi="Arial"/>
                <w:sz w:val="14"/>
                <w:szCs w:val="14"/>
                <w:b w:val="1"/>
                <w:bCs w:val="1"/>
                <w:color w:val="auto"/>
              </w:rPr>
              <w:t>Enphase MPN</w:t>
            </w:r>
          </w:p>
        </w:tc>
        <w:tc>
          <w:tcPr>
            <w:tcW w:w="760" w:type="dxa"/>
            <w:vAlign w:val="bottom"/>
            <w:tcBorders>
              <w:top w:val="single" w:sz="8" w:color="auto"/>
              <w:right w:val="single" w:sz="8" w:color="auto"/>
            </w:tcBorders>
            <w:shd w:val="clear" w:color="auto" w:fill="4472C4"/>
          </w:tcPr>
          <w:p>
            <w:pPr>
              <w:jc w:val="center"/>
              <w:spacing w:after="0"/>
              <w:rPr>
                <w:sz w:val="20"/>
                <w:szCs w:val="20"/>
                <w:color w:val="auto"/>
              </w:rPr>
            </w:pPr>
            <w:r>
              <w:rPr>
                <w:rFonts w:ascii="Arial" w:cs="Arial" w:eastAsia="Arial" w:hAnsi="Arial"/>
                <w:sz w:val="14"/>
                <w:szCs w:val="14"/>
                <w:b w:val="1"/>
                <w:bCs w:val="1"/>
                <w:color w:val="auto"/>
                <w:w w:val="99"/>
              </w:rPr>
              <w:t>SPWR</w:t>
            </w:r>
          </w:p>
        </w:tc>
        <w:tc>
          <w:tcPr>
            <w:tcW w:w="1880" w:type="dxa"/>
            <w:vAlign w:val="bottom"/>
            <w:tcBorders>
              <w:top w:val="single" w:sz="8" w:color="auto"/>
              <w:right w:val="single" w:sz="8" w:color="auto"/>
            </w:tcBorders>
            <w:shd w:val="clear" w:color="auto" w:fill="4472C4"/>
          </w:tcPr>
          <w:p>
            <w:pPr>
              <w:spacing w:after="0"/>
              <w:rPr>
                <w:sz w:val="20"/>
                <w:szCs w:val="20"/>
                <w:color w:val="auto"/>
              </w:rPr>
            </w:pPr>
            <w:r>
              <w:rPr>
                <w:rFonts w:ascii="Arial" w:cs="Arial" w:eastAsia="Arial" w:hAnsi="Arial"/>
                <w:sz w:val="14"/>
                <w:szCs w:val="14"/>
                <w:b w:val="1"/>
                <w:bCs w:val="1"/>
                <w:color w:val="auto"/>
              </w:rPr>
              <w:t>Enphase Description</w:t>
            </w:r>
          </w:p>
        </w:tc>
        <w:tc>
          <w:tcPr>
            <w:tcW w:w="660" w:type="dxa"/>
            <w:vAlign w:val="bottom"/>
            <w:tcBorders>
              <w:top w:val="single" w:sz="8" w:color="auto"/>
              <w:right w:val="single" w:sz="8" w:color="auto"/>
            </w:tcBorders>
            <w:shd w:val="clear" w:color="auto" w:fill="4472C4"/>
          </w:tcPr>
          <w:p>
            <w:pPr>
              <w:jc w:val="center"/>
              <w:spacing w:after="0"/>
              <w:rPr>
                <w:sz w:val="20"/>
                <w:szCs w:val="20"/>
                <w:color w:val="auto"/>
              </w:rPr>
            </w:pPr>
            <w:r>
              <w:rPr>
                <w:rFonts w:ascii="Arial" w:cs="Arial" w:eastAsia="Arial" w:hAnsi="Arial"/>
                <w:sz w:val="14"/>
                <w:szCs w:val="14"/>
                <w:b w:val="1"/>
                <w:bCs w:val="1"/>
                <w:color w:val="auto"/>
                <w:w w:val="99"/>
              </w:rPr>
              <w:t>Enphase</w:t>
            </w:r>
          </w:p>
        </w:tc>
        <w:tc>
          <w:tcPr>
            <w:tcW w:w="1180" w:type="dxa"/>
            <w:vAlign w:val="bottom"/>
            <w:tcBorders>
              <w:top w:val="single" w:sz="8" w:color="auto"/>
              <w:right w:val="single" w:sz="8" w:color="auto"/>
            </w:tcBorders>
            <w:vMerge w:val="restart"/>
            <w:shd w:val="clear" w:color="auto" w:fill="4472C4"/>
          </w:tcPr>
          <w:p>
            <w:pPr>
              <w:ind w:left="220"/>
              <w:spacing w:after="0"/>
              <w:rPr>
                <w:sz w:val="20"/>
                <w:szCs w:val="20"/>
                <w:color w:val="auto"/>
              </w:rPr>
            </w:pPr>
            <w:r>
              <w:rPr>
                <w:rFonts w:ascii="Arial" w:cs="Arial" w:eastAsia="Arial" w:hAnsi="Arial"/>
                <w:sz w:val="14"/>
                <w:szCs w:val="14"/>
                <w:b w:val="1"/>
                <w:bCs w:val="1"/>
                <w:color w:val="auto"/>
              </w:rPr>
              <w:t>Packaging</w:t>
            </w:r>
          </w:p>
        </w:tc>
        <w:tc>
          <w:tcPr>
            <w:tcW w:w="1200" w:type="dxa"/>
            <w:vAlign w:val="bottom"/>
            <w:tcBorders>
              <w:top w:val="single" w:sz="8" w:color="auto"/>
              <w:right w:val="single" w:sz="8" w:color="auto"/>
            </w:tcBorders>
            <w:vMerge w:val="restart"/>
            <w:shd w:val="clear" w:color="auto" w:fill="FFFF00"/>
          </w:tcPr>
          <w:p>
            <w:pPr>
              <w:ind w:left="220"/>
              <w:spacing w:after="0"/>
              <w:rPr>
                <w:sz w:val="20"/>
                <w:szCs w:val="20"/>
                <w:color w:val="auto"/>
              </w:rPr>
            </w:pPr>
            <w:r>
              <w:rPr>
                <w:rFonts w:ascii="Arial" w:cs="Arial" w:eastAsia="Arial" w:hAnsi="Arial"/>
                <w:sz w:val="14"/>
                <w:szCs w:val="14"/>
                <w:b w:val="1"/>
                <w:bCs w:val="1"/>
                <w:color w:val="auto"/>
              </w:rPr>
              <w:t>Inco terms</w:t>
            </w:r>
          </w:p>
        </w:tc>
        <w:tc>
          <w:tcPr>
            <w:tcW w:w="680" w:type="dxa"/>
            <w:vAlign w:val="bottom"/>
            <w:tcBorders>
              <w:top w:val="single" w:sz="8" w:color="auto"/>
              <w:right w:val="single" w:sz="8" w:color="auto"/>
            </w:tcBorders>
            <w:shd w:val="clear" w:color="auto" w:fill="FFFF00"/>
          </w:tcPr>
          <w:p>
            <w:pPr>
              <w:jc w:val="right"/>
              <w:spacing w:after="0"/>
              <w:rPr>
                <w:sz w:val="20"/>
                <w:szCs w:val="20"/>
                <w:color w:val="auto"/>
              </w:rPr>
            </w:pPr>
            <w:r>
              <w:rPr>
                <w:rFonts w:ascii="Arial" w:cs="Arial" w:eastAsia="Arial" w:hAnsi="Arial"/>
                <w:sz w:val="14"/>
                <w:szCs w:val="14"/>
                <w:b w:val="1"/>
                <w:bCs w:val="1"/>
                <w:color w:val="auto"/>
              </w:rPr>
              <w:t>Payment</w:t>
            </w:r>
          </w:p>
        </w:tc>
        <w:tc>
          <w:tcPr>
            <w:tcW w:w="1720" w:type="dxa"/>
            <w:vAlign w:val="bottom"/>
            <w:tcBorders>
              <w:top w:val="single" w:sz="8" w:color="auto"/>
              <w:right w:val="single" w:sz="8" w:color="auto"/>
            </w:tcBorders>
            <w:vMerge w:val="restart"/>
            <w:shd w:val="clear" w:color="auto" w:fill="92D050"/>
          </w:tcPr>
          <w:p>
            <w:pPr>
              <w:jc w:val="right"/>
              <w:ind w:right="289"/>
              <w:spacing w:after="0"/>
              <w:rPr>
                <w:sz w:val="20"/>
                <w:szCs w:val="20"/>
                <w:color w:val="auto"/>
              </w:rPr>
            </w:pPr>
            <w:r>
              <w:rPr>
                <w:rFonts w:ascii="Arial" w:cs="Arial" w:eastAsia="Arial" w:hAnsi="Arial"/>
                <w:sz w:val="14"/>
                <w:szCs w:val="14"/>
                <w:b w:val="1"/>
                <w:bCs w:val="1"/>
                <w:color w:val="auto"/>
              </w:rPr>
              <w:t>2020 Price/Unit</w:t>
            </w:r>
          </w:p>
        </w:tc>
        <w:tc>
          <w:tcPr>
            <w:tcW w:w="1140" w:type="dxa"/>
            <w:vAlign w:val="bottom"/>
            <w:tcBorders>
              <w:top w:val="single" w:sz="8" w:color="auto"/>
              <w:right w:val="single" w:sz="8" w:color="auto"/>
            </w:tcBorders>
            <w:vMerge w:val="restart"/>
            <w:shd w:val="clear" w:color="auto" w:fill="92D050"/>
          </w:tcPr>
          <w:p>
            <w:pPr>
              <w:jc w:val="right"/>
              <w:ind w:right="9"/>
              <w:spacing w:after="0"/>
              <w:rPr>
                <w:sz w:val="20"/>
                <w:szCs w:val="20"/>
                <w:color w:val="auto"/>
              </w:rPr>
            </w:pPr>
            <w:r>
              <w:rPr>
                <w:rFonts w:ascii="Arial" w:cs="Arial" w:eastAsia="Arial" w:hAnsi="Arial"/>
                <w:sz w:val="14"/>
                <w:szCs w:val="14"/>
                <w:b w:val="1"/>
                <w:bCs w:val="1"/>
                <w:color w:val="auto"/>
              </w:rPr>
              <w:t>2021 Price/Unit</w:t>
            </w:r>
          </w:p>
        </w:tc>
        <w:tc>
          <w:tcPr>
            <w:tcW w:w="0" w:type="dxa"/>
            <w:vAlign w:val="bottom"/>
          </w:tcPr>
          <w:p>
            <w:pPr>
              <w:spacing w:after="0"/>
              <w:rPr>
                <w:sz w:val="1"/>
                <w:szCs w:val="1"/>
                <w:color w:val="auto"/>
              </w:rPr>
            </w:pPr>
          </w:p>
        </w:tc>
      </w:tr>
      <w:tr>
        <w:trPr>
          <w:trHeight w:val="115"/>
        </w:trPr>
        <w:tc>
          <w:tcPr>
            <w:tcW w:w="1140" w:type="dxa"/>
            <w:vAlign w:val="bottom"/>
            <w:tcBorders>
              <w:left w:val="single" w:sz="8" w:color="auto"/>
              <w:right w:val="single" w:sz="8" w:color="auto"/>
            </w:tcBorders>
            <w:vMerge w:val="continue"/>
            <w:shd w:val="clear" w:color="auto" w:fill="4472C4"/>
          </w:tcPr>
          <w:p>
            <w:pPr>
              <w:spacing w:after="0"/>
              <w:rPr>
                <w:sz w:val="10"/>
                <w:szCs w:val="10"/>
                <w:color w:val="auto"/>
              </w:rPr>
            </w:pPr>
          </w:p>
        </w:tc>
        <w:tc>
          <w:tcPr>
            <w:tcW w:w="760" w:type="dxa"/>
            <w:vAlign w:val="bottom"/>
            <w:tcBorders>
              <w:right w:val="single" w:sz="8" w:color="auto"/>
            </w:tcBorders>
            <w:vMerge w:val="restart"/>
            <w:shd w:val="clear" w:color="auto" w:fill="4472C4"/>
          </w:tcPr>
          <w:p>
            <w:pPr>
              <w:jc w:val="center"/>
              <w:spacing w:after="0"/>
              <w:rPr>
                <w:sz w:val="20"/>
                <w:szCs w:val="20"/>
                <w:color w:val="auto"/>
              </w:rPr>
            </w:pPr>
            <w:r>
              <w:rPr>
                <w:rFonts w:ascii="Arial" w:cs="Arial" w:eastAsia="Arial" w:hAnsi="Arial"/>
                <w:sz w:val="14"/>
                <w:szCs w:val="14"/>
                <w:b w:val="1"/>
                <w:bCs w:val="1"/>
                <w:color w:val="auto"/>
              </w:rPr>
              <w:t>Part #</w:t>
            </w:r>
          </w:p>
        </w:tc>
        <w:tc>
          <w:tcPr>
            <w:tcW w:w="1880" w:type="dxa"/>
            <w:vAlign w:val="bottom"/>
            <w:tcBorders>
              <w:right w:val="single" w:sz="8" w:color="auto"/>
            </w:tcBorders>
            <w:shd w:val="clear" w:color="auto" w:fill="4472C4"/>
          </w:tcPr>
          <w:p>
            <w:pPr>
              <w:spacing w:after="0"/>
              <w:rPr>
                <w:sz w:val="10"/>
                <w:szCs w:val="10"/>
                <w:color w:val="auto"/>
              </w:rPr>
            </w:pPr>
          </w:p>
        </w:tc>
        <w:tc>
          <w:tcPr>
            <w:tcW w:w="660" w:type="dxa"/>
            <w:vAlign w:val="bottom"/>
            <w:tcBorders>
              <w:right w:val="single" w:sz="8" w:color="auto"/>
            </w:tcBorders>
            <w:vMerge w:val="restart"/>
            <w:shd w:val="clear" w:color="auto" w:fill="4472C4"/>
          </w:tcPr>
          <w:p>
            <w:pPr>
              <w:jc w:val="center"/>
              <w:spacing w:after="0"/>
              <w:rPr>
                <w:sz w:val="20"/>
                <w:szCs w:val="20"/>
                <w:color w:val="auto"/>
              </w:rPr>
            </w:pPr>
            <w:r>
              <w:rPr>
                <w:rFonts w:ascii="Arial" w:cs="Arial" w:eastAsia="Arial" w:hAnsi="Arial"/>
                <w:sz w:val="14"/>
                <w:szCs w:val="14"/>
                <w:b w:val="1"/>
                <w:bCs w:val="1"/>
                <w:color w:val="auto"/>
                <w:w w:val="98"/>
              </w:rPr>
              <w:t>UoM</w:t>
            </w:r>
          </w:p>
        </w:tc>
        <w:tc>
          <w:tcPr>
            <w:tcW w:w="1180" w:type="dxa"/>
            <w:vAlign w:val="bottom"/>
            <w:tcBorders>
              <w:right w:val="single" w:sz="8" w:color="auto"/>
            </w:tcBorders>
            <w:vMerge w:val="continue"/>
            <w:shd w:val="clear" w:color="auto" w:fill="4472C4"/>
          </w:tcPr>
          <w:p>
            <w:pPr>
              <w:spacing w:after="0"/>
              <w:rPr>
                <w:sz w:val="10"/>
                <w:szCs w:val="10"/>
                <w:color w:val="auto"/>
              </w:rPr>
            </w:pPr>
          </w:p>
        </w:tc>
        <w:tc>
          <w:tcPr>
            <w:tcW w:w="1200" w:type="dxa"/>
            <w:vAlign w:val="bottom"/>
            <w:tcBorders>
              <w:right w:val="single" w:sz="8" w:color="auto"/>
            </w:tcBorders>
            <w:vMerge w:val="continue"/>
            <w:shd w:val="clear" w:color="auto" w:fill="FFFF00"/>
          </w:tcPr>
          <w:p>
            <w:pPr>
              <w:spacing w:after="0"/>
              <w:rPr>
                <w:sz w:val="10"/>
                <w:szCs w:val="10"/>
                <w:color w:val="auto"/>
              </w:rPr>
            </w:pPr>
          </w:p>
        </w:tc>
        <w:tc>
          <w:tcPr>
            <w:tcW w:w="680" w:type="dxa"/>
            <w:vAlign w:val="bottom"/>
            <w:tcBorders>
              <w:right w:val="single" w:sz="8" w:color="auto"/>
            </w:tcBorders>
            <w:vMerge w:val="restart"/>
            <w:shd w:val="clear" w:color="auto" w:fill="FFFF00"/>
          </w:tcPr>
          <w:p>
            <w:pPr>
              <w:jc w:val="right"/>
              <w:ind w:right="69"/>
              <w:spacing w:after="0"/>
              <w:rPr>
                <w:sz w:val="20"/>
                <w:szCs w:val="20"/>
                <w:color w:val="auto"/>
              </w:rPr>
            </w:pPr>
            <w:r>
              <w:rPr>
                <w:rFonts w:ascii="Arial" w:cs="Arial" w:eastAsia="Arial" w:hAnsi="Arial"/>
                <w:sz w:val="14"/>
                <w:szCs w:val="14"/>
                <w:b w:val="1"/>
                <w:bCs w:val="1"/>
                <w:color w:val="auto"/>
              </w:rPr>
              <w:t>Terms</w:t>
            </w:r>
          </w:p>
        </w:tc>
        <w:tc>
          <w:tcPr>
            <w:tcW w:w="1720" w:type="dxa"/>
            <w:vAlign w:val="bottom"/>
            <w:tcBorders>
              <w:right w:val="single" w:sz="8" w:color="auto"/>
            </w:tcBorders>
            <w:vMerge w:val="continue"/>
            <w:shd w:val="clear" w:color="auto" w:fill="92D050"/>
          </w:tcPr>
          <w:p>
            <w:pPr>
              <w:spacing w:after="0"/>
              <w:rPr>
                <w:sz w:val="10"/>
                <w:szCs w:val="10"/>
                <w:color w:val="auto"/>
              </w:rPr>
            </w:pPr>
          </w:p>
        </w:tc>
        <w:tc>
          <w:tcPr>
            <w:tcW w:w="1140" w:type="dxa"/>
            <w:vAlign w:val="bottom"/>
            <w:tcBorders>
              <w:right w:val="single" w:sz="8" w:color="auto"/>
            </w:tcBorders>
            <w:vMerge w:val="continue"/>
            <w:shd w:val="clear" w:color="auto" w:fill="92D050"/>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140" w:type="dxa"/>
            <w:vAlign w:val="bottom"/>
            <w:tcBorders>
              <w:left w:val="single" w:sz="8" w:color="auto"/>
              <w:bottom w:val="single" w:sz="8" w:color="auto"/>
              <w:right w:val="single" w:sz="8" w:color="auto"/>
            </w:tcBorders>
            <w:shd w:val="clear" w:color="auto" w:fill="4472C4"/>
          </w:tcPr>
          <w:p>
            <w:pPr>
              <w:spacing w:after="0"/>
              <w:rPr>
                <w:sz w:val="7"/>
                <w:szCs w:val="7"/>
                <w:color w:val="auto"/>
              </w:rPr>
            </w:pPr>
          </w:p>
        </w:tc>
        <w:tc>
          <w:tcPr>
            <w:tcW w:w="760" w:type="dxa"/>
            <w:vAlign w:val="bottom"/>
            <w:tcBorders>
              <w:bottom w:val="single" w:sz="8" w:color="auto"/>
              <w:right w:val="single" w:sz="8" w:color="auto"/>
            </w:tcBorders>
            <w:vMerge w:val="continue"/>
            <w:shd w:val="clear" w:color="auto" w:fill="4472C4"/>
          </w:tcPr>
          <w:p>
            <w:pPr>
              <w:spacing w:after="0"/>
              <w:rPr>
                <w:sz w:val="7"/>
                <w:szCs w:val="7"/>
                <w:color w:val="auto"/>
              </w:rPr>
            </w:pPr>
          </w:p>
        </w:tc>
        <w:tc>
          <w:tcPr>
            <w:tcW w:w="1880" w:type="dxa"/>
            <w:vAlign w:val="bottom"/>
            <w:tcBorders>
              <w:bottom w:val="single" w:sz="8" w:color="auto"/>
              <w:right w:val="single" w:sz="8" w:color="auto"/>
            </w:tcBorders>
            <w:shd w:val="clear" w:color="auto" w:fill="4472C4"/>
          </w:tcPr>
          <w:p>
            <w:pPr>
              <w:spacing w:after="0"/>
              <w:rPr>
                <w:sz w:val="7"/>
                <w:szCs w:val="7"/>
                <w:color w:val="auto"/>
              </w:rPr>
            </w:pPr>
          </w:p>
        </w:tc>
        <w:tc>
          <w:tcPr>
            <w:tcW w:w="660" w:type="dxa"/>
            <w:vAlign w:val="bottom"/>
            <w:tcBorders>
              <w:bottom w:val="single" w:sz="8" w:color="auto"/>
              <w:right w:val="single" w:sz="8" w:color="auto"/>
            </w:tcBorders>
            <w:vMerge w:val="continue"/>
            <w:shd w:val="clear" w:color="auto" w:fill="4472C4"/>
          </w:tcPr>
          <w:p>
            <w:pPr>
              <w:spacing w:after="0"/>
              <w:rPr>
                <w:sz w:val="7"/>
                <w:szCs w:val="7"/>
                <w:color w:val="auto"/>
              </w:rPr>
            </w:pPr>
          </w:p>
        </w:tc>
        <w:tc>
          <w:tcPr>
            <w:tcW w:w="1180" w:type="dxa"/>
            <w:vAlign w:val="bottom"/>
            <w:tcBorders>
              <w:bottom w:val="single" w:sz="8" w:color="auto"/>
              <w:right w:val="single" w:sz="8" w:color="auto"/>
            </w:tcBorders>
            <w:shd w:val="clear" w:color="auto" w:fill="4472C4"/>
          </w:tcPr>
          <w:p>
            <w:pPr>
              <w:spacing w:after="0"/>
              <w:rPr>
                <w:sz w:val="7"/>
                <w:szCs w:val="7"/>
                <w:color w:val="auto"/>
              </w:rPr>
            </w:pPr>
          </w:p>
        </w:tc>
        <w:tc>
          <w:tcPr>
            <w:tcW w:w="1200" w:type="dxa"/>
            <w:vAlign w:val="bottom"/>
            <w:tcBorders>
              <w:bottom w:val="single" w:sz="8" w:color="auto"/>
              <w:right w:val="single" w:sz="8" w:color="auto"/>
            </w:tcBorders>
            <w:shd w:val="clear" w:color="auto" w:fill="FFFF00"/>
          </w:tcPr>
          <w:p>
            <w:pPr>
              <w:spacing w:after="0"/>
              <w:rPr>
                <w:sz w:val="7"/>
                <w:szCs w:val="7"/>
                <w:color w:val="auto"/>
              </w:rPr>
            </w:pPr>
          </w:p>
        </w:tc>
        <w:tc>
          <w:tcPr>
            <w:tcW w:w="680" w:type="dxa"/>
            <w:vAlign w:val="bottom"/>
            <w:tcBorders>
              <w:bottom w:val="single" w:sz="8" w:color="auto"/>
              <w:right w:val="single" w:sz="8" w:color="auto"/>
            </w:tcBorders>
            <w:vMerge w:val="continue"/>
            <w:shd w:val="clear" w:color="auto" w:fill="FFFF00"/>
          </w:tcPr>
          <w:p>
            <w:pPr>
              <w:spacing w:after="0"/>
              <w:rPr>
                <w:sz w:val="7"/>
                <w:szCs w:val="7"/>
                <w:color w:val="auto"/>
              </w:rPr>
            </w:pPr>
          </w:p>
        </w:tc>
        <w:tc>
          <w:tcPr>
            <w:tcW w:w="1720" w:type="dxa"/>
            <w:vAlign w:val="bottom"/>
            <w:tcBorders>
              <w:bottom w:val="single" w:sz="8" w:color="auto"/>
              <w:right w:val="single" w:sz="8" w:color="auto"/>
            </w:tcBorders>
            <w:shd w:val="clear" w:color="auto" w:fill="92D050"/>
          </w:tcPr>
          <w:p>
            <w:pPr>
              <w:spacing w:after="0"/>
              <w:rPr>
                <w:sz w:val="7"/>
                <w:szCs w:val="7"/>
                <w:color w:val="auto"/>
              </w:rPr>
            </w:pPr>
          </w:p>
        </w:tc>
        <w:tc>
          <w:tcPr>
            <w:tcW w:w="1140" w:type="dxa"/>
            <w:vAlign w:val="bottom"/>
            <w:tcBorders>
              <w:bottom w:val="single" w:sz="8" w:color="auto"/>
              <w:right w:val="single" w:sz="8" w:color="auto"/>
            </w:tcBorders>
            <w:shd w:val="clear" w:color="auto" w:fill="92D050"/>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96 cell discrete IQ7XS</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jc w:val="right"/>
              <w:ind w:right="1509"/>
              <w:spacing w:after="0"/>
              <w:rPr>
                <w:sz w:val="20"/>
                <w:szCs w:val="20"/>
                <w:color w:val="auto"/>
              </w:rPr>
            </w:pPr>
            <w:r>
              <w:rPr>
                <w:rFonts w:ascii="Arial" w:cs="Arial" w:eastAsia="Arial" w:hAnsi="Arial"/>
                <w:sz w:val="14"/>
                <w:szCs w:val="14"/>
                <w:color w:val="auto"/>
                <w:w w:val="90"/>
              </w:rPr>
              <w:t>[*]</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140" w:type="dxa"/>
            <w:vAlign w:val="bottom"/>
            <w:tcBorders>
              <w:left w:val="single" w:sz="8" w:color="auto"/>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Microinverter for replacing</w:t>
            </w:r>
          </w:p>
        </w:tc>
        <w:tc>
          <w:tcPr>
            <w:tcW w:w="6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140" w:type="dxa"/>
            <w:vAlign w:val="bottom"/>
            <w:tcBorders>
              <w:left w:val="single" w:sz="8" w:color="auto"/>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IQ7XS-96-2-US</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533855</w:t>
            </w: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legacy Sunpower/Solarbridge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1ea</w:t>
            </w:r>
          </w:p>
        </w:tc>
        <w:tc>
          <w:tcPr>
            <w:tcW w:w="11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 Box of 18 Units</w:t>
            </w:r>
          </w:p>
        </w:tc>
        <w:tc>
          <w:tcPr>
            <w:tcW w:w="1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FCA Long Beach</w:t>
            </w:r>
          </w:p>
        </w:tc>
        <w:tc>
          <w:tcPr>
            <w:tcW w:w="680" w:type="dxa"/>
            <w:vAlign w:val="bottom"/>
            <w:tcBorders>
              <w:right w:val="single" w:sz="8" w:color="auto"/>
            </w:tcBorders>
            <w:vMerge w:val="restart"/>
          </w:tcPr>
          <w:p>
            <w:pPr>
              <w:jc w:val="right"/>
              <w:ind w:right="469"/>
              <w:spacing w:after="0"/>
              <w:rPr>
                <w:sz w:val="20"/>
                <w:szCs w:val="20"/>
                <w:color w:val="auto"/>
              </w:rPr>
            </w:pPr>
            <w:r>
              <w:rPr>
                <w:rFonts w:ascii="Arial" w:cs="Arial" w:eastAsia="Arial" w:hAnsi="Arial"/>
                <w:sz w:val="14"/>
                <w:szCs w:val="14"/>
                <w:color w:val="auto"/>
                <w:w w:val="90"/>
              </w:rPr>
              <w:t>[*]</w:t>
            </w:r>
          </w:p>
        </w:tc>
        <w:tc>
          <w:tcPr>
            <w:tcW w:w="1720" w:type="dxa"/>
            <w:vAlign w:val="bottom"/>
            <w:tcBorders>
              <w:right w:val="single" w:sz="8" w:color="auto"/>
            </w:tcBorders>
            <w:vMerge w:val="restart"/>
          </w:tcPr>
          <w:p>
            <w:pPr>
              <w:jc w:val="right"/>
              <w:ind w:right="1509"/>
              <w:spacing w:after="0"/>
              <w:rPr>
                <w:sz w:val="20"/>
                <w:szCs w:val="20"/>
                <w:color w:val="auto"/>
              </w:rPr>
            </w:pPr>
            <w:r>
              <w:rPr>
                <w:rFonts w:ascii="Arial" w:cs="Arial" w:eastAsia="Arial" w:hAnsi="Arial"/>
                <w:sz w:val="14"/>
                <w:szCs w:val="14"/>
                <w:color w:val="auto"/>
                <w:w w:val="90"/>
              </w:rPr>
              <w:t>[*]</w:t>
            </w:r>
          </w:p>
        </w:tc>
        <w:tc>
          <w:tcPr>
            <w:tcW w:w="1140" w:type="dxa"/>
            <w:vAlign w:val="bottom"/>
            <w:tcBorders>
              <w:right w:val="single" w:sz="8" w:color="auto"/>
            </w:tcBorders>
            <w:vMerge w:val="restart"/>
          </w:tcPr>
          <w:p>
            <w:pPr>
              <w:jc w:val="right"/>
              <w:ind w:right="929"/>
              <w:spacing w:after="0"/>
              <w:rPr>
                <w:sz w:val="20"/>
                <w:szCs w:val="20"/>
                <w:color w:val="auto"/>
              </w:rPr>
            </w:pPr>
            <w:r>
              <w:rPr>
                <w:rFonts w:ascii="Arial" w:cs="Arial" w:eastAsia="Arial" w:hAnsi="Arial"/>
                <w:sz w:val="14"/>
                <w:szCs w:val="14"/>
                <w:color w:val="auto"/>
                <w:w w:val="90"/>
              </w:rPr>
              <w:t>[*]</w:t>
            </w:r>
          </w:p>
        </w:tc>
        <w:tc>
          <w:tcPr>
            <w:tcW w:w="0" w:type="dxa"/>
            <w:vAlign w:val="bottom"/>
          </w:tcPr>
          <w:p>
            <w:pPr>
              <w:spacing w:after="0"/>
              <w:rPr>
                <w:sz w:val="1"/>
                <w:szCs w:val="1"/>
                <w:color w:val="auto"/>
              </w:rPr>
            </w:pPr>
          </w:p>
        </w:tc>
      </w:tr>
      <w:tr>
        <w:trPr>
          <w:trHeight w:val="105"/>
        </w:trPr>
        <w:tc>
          <w:tcPr>
            <w:tcW w:w="1140" w:type="dxa"/>
            <w:vAlign w:val="bottom"/>
            <w:tcBorders>
              <w:left w:val="single" w:sz="8" w:color="auto"/>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AC modules with Q-DCC-2</w:t>
            </w:r>
          </w:p>
        </w:tc>
        <w:tc>
          <w:tcPr>
            <w:tcW w:w="66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140" w:type="dxa"/>
            <w:vAlign w:val="bottom"/>
            <w:tcBorders>
              <w:left w:val="single" w:sz="8" w:color="auto"/>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and metal mounting plate</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jc w:val="right"/>
              <w:ind w:right="1509"/>
              <w:spacing w:after="0"/>
              <w:rPr>
                <w:sz w:val="20"/>
                <w:szCs w:val="20"/>
                <w:color w:val="auto"/>
              </w:rPr>
            </w:pPr>
            <w:r>
              <w:rPr>
                <w:rFonts w:ascii="Arial" w:cs="Arial" w:eastAsia="Arial" w:hAnsi="Arial"/>
                <w:sz w:val="14"/>
                <w:szCs w:val="14"/>
                <w:color w:val="auto"/>
                <w:w w:val="90"/>
              </w:rPr>
              <w:t>[*]</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140" w:type="dxa"/>
            <w:vAlign w:val="bottom"/>
            <w:tcBorders>
              <w:left w:val="single" w:sz="8" w:color="auto"/>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included (PVS6 support only)</w:t>
            </w:r>
          </w:p>
        </w:tc>
        <w:tc>
          <w:tcPr>
            <w:tcW w:w="6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40" w:type="dxa"/>
            <w:vAlign w:val="bottom"/>
            <w:tcBorders>
              <w:left w:val="single" w:sz="8" w:color="auto"/>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IQ Envoy, single phase,</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ENV-IQ-AM1-</w:t>
            </w: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metered. Revenue grade</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140" w:type="dxa"/>
            <w:vAlign w:val="bottom"/>
            <w:tcBorders>
              <w:left w:val="single" w:sz="8" w:color="auto"/>
              <w:right w:val="single" w:sz="8" w:color="auto"/>
            </w:tcBorders>
            <w:vMerge w:val="continue"/>
          </w:tcPr>
          <w:p>
            <w:pPr>
              <w:spacing w:after="0"/>
              <w:rPr>
                <w:sz w:val="7"/>
                <w:szCs w:val="7"/>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535944</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accuracy (ANSI C12.20 +/-</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1ea</w:t>
            </w:r>
          </w:p>
        </w:tc>
        <w:tc>
          <w:tcPr>
            <w:tcW w:w="11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 Box of 12 units</w:t>
            </w:r>
          </w:p>
        </w:tc>
        <w:tc>
          <w:tcPr>
            <w:tcW w:w="1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FCA Long Beach</w:t>
            </w:r>
          </w:p>
        </w:tc>
        <w:tc>
          <w:tcPr>
            <w:tcW w:w="680" w:type="dxa"/>
            <w:vAlign w:val="bottom"/>
            <w:tcBorders>
              <w:right w:val="single" w:sz="8" w:color="auto"/>
            </w:tcBorders>
            <w:vMerge w:val="restart"/>
          </w:tcPr>
          <w:p>
            <w:pPr>
              <w:jc w:val="right"/>
              <w:ind w:right="469"/>
              <w:spacing w:after="0"/>
              <w:rPr>
                <w:sz w:val="20"/>
                <w:szCs w:val="20"/>
                <w:color w:val="auto"/>
              </w:rPr>
            </w:pPr>
            <w:r>
              <w:rPr>
                <w:rFonts w:ascii="Arial" w:cs="Arial" w:eastAsia="Arial" w:hAnsi="Arial"/>
                <w:sz w:val="14"/>
                <w:szCs w:val="14"/>
                <w:color w:val="auto"/>
                <w:w w:val="90"/>
              </w:rPr>
              <w:t>[*]</w:t>
            </w:r>
          </w:p>
        </w:tc>
        <w:tc>
          <w:tcPr>
            <w:tcW w:w="1720" w:type="dxa"/>
            <w:vAlign w:val="bottom"/>
            <w:tcBorders>
              <w:right w:val="single" w:sz="8" w:color="auto"/>
            </w:tcBorders>
            <w:vMerge w:val="restart"/>
          </w:tcPr>
          <w:p>
            <w:pPr>
              <w:jc w:val="right"/>
              <w:ind w:right="1509"/>
              <w:spacing w:after="0"/>
              <w:rPr>
                <w:sz w:val="20"/>
                <w:szCs w:val="20"/>
                <w:color w:val="auto"/>
              </w:rPr>
            </w:pPr>
            <w:r>
              <w:rPr>
                <w:rFonts w:ascii="Arial" w:cs="Arial" w:eastAsia="Arial" w:hAnsi="Arial"/>
                <w:sz w:val="14"/>
                <w:szCs w:val="14"/>
                <w:color w:val="auto"/>
                <w:w w:val="90"/>
              </w:rPr>
              <w:t>[*]</w:t>
            </w:r>
          </w:p>
        </w:tc>
        <w:tc>
          <w:tcPr>
            <w:tcW w:w="1140" w:type="dxa"/>
            <w:vAlign w:val="bottom"/>
            <w:tcBorders>
              <w:right w:val="single" w:sz="8" w:color="auto"/>
            </w:tcBorders>
            <w:vMerge w:val="restart"/>
          </w:tcPr>
          <w:p>
            <w:pPr>
              <w:jc w:val="right"/>
              <w:ind w:right="929"/>
              <w:spacing w:after="0"/>
              <w:rPr>
                <w:sz w:val="20"/>
                <w:szCs w:val="20"/>
                <w:color w:val="auto"/>
              </w:rPr>
            </w:pPr>
            <w:r>
              <w:rPr>
                <w:rFonts w:ascii="Arial" w:cs="Arial" w:eastAsia="Arial" w:hAnsi="Arial"/>
                <w:sz w:val="14"/>
                <w:szCs w:val="14"/>
                <w:color w:val="auto"/>
                <w:w w:val="90"/>
              </w:rPr>
              <w:t>[*]</w:t>
            </w:r>
          </w:p>
        </w:tc>
        <w:tc>
          <w:tcPr>
            <w:tcW w:w="0" w:type="dxa"/>
            <w:vAlign w:val="bottom"/>
          </w:tcPr>
          <w:p>
            <w:pPr>
              <w:spacing w:after="0"/>
              <w:rPr>
                <w:sz w:val="1"/>
                <w:szCs w:val="1"/>
                <w:color w:val="auto"/>
              </w:rPr>
            </w:pPr>
          </w:p>
        </w:tc>
      </w:tr>
      <w:tr>
        <w:trPr>
          <w:trHeight w:val="85"/>
        </w:trPr>
        <w:tc>
          <w:tcPr>
            <w:tcW w:w="11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240</w:t>
            </w:r>
          </w:p>
        </w:tc>
        <w:tc>
          <w:tcPr>
            <w:tcW w:w="76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40" w:type="dxa"/>
            <w:vAlign w:val="bottom"/>
            <w:tcBorders>
              <w:left w:val="single" w:sz="8" w:color="auto"/>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0.5%) with calibrated solid-</w:t>
            </w:r>
          </w:p>
        </w:tc>
        <w:tc>
          <w:tcPr>
            <w:tcW w:w="6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140" w:type="dxa"/>
            <w:vAlign w:val="bottom"/>
            <w:tcBorders>
              <w:left w:val="single" w:sz="8" w:color="auto"/>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core CT</w:t>
            </w:r>
          </w:p>
        </w:tc>
        <w:tc>
          <w:tcPr>
            <w:tcW w:w="6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IQ7 Power Down</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Microinverter with 220 VA</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peak power supporting PV</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IQ7PD-84-2-US</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535945</w:t>
            </w: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modules of 250W and lower</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1ea</w:t>
            </w:r>
          </w:p>
        </w:tc>
        <w:tc>
          <w:tcPr>
            <w:tcW w:w="11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1 Box of 18 Units</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FCA Long Beach</w:t>
            </w:r>
          </w:p>
        </w:tc>
        <w:tc>
          <w:tcPr>
            <w:tcW w:w="680" w:type="dxa"/>
            <w:vAlign w:val="bottom"/>
            <w:tcBorders>
              <w:right w:val="single" w:sz="8" w:color="auto"/>
            </w:tcBorders>
          </w:tcPr>
          <w:p>
            <w:pPr>
              <w:jc w:val="right"/>
              <w:ind w:right="469"/>
              <w:spacing w:after="0"/>
              <w:rPr>
                <w:sz w:val="20"/>
                <w:szCs w:val="20"/>
                <w:color w:val="auto"/>
              </w:rPr>
            </w:pPr>
            <w:r>
              <w:rPr>
                <w:rFonts w:ascii="Arial" w:cs="Arial" w:eastAsia="Arial" w:hAnsi="Arial"/>
                <w:sz w:val="14"/>
                <w:szCs w:val="14"/>
                <w:color w:val="auto"/>
                <w:w w:val="90"/>
              </w:rPr>
              <w:t>[*]</w:t>
            </w:r>
          </w:p>
        </w:tc>
        <w:tc>
          <w:tcPr>
            <w:tcW w:w="1720" w:type="dxa"/>
            <w:vAlign w:val="bottom"/>
            <w:tcBorders>
              <w:right w:val="single" w:sz="8" w:color="auto"/>
            </w:tcBorders>
          </w:tcPr>
          <w:p>
            <w:pPr>
              <w:jc w:val="right"/>
              <w:ind w:right="1509"/>
              <w:spacing w:after="0"/>
              <w:rPr>
                <w:sz w:val="20"/>
                <w:szCs w:val="20"/>
                <w:color w:val="auto"/>
              </w:rPr>
            </w:pPr>
            <w:r>
              <w:rPr>
                <w:rFonts w:ascii="Arial" w:cs="Arial" w:eastAsia="Arial" w:hAnsi="Arial"/>
                <w:sz w:val="14"/>
                <w:szCs w:val="14"/>
                <w:color w:val="auto"/>
                <w:w w:val="90"/>
              </w:rPr>
              <w:t>[*]</w:t>
            </w:r>
          </w:p>
        </w:tc>
        <w:tc>
          <w:tcPr>
            <w:tcW w:w="1140" w:type="dxa"/>
            <w:vAlign w:val="bottom"/>
            <w:tcBorders>
              <w:right w:val="single" w:sz="8" w:color="auto"/>
            </w:tcBorders>
          </w:tcPr>
          <w:p>
            <w:pPr>
              <w:jc w:val="right"/>
              <w:ind w:right="929"/>
              <w:spacing w:after="0"/>
              <w:rPr>
                <w:sz w:val="20"/>
                <w:szCs w:val="20"/>
                <w:color w:val="auto"/>
              </w:rPr>
            </w:pPr>
            <w:r>
              <w:rPr>
                <w:rFonts w:ascii="Arial" w:cs="Arial" w:eastAsia="Arial" w:hAnsi="Arial"/>
                <w:sz w:val="14"/>
                <w:szCs w:val="14"/>
                <w:color w:val="auto"/>
                <w:w w:val="90"/>
              </w:rPr>
              <w:t>[*]</w:t>
            </w: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with Q-DCC-2 and metal</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mouting plate include (Envoy</w:t>
            </w:r>
          </w:p>
        </w:tc>
        <w:tc>
          <w:tcPr>
            <w:tcW w:w="6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support only)</w:t>
            </w:r>
          </w:p>
        </w:tc>
        <w:tc>
          <w:tcPr>
            <w:tcW w:w="6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firstLine="5"/>
        <w:spacing w:after="0" w:line="299" w:lineRule="auto"/>
        <w:tabs>
          <w:tab w:leader="none" w:pos="157"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Minimum Volume Commitment</w:t>
      </w:r>
      <w:r>
        <w:rPr>
          <w:rFonts w:ascii="Arial" w:cs="Arial" w:eastAsia="Arial" w:hAnsi="Arial"/>
          <w:sz w:val="14"/>
          <w:szCs w:val="14"/>
          <w:b w:val="1"/>
          <w:bCs w:val="1"/>
          <w:color w:val="auto"/>
        </w:rPr>
        <w:t xml:space="preserve">. </w:t>
      </w:r>
      <w:r>
        <w:rPr>
          <w:rFonts w:ascii="Arial" w:cs="Arial" w:eastAsia="Arial" w:hAnsi="Arial"/>
          <w:sz w:val="14"/>
          <w:szCs w:val="14"/>
          <w:color w:val="auto"/>
        </w:rPr>
        <w:t>SunPower agrees to purchase and Enphase agrees to sell to SunPower, during the period from [*], a minimum of (i) [*] Enphase IQ7XS-96-2-US microinverters and (ii) [*] Enphase IQ7PD-84-2-US microinverters.</w:t>
      </w:r>
    </w:p>
    <w:p>
      <w:pPr>
        <w:spacing w:after="0" w:line="44" w:lineRule="exact"/>
        <w:rPr>
          <w:rFonts w:ascii="Arial" w:cs="Arial" w:eastAsia="Arial" w:hAnsi="Arial"/>
          <w:sz w:val="14"/>
          <w:szCs w:val="14"/>
          <w:b w:val="1"/>
          <w:bCs w:val="1"/>
          <w:color w:val="auto"/>
        </w:rPr>
      </w:pPr>
    </w:p>
    <w:p>
      <w:pPr>
        <w:ind w:firstLine="5"/>
        <w:spacing w:after="0" w:line="276" w:lineRule="auto"/>
        <w:tabs>
          <w:tab w:leader="none" w:pos="157"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Shipping</w:t>
      </w:r>
      <w:r>
        <w:rPr>
          <w:rFonts w:ascii="Arial" w:cs="Arial" w:eastAsia="Arial" w:hAnsi="Arial"/>
          <w:sz w:val="14"/>
          <w:szCs w:val="14"/>
          <w:b w:val="1"/>
          <w:bCs w:val="1"/>
          <w:color w:val="auto"/>
        </w:rPr>
        <w:t xml:space="preserve">. </w:t>
      </w:r>
      <w:r>
        <w:rPr>
          <w:rFonts w:ascii="Arial" w:cs="Arial" w:eastAsia="Arial" w:hAnsi="Arial"/>
          <w:sz w:val="14"/>
          <w:szCs w:val="14"/>
          <w:color w:val="auto"/>
        </w:rPr>
        <w:t>Covered Products shall be delivered FCA (Incoterms 2010) Long Beach Enphase warehouse. Enphase may make partial shipments of the Covered Products, and</w:t>
      </w:r>
      <w:r>
        <w:rPr>
          <w:rFonts w:ascii="Arial" w:cs="Arial" w:eastAsia="Arial" w:hAnsi="Arial"/>
          <w:sz w:val="14"/>
          <w:szCs w:val="14"/>
          <w:b w:val="1"/>
          <w:bCs w:val="1"/>
          <w:color w:val="auto"/>
        </w:rPr>
        <w:t xml:space="preserve"> </w:t>
      </w:r>
      <w:r>
        <w:rPr>
          <w:rFonts w:ascii="Arial" w:cs="Arial" w:eastAsia="Arial" w:hAnsi="Arial"/>
          <w:sz w:val="14"/>
          <w:szCs w:val="14"/>
          <w:color w:val="auto"/>
        </w:rPr>
        <w:t>each shipment will constitute a separate sale. SunPower also will pay shipping charges in accordance with FCA. Title to Covered Products shipped under any Purchase Order shall pass to SunPower upon delivery of such Covered Products to SunPower at Long Beach Enphase warehouse.</w:t>
      </w:r>
    </w:p>
    <w:p>
      <w:pPr>
        <w:spacing w:after="0" w:line="70" w:lineRule="exact"/>
        <w:rPr>
          <w:rFonts w:ascii="Arial" w:cs="Arial" w:eastAsia="Arial" w:hAnsi="Arial"/>
          <w:sz w:val="14"/>
          <w:szCs w:val="14"/>
          <w:b w:val="1"/>
          <w:bCs w:val="1"/>
          <w:color w:val="auto"/>
        </w:rPr>
      </w:pPr>
    </w:p>
    <w:p>
      <w:pPr>
        <w:ind w:right="40" w:firstLine="5"/>
        <w:spacing w:after="0" w:line="299" w:lineRule="auto"/>
        <w:tabs>
          <w:tab w:leader="none" w:pos="157"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Payment</w:t>
      </w:r>
      <w:r>
        <w:rPr>
          <w:rFonts w:ascii="Arial" w:cs="Arial" w:eastAsia="Arial" w:hAnsi="Arial"/>
          <w:sz w:val="14"/>
          <w:szCs w:val="14"/>
          <w:b w:val="1"/>
          <w:bCs w:val="1"/>
          <w:color w:val="auto"/>
        </w:rPr>
        <w:t xml:space="preserve">. </w:t>
      </w:r>
      <w:r>
        <w:rPr>
          <w:rFonts w:ascii="Arial" w:cs="Arial" w:eastAsia="Arial" w:hAnsi="Arial"/>
          <w:sz w:val="14"/>
          <w:szCs w:val="14"/>
          <w:color w:val="auto"/>
        </w:rPr>
        <w:t>SunPower shall pay each Invoice for Covered Products in accordance with the MSA, except that terms of payment for Covered Products shall be net [*] days from the</w:t>
      </w:r>
      <w:r>
        <w:rPr>
          <w:rFonts w:ascii="Arial" w:cs="Arial" w:eastAsia="Arial" w:hAnsi="Arial"/>
          <w:sz w:val="14"/>
          <w:szCs w:val="14"/>
          <w:b w:val="1"/>
          <w:bCs w:val="1"/>
          <w:color w:val="auto"/>
        </w:rPr>
        <w:t xml:space="preserve"> </w:t>
      </w:r>
      <w:r>
        <w:rPr>
          <w:rFonts w:ascii="Arial" w:cs="Arial" w:eastAsia="Arial" w:hAnsi="Arial"/>
          <w:sz w:val="14"/>
          <w:szCs w:val="14"/>
          <w:color w:val="auto"/>
        </w:rPr>
        <w:t>date of Invoice and payment shall be made regardless of whether shipment is in whole or partial fulfillment of a Purchase Order.</w:t>
      </w:r>
    </w:p>
    <w:p>
      <w:pPr>
        <w:sectPr>
          <w:pgSz w:w="11900" w:h="16838" w:orient="portrait"/>
          <w:cols w:equalWidth="0" w:num="1">
            <w:col w:w="11220"/>
          </w:cols>
          <w:pgMar w:left="300" w:top="1139" w:right="37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b w:val="1"/>
          <w:bCs w:val="1"/>
          <w:color w:val="auto"/>
        </w:rPr>
        <w:t>Attachment C</w:t>
      </w:r>
    </w:p>
    <w:p>
      <w:pPr>
        <w:sectPr>
          <w:pgSz w:w="11900" w:h="16838" w:orient="portrait"/>
          <w:cols w:equalWidth="0" w:num="1">
            <w:col w:w="9019"/>
          </w:cols>
          <w:pgMar w:left="1440" w:top="1139"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ectPr>
          <w:pgSz w:w="11900" w:h="16838" w:orient="portrait"/>
          <w:cols w:equalWidth="0" w:num="1">
            <w:col w:w="9019"/>
          </w:cols>
          <w:pgMar w:left="1440" w:top="1139" w:right="1440" w:bottom="1440" w:gutter="0" w:footer="0" w:header="0"/>
          <w:type w:val="continuous"/>
        </w:sectPr>
      </w:pPr>
    </w:p>
    <w:bookmarkStart w:id="154" w:name="page155"/>
    <w:bookmarkEnd w:id="154"/>
    <w:p>
      <w:pPr>
        <w:jc w:val="center"/>
        <w:ind w:right="-19"/>
        <w:spacing w:after="0"/>
        <w:rPr>
          <w:sz w:val="20"/>
          <w:szCs w:val="20"/>
          <w:color w:val="auto"/>
        </w:rPr>
      </w:pPr>
      <w:r>
        <w:rPr>
          <w:rFonts w:ascii="Arial" w:cs="Arial" w:eastAsia="Arial" w:hAnsi="Arial"/>
          <w:sz w:val="17"/>
          <w:szCs w:val="17"/>
          <w:b w:val="1"/>
          <w:bCs w:val="1"/>
          <w:color w:val="auto"/>
        </w:rPr>
        <w:t>Attachment D-1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Data Specifications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820" w:type="dxa"/>
            <w:vAlign w:val="bottom"/>
            <w:tcBorders>
              <w:top w:val="single" w:sz="8" w:color="auto"/>
              <w:left w:val="single" w:sz="8" w:color="auto"/>
              <w:bottom w:val="single" w:sz="8" w:color="auto"/>
              <w:right w:val="single" w:sz="8" w:color="auto"/>
            </w:tcBorders>
            <w:shd w:val="clear" w:color="auto" w:fill="D9E1F2"/>
          </w:tcPr>
          <w:p>
            <w:pPr>
              <w:spacing w:after="0"/>
              <w:rPr>
                <w:sz w:val="20"/>
                <w:szCs w:val="20"/>
                <w:color w:val="auto"/>
              </w:rPr>
            </w:pPr>
          </w:p>
        </w:tc>
        <w:tc>
          <w:tcPr>
            <w:tcW w:w="2380" w:type="dxa"/>
            <w:vAlign w:val="bottom"/>
            <w:tcBorders>
              <w:top w:val="single" w:sz="8" w:color="auto"/>
              <w:bottom w:val="single" w:sz="8" w:color="auto"/>
              <w:right w:val="single" w:sz="8" w:color="auto"/>
            </w:tcBorders>
            <w:shd w:val="clear" w:color="auto" w:fill="D9E1F2"/>
          </w:tcPr>
          <w:p>
            <w:pPr>
              <w:spacing w:after="0"/>
              <w:rPr>
                <w:sz w:val="20"/>
                <w:szCs w:val="20"/>
                <w:color w:val="auto"/>
              </w:rPr>
            </w:pPr>
          </w:p>
        </w:tc>
        <w:tc>
          <w:tcPr>
            <w:tcW w:w="7880" w:type="dxa"/>
            <w:vAlign w:val="bottom"/>
            <w:tcBorders>
              <w:top w:val="single" w:sz="8" w:color="auto"/>
              <w:bottom w:val="single" w:sz="8" w:color="auto"/>
              <w:right w:val="single" w:sz="8" w:color="auto"/>
            </w:tcBorders>
            <w:shd w:val="clear" w:color="auto" w:fill="D9E1F2"/>
          </w:tcPr>
          <w:p>
            <w:pPr>
              <w:ind w:left="20"/>
              <w:spacing w:after="0"/>
              <w:rPr>
                <w:sz w:val="20"/>
                <w:szCs w:val="20"/>
                <w:color w:val="auto"/>
              </w:rPr>
            </w:pPr>
            <w:r>
              <w:rPr>
                <w:rFonts w:ascii="Arial" w:cs="Arial" w:eastAsia="Arial" w:hAnsi="Arial"/>
                <w:sz w:val="16"/>
                <w:szCs w:val="16"/>
                <w:color w:val="auto"/>
              </w:rPr>
              <w:t>Remarks</w:t>
            </w:r>
          </w:p>
        </w:tc>
        <w:tc>
          <w:tcPr>
            <w:tcW w:w="0" w:type="dxa"/>
            <w:vAlign w:val="bottom"/>
          </w:tcPr>
          <w:p>
            <w:pPr>
              <w:spacing w:after="0"/>
              <w:rPr>
                <w:sz w:val="1"/>
                <w:szCs w:val="1"/>
                <w:color w:val="auto"/>
              </w:rPr>
            </w:pPr>
          </w:p>
        </w:tc>
      </w:tr>
      <w:tr>
        <w:trPr>
          <w:trHeight w:val="204"/>
        </w:trPr>
        <w:tc>
          <w:tcPr>
            <w:tcW w:w="820" w:type="dxa"/>
            <w:vAlign w:val="bottom"/>
            <w:tcBorders>
              <w:left w:val="single" w:sz="8" w:color="auto"/>
              <w:right w:val="single" w:sz="8" w:color="auto"/>
            </w:tcBorders>
            <w:vMerge w:val="restart"/>
            <w:shd w:val="clear" w:color="auto" w:fill="EDEDED"/>
          </w:tcPr>
          <w:p>
            <w:pPr>
              <w:jc w:val="right"/>
              <w:ind w:right="282"/>
              <w:spacing w:after="0"/>
              <w:rPr>
                <w:sz w:val="20"/>
                <w:szCs w:val="20"/>
                <w:color w:val="auto"/>
              </w:rPr>
            </w:pPr>
            <w:r>
              <w:rPr>
                <w:rFonts w:ascii="Arial" w:cs="Arial" w:eastAsia="Arial" w:hAnsi="Arial"/>
                <w:sz w:val="16"/>
                <w:szCs w:val="16"/>
                <w:color w:val="auto"/>
                <w:w w:val="98"/>
              </w:rPr>
              <w:t>Item #</w:t>
            </w:r>
          </w:p>
        </w:tc>
        <w:tc>
          <w:tcPr>
            <w:tcW w:w="2380" w:type="dxa"/>
            <w:vAlign w:val="bottom"/>
            <w:tcBorders>
              <w:right w:val="single" w:sz="8" w:color="auto"/>
            </w:tcBorders>
            <w:vMerge w:val="restart"/>
            <w:shd w:val="clear" w:color="auto" w:fill="EDEDED"/>
          </w:tcPr>
          <w:p>
            <w:pPr>
              <w:spacing w:after="0"/>
              <w:rPr>
                <w:sz w:val="20"/>
                <w:szCs w:val="20"/>
                <w:color w:val="auto"/>
              </w:rPr>
            </w:pPr>
            <w:r>
              <w:rPr>
                <w:rFonts w:ascii="Arial" w:cs="Arial" w:eastAsia="Arial" w:hAnsi="Arial"/>
                <w:sz w:val="16"/>
                <w:szCs w:val="16"/>
                <w:color w:val="auto"/>
              </w:rPr>
              <w:t>Feature</w:t>
            </w: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At the current polling frequency (2.5 min) or a modified polling rate as agreed upon by both parties to</w:t>
            </w:r>
          </w:p>
        </w:tc>
        <w:tc>
          <w:tcPr>
            <w:tcW w:w="0" w:type="dxa"/>
            <w:vAlign w:val="bottom"/>
          </w:tcPr>
          <w:p>
            <w:pPr>
              <w:spacing w:after="0"/>
              <w:rPr>
                <w:sz w:val="1"/>
                <w:szCs w:val="1"/>
                <w:color w:val="auto"/>
              </w:rPr>
            </w:pPr>
          </w:p>
        </w:tc>
      </w:tr>
      <w:tr>
        <w:trPr>
          <w:trHeight w:val="120"/>
        </w:trPr>
        <w:tc>
          <w:tcPr>
            <w:tcW w:w="820" w:type="dxa"/>
            <w:vAlign w:val="bottom"/>
            <w:tcBorders>
              <w:left w:val="single" w:sz="8" w:color="auto"/>
              <w:right w:val="single" w:sz="8" w:color="auto"/>
            </w:tcBorders>
            <w:vMerge w:val="continue"/>
            <w:shd w:val="clear" w:color="auto" w:fill="EDEDED"/>
          </w:tcPr>
          <w:p>
            <w:pPr>
              <w:spacing w:after="0"/>
              <w:rPr>
                <w:sz w:val="10"/>
                <w:szCs w:val="10"/>
                <w:color w:val="auto"/>
              </w:rPr>
            </w:pPr>
          </w:p>
        </w:tc>
        <w:tc>
          <w:tcPr>
            <w:tcW w:w="2380" w:type="dxa"/>
            <w:vAlign w:val="bottom"/>
            <w:tcBorders>
              <w:right w:val="single" w:sz="8" w:color="auto"/>
            </w:tcBorders>
            <w:vMerge w:val="continue"/>
            <w:shd w:val="clear" w:color="auto" w:fill="EDEDED"/>
          </w:tcPr>
          <w:p>
            <w:pPr>
              <w:spacing w:after="0"/>
              <w:rPr>
                <w:sz w:val="10"/>
                <w:szCs w:val="10"/>
                <w:color w:val="auto"/>
              </w:rPr>
            </w:pPr>
          </w:p>
        </w:tc>
        <w:tc>
          <w:tcPr>
            <w:tcW w:w="7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exceed no more than a 15 min interval</w:t>
            </w:r>
          </w:p>
        </w:tc>
        <w:tc>
          <w:tcPr>
            <w:tcW w:w="0" w:type="dxa"/>
            <w:vAlign w:val="bottom"/>
          </w:tcPr>
          <w:p>
            <w:pPr>
              <w:spacing w:after="0"/>
              <w:rPr>
                <w:sz w:val="1"/>
                <w:szCs w:val="1"/>
                <w:color w:val="auto"/>
              </w:rPr>
            </w:pPr>
          </w:p>
        </w:tc>
      </w:tr>
      <w:tr>
        <w:trPr>
          <w:trHeight w:val="115"/>
        </w:trPr>
        <w:tc>
          <w:tcPr>
            <w:tcW w:w="820" w:type="dxa"/>
            <w:vAlign w:val="bottom"/>
            <w:tcBorders>
              <w:left w:val="single" w:sz="8" w:color="auto"/>
              <w:bottom w:val="single" w:sz="8" w:color="auto"/>
              <w:right w:val="single" w:sz="8" w:color="auto"/>
            </w:tcBorders>
            <w:shd w:val="clear" w:color="auto" w:fill="EDEDED"/>
          </w:tcPr>
          <w:p>
            <w:pPr>
              <w:spacing w:after="0"/>
              <w:rPr>
                <w:sz w:val="9"/>
                <w:szCs w:val="9"/>
                <w:color w:val="auto"/>
              </w:rPr>
            </w:pPr>
          </w:p>
        </w:tc>
        <w:tc>
          <w:tcPr>
            <w:tcW w:w="2380" w:type="dxa"/>
            <w:vAlign w:val="bottom"/>
            <w:tcBorders>
              <w:bottom w:val="single" w:sz="8" w:color="auto"/>
              <w:right w:val="single" w:sz="8" w:color="auto"/>
            </w:tcBorders>
            <w:shd w:val="clear" w:color="auto" w:fill="EDEDED"/>
          </w:tcPr>
          <w:p>
            <w:pPr>
              <w:spacing w:after="0"/>
              <w:rPr>
                <w:sz w:val="9"/>
                <w:szCs w:val="9"/>
                <w:color w:val="auto"/>
              </w:rPr>
            </w:pPr>
          </w:p>
        </w:tc>
        <w:tc>
          <w:tcPr>
            <w:tcW w:w="78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1</w:t>
            </w:r>
          </w:p>
        </w:tc>
        <w:tc>
          <w:tcPr>
            <w:tcW w:w="2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Telemetry data Microinverter</w:t>
            </w:r>
          </w:p>
        </w:tc>
        <w:tc>
          <w:tcPr>
            <w:tcW w:w="7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[Raw]</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Fields include (temp, acv, acw, aci, dcv, dcw, dci, freq, lte, timestamp, polling freq)</w:t>
            </w:r>
          </w:p>
        </w:tc>
        <w:tc>
          <w:tcPr>
            <w:tcW w:w="0" w:type="dxa"/>
            <w:vAlign w:val="bottom"/>
          </w:tcPr>
          <w:p>
            <w:pPr>
              <w:spacing w:after="0"/>
              <w:rPr>
                <w:sz w:val="1"/>
                <w:szCs w:val="1"/>
                <w:color w:val="auto"/>
              </w:rPr>
            </w:pPr>
          </w:p>
        </w:tc>
      </w:tr>
      <w:tr>
        <w:trPr>
          <w:trHeight w:val="197"/>
        </w:trPr>
        <w:tc>
          <w:tcPr>
            <w:tcW w:w="82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2</w:t>
            </w:r>
          </w:p>
        </w:tc>
        <w:tc>
          <w:tcPr>
            <w:tcW w:w="2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Telemetry data Microinverter</w:t>
            </w:r>
          </w:p>
        </w:tc>
        <w:tc>
          <w:tcPr>
            <w:tcW w:w="7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[Aggregated]</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Fields include (temp, acv, acw, aci, dcv, dcw, dci, freq, lte, timestamp, polling freq)</w:t>
            </w:r>
          </w:p>
        </w:tc>
        <w:tc>
          <w:tcPr>
            <w:tcW w:w="0" w:type="dxa"/>
            <w:vAlign w:val="bottom"/>
          </w:tcPr>
          <w:p>
            <w:pPr>
              <w:spacing w:after="0"/>
              <w:rPr>
                <w:sz w:val="1"/>
                <w:szCs w:val="1"/>
                <w:color w:val="auto"/>
              </w:rPr>
            </w:pPr>
          </w:p>
        </w:tc>
      </w:tr>
      <w:tr>
        <w:trPr>
          <w:trHeight w:val="197"/>
        </w:trPr>
        <w:tc>
          <w:tcPr>
            <w:tcW w:w="82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3</w:t>
            </w:r>
          </w:p>
        </w:tc>
        <w:tc>
          <w:tcPr>
            <w:tcW w:w="2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Microinverter firmware upgrade</w:t>
            </w:r>
          </w:p>
        </w:tc>
        <w:tc>
          <w:tcPr>
            <w:tcW w:w="7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information</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Prior upgrades, upgrade date etc 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Microinverter PL</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 to be provided as decimal value in splunk</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PVS status</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PVS SW Information</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Prior upgrades, upgrade date etc to be provided as part of data table, separate from the Splunk database</w:t>
            </w:r>
          </w:p>
        </w:tc>
        <w:tc>
          <w:tcPr>
            <w:tcW w:w="0" w:type="dxa"/>
            <w:vAlign w:val="bottom"/>
          </w:tcPr>
          <w:p>
            <w:pPr>
              <w:spacing w:after="0"/>
              <w:rPr>
                <w:sz w:val="1"/>
                <w:szCs w:val="1"/>
                <w:color w:val="auto"/>
              </w:rPr>
            </w:pPr>
          </w:p>
        </w:tc>
      </w:tr>
      <w:tr>
        <w:trPr>
          <w:trHeight w:val="208"/>
        </w:trPr>
        <w:tc>
          <w:tcPr>
            <w:tcW w:w="82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7</w:t>
            </w: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Events [Raw]</w:t>
            </w:r>
          </w:p>
        </w:tc>
        <w:tc>
          <w:tcPr>
            <w:tcW w:w="7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Enphase condition messages, including Gate fix, Grid Outage, Temp Event, Skip Event, and other events</w:t>
            </w:r>
          </w:p>
        </w:tc>
        <w:tc>
          <w:tcPr>
            <w:tcW w:w="0" w:type="dxa"/>
            <w:vAlign w:val="bottom"/>
          </w:tcPr>
          <w:p>
            <w:pPr>
              <w:spacing w:after="0"/>
              <w:rPr>
                <w:sz w:val="1"/>
                <w:szCs w:val="1"/>
                <w:color w:val="auto"/>
              </w:rPr>
            </w:pPr>
          </w:p>
        </w:tc>
      </w:tr>
      <w:tr>
        <w:trPr>
          <w:trHeight w:val="94"/>
        </w:trPr>
        <w:tc>
          <w:tcPr>
            <w:tcW w:w="820" w:type="dxa"/>
            <w:vAlign w:val="bottom"/>
            <w:tcBorders>
              <w:left w:val="single" w:sz="8" w:color="auto"/>
              <w:right w:val="single" w:sz="8" w:color="auto"/>
            </w:tcBorders>
            <w:vMerge w:val="continue"/>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7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20" w:type="dxa"/>
            <w:vAlign w:val="bottom"/>
            <w:tcBorders>
              <w:left w:val="single" w:sz="8" w:color="auto"/>
              <w:bottom w:val="single" w:sz="8" w:color="auto"/>
              <w:right w:val="single" w:sz="8" w:color="auto"/>
            </w:tcBorders>
          </w:tcPr>
          <w:p>
            <w:pPr>
              <w:spacing w:after="0"/>
              <w:rPr>
                <w:sz w:val="9"/>
                <w:szCs w:val="9"/>
                <w:color w:val="auto"/>
              </w:rPr>
            </w:pPr>
          </w:p>
        </w:tc>
        <w:tc>
          <w:tcPr>
            <w:tcW w:w="2380" w:type="dxa"/>
            <w:vAlign w:val="bottom"/>
            <w:tcBorders>
              <w:bottom w:val="single" w:sz="8" w:color="auto"/>
              <w:right w:val="single" w:sz="8" w:color="auto"/>
            </w:tcBorders>
          </w:tcPr>
          <w:p>
            <w:pPr>
              <w:spacing w:after="0"/>
              <w:rPr>
                <w:sz w:val="9"/>
                <w:szCs w:val="9"/>
                <w:color w:val="auto"/>
              </w:rPr>
            </w:pPr>
          </w:p>
        </w:tc>
        <w:tc>
          <w:tcPr>
            <w:tcW w:w="7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Events [Aggregated]</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Daily count of events for individual microinverters</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Location details</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AddressID and site zip code 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Temperature data Microinverter</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Tmax, Tmin</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Grid details</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Grid profile name, settings, upgrade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Micro PN, Assly Num</w:t>
            </w:r>
          </w:p>
        </w:tc>
        <w:tc>
          <w:tcPr>
            <w:tcW w:w="7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Created Date</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First Report Date</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Last report Date</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Days flags</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be provided as part of data table, separate from the Splunk database</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Bridge fault per day</w:t>
            </w:r>
          </w:p>
        </w:tc>
        <w:tc>
          <w:tcPr>
            <w:tcW w:w="7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be provided as part of data table, separate from the Splunk database</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Data parameters being provided and refreshed as appropriate in the data table titled “Enphase Distribution List of Installed Units” as of September 25, 2020 will continue to be provided unless both parties agree to add, remove, or modify fields. Such data fields include the following:</w:t>
      </w:r>
    </w:p>
    <w:p>
      <w:pPr>
        <w:spacing w:after="0" w:line="123" w:lineRule="exact"/>
        <w:rPr>
          <w:sz w:val="20"/>
          <w:szCs w:val="20"/>
          <w:color w:val="auto"/>
        </w:rPr>
      </w:pPr>
    </w:p>
    <w:p>
      <w:pPr>
        <w:ind w:left="220" w:hanging="215"/>
        <w:spacing w:after="0"/>
        <w:tabs>
          <w:tab w:leader="none" w:pos="220" w:val="left"/>
        </w:tabs>
        <w:numPr>
          <w:ilvl w:val="0"/>
          <w:numId w:val="81"/>
        </w:numPr>
        <w:rPr>
          <w:rFonts w:ascii="Arial" w:cs="Arial" w:eastAsia="Arial" w:hAnsi="Arial"/>
          <w:sz w:val="16"/>
          <w:szCs w:val="16"/>
          <w:color w:val="auto"/>
        </w:rPr>
      </w:pPr>
      <w:r>
        <w:rPr>
          <w:rFonts w:ascii="Arial" w:cs="Arial" w:eastAsia="Arial" w:hAnsi="Arial"/>
          <w:sz w:val="17"/>
          <w:szCs w:val="17"/>
          <w:color w:val="auto"/>
        </w:rPr>
        <w:t>CSV file: Contain list of all installed microinverters in the field (Updated weekly)</w:t>
      </w:r>
    </w:p>
    <w:p>
      <w:pPr>
        <w:spacing w:after="0" w:line="28" w:lineRule="exact"/>
        <w:rPr>
          <w:rFonts w:ascii="Arial" w:cs="Arial" w:eastAsia="Arial" w:hAnsi="Arial"/>
          <w:sz w:val="16"/>
          <w:szCs w:val="16"/>
          <w:color w:val="auto"/>
        </w:rPr>
      </w:pPr>
    </w:p>
    <w:p>
      <w:pPr>
        <w:ind w:left="260" w:hanging="255"/>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Energy Link: A tool for visual analysis of microinverter/sites long term performance. Data downloadable in CSV format (polling 5 minutes)</w:t>
      </w:r>
    </w:p>
    <w:p>
      <w:pPr>
        <w:spacing w:after="0" w:line="6" w:lineRule="exact"/>
        <w:rPr>
          <w:rFonts w:ascii="Arial" w:cs="Arial" w:eastAsia="Arial" w:hAnsi="Arial"/>
          <w:sz w:val="17"/>
          <w:szCs w:val="17"/>
          <w:color w:val="auto"/>
        </w:rPr>
      </w:pPr>
    </w:p>
    <w:p>
      <w:pPr>
        <w:ind w:left="260" w:right="160" w:hanging="255"/>
        <w:spacing w:after="0" w:line="247" w:lineRule="auto"/>
        <w:tabs>
          <w:tab w:leader="none" w:pos="251" w:val="left"/>
        </w:tabs>
        <w:numPr>
          <w:ilvl w:val="0"/>
          <w:numId w:val="81"/>
        </w:numPr>
        <w:rPr>
          <w:rFonts w:ascii="Arial" w:cs="Arial" w:eastAsia="Arial" w:hAnsi="Arial"/>
          <w:sz w:val="17"/>
          <w:szCs w:val="17"/>
          <w:color w:val="auto"/>
        </w:rPr>
      </w:pPr>
      <w:r>
        <w:rPr>
          <w:rFonts w:ascii="Arial" w:cs="Arial" w:eastAsia="Arial" w:hAnsi="Arial"/>
          <w:sz w:val="17"/>
          <w:szCs w:val="17"/>
          <w:color w:val="auto"/>
        </w:rPr>
        <w:t>Splunk: Data stored in both granular level and at aggregated level as well. Contains telemetry data, events data, configuration data, power drops, bridge faults, etc. Within Splunk it is structured in indexes as below:</w:t>
      </w:r>
    </w:p>
    <w:p>
      <w:pPr>
        <w:ind w:left="520" w:right="140" w:hanging="255"/>
        <w:spacing w:after="0" w:line="260" w:lineRule="auto"/>
        <w:rPr>
          <w:rFonts w:ascii="Arial" w:cs="Arial" w:eastAsia="Arial" w:hAnsi="Arial"/>
          <w:sz w:val="17"/>
          <w:szCs w:val="17"/>
          <w:color w:val="auto"/>
        </w:rPr>
      </w:pPr>
      <w:r>
        <w:rPr>
          <w:rFonts w:ascii="Courier New" w:cs="Courier New" w:eastAsia="Courier New" w:hAnsi="Courier New"/>
          <w:sz w:val="17"/>
          <w:szCs w:val="17"/>
          <w:color w:val="auto"/>
        </w:rPr>
        <w:t>o</w:t>
      </w:r>
      <w:r>
        <w:rPr>
          <w:rFonts w:ascii="Arial" w:cs="Arial" w:eastAsia="Arial" w:hAnsi="Arial"/>
          <w:sz w:val="17"/>
          <w:szCs w:val="17"/>
          <w:color w:val="auto"/>
        </w:rPr>
        <w:t>dev_enp_enphasemipolldaily_summary - daily aggregation of every MI in the Enphase fleet with key daily metrics like daily power, number of reports, and temperature delta (polling 1 day)</w:t>
      </w:r>
    </w:p>
    <w:p>
      <w:pPr>
        <w:ind w:left="520" w:right="40" w:hanging="255"/>
        <w:spacing w:after="0" w:line="260" w:lineRule="auto"/>
        <w:rPr>
          <w:rFonts w:ascii="Arial" w:cs="Arial" w:eastAsia="Arial" w:hAnsi="Arial"/>
          <w:sz w:val="17"/>
          <w:szCs w:val="17"/>
          <w:color w:val="auto"/>
        </w:rPr>
      </w:pPr>
      <w:r>
        <w:rPr>
          <w:rFonts w:ascii="Courier New" w:cs="Courier New" w:eastAsia="Courier New" w:hAnsi="Courier New"/>
          <w:sz w:val="17"/>
          <w:szCs w:val="17"/>
          <w:color w:val="auto"/>
        </w:rPr>
        <w:t>o</w:t>
      </w:r>
      <w:r>
        <w:rPr>
          <w:rFonts w:ascii="Arial" w:cs="Arial" w:eastAsia="Arial" w:hAnsi="Arial"/>
          <w:sz w:val="17"/>
          <w:szCs w:val="17"/>
          <w:color w:val="auto"/>
        </w:rPr>
        <w:t>dev_rap_enphasealerts_summary - daily aggregation of every MI in the Enphase fleet with focus on alerts - count of different types of alerts (polling 1 day)</w:t>
      </w:r>
    </w:p>
    <w:p>
      <w:pPr>
        <w:ind w:left="520" w:right="180" w:hanging="255"/>
        <w:spacing w:after="0" w:line="288" w:lineRule="auto"/>
        <w:rPr>
          <w:rFonts w:ascii="Arial" w:cs="Arial" w:eastAsia="Arial" w:hAnsi="Arial"/>
          <w:sz w:val="17"/>
          <w:szCs w:val="17"/>
          <w:color w:val="auto"/>
        </w:rPr>
      </w:pPr>
      <w:r>
        <w:rPr>
          <w:rFonts w:ascii="Courier New" w:cs="Courier New" w:eastAsia="Courier New" w:hAnsi="Courier New"/>
          <w:sz w:val="17"/>
          <w:szCs w:val="17"/>
          <w:color w:val="auto"/>
        </w:rPr>
        <w:t>o</w:t>
      </w:r>
      <w:r>
        <w:rPr>
          <w:rFonts w:ascii="Arial" w:cs="Arial" w:eastAsia="Arial" w:hAnsi="Arial"/>
          <w:sz w:val="17"/>
          <w:szCs w:val="17"/>
          <w:color w:val="auto"/>
        </w:rPr>
        <w:t>dev_rap_enphasemiflag_summary - daily aggregation of MI's with questionable behavior along with some key metrics to quantify the daily behavior (polling 1 day)</w:t>
      </w:r>
    </w:p>
    <w:p>
      <w:pPr>
        <w:sectPr>
          <w:pgSz w:w="11900" w:h="16838" w:orient="portrait"/>
          <w:cols w:equalWidth="0" w:num="1">
            <w:col w:w="11280"/>
          </w:cols>
          <w:pgMar w:left="300" w:top="1140" w:right="319" w:bottom="1440" w:gutter="0" w:footer="0" w:header="0"/>
        </w:sectPr>
      </w:pPr>
    </w:p>
    <w:bookmarkStart w:id="155" w:name="page156"/>
    <w:bookmarkEnd w:id="155"/>
    <w:p>
      <w:pPr>
        <w:ind w:left="520" w:right="40" w:hanging="260"/>
        <w:spacing w:after="0" w:line="263" w:lineRule="auto"/>
        <w:tabs>
          <w:tab w:leader="none" w:pos="775"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dev_rap_enphasebridgefaultcndduration_summary - daily aggregation of skip event duration and event count to focus on skip event issues (polling 1 day)</w:t>
      </w:r>
    </w:p>
    <w:p>
      <w:pPr>
        <w:spacing w:after="0" w:line="1" w:lineRule="exact"/>
        <w:rPr>
          <w:rFonts w:ascii="Courier New" w:cs="Courier New" w:eastAsia="Courier New" w:hAnsi="Courier New"/>
          <w:sz w:val="17"/>
          <w:szCs w:val="17"/>
          <w:color w:val="auto"/>
        </w:rPr>
      </w:pPr>
    </w:p>
    <w:p>
      <w:pPr>
        <w:ind w:left="520" w:right="100" w:hanging="260"/>
        <w:spacing w:after="0" w:line="250" w:lineRule="auto"/>
        <w:tabs>
          <w:tab w:leader="none" w:pos="775"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enphase - most granular polling data for Enphase inverters, includes MIPoll, EnCnd (MI Alerts), HighSkipRate, and other enphase-specific MI messages (polling 2.5 minutes)</w:t>
      </w:r>
    </w:p>
    <w:p>
      <w:pPr>
        <w:spacing w:after="0" w:line="1" w:lineRule="exact"/>
        <w:rPr>
          <w:rFonts w:ascii="Courier New" w:cs="Courier New" w:eastAsia="Courier New" w:hAnsi="Courier New"/>
          <w:sz w:val="17"/>
          <w:szCs w:val="17"/>
          <w:color w:val="auto"/>
        </w:rPr>
      </w:pPr>
    </w:p>
    <w:p>
      <w:pPr>
        <w:ind w:left="760" w:hanging="500"/>
        <w:spacing w:after="0" w:line="236" w:lineRule="auto"/>
        <w:tabs>
          <w:tab w:leader="none" w:pos="760"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dev_enp_allalerts_summary - a dump of all Enphase alerts produced by the flexet, sent into a summary index for storage (polling 1 day)</w:t>
      </w:r>
    </w:p>
    <w:p>
      <w:pPr>
        <w:spacing w:after="0" w:line="15" w:lineRule="exact"/>
        <w:rPr>
          <w:rFonts w:ascii="Courier New" w:cs="Courier New" w:eastAsia="Courier New" w:hAnsi="Courier New"/>
          <w:sz w:val="17"/>
          <w:szCs w:val="17"/>
          <w:color w:val="auto"/>
        </w:rPr>
      </w:pPr>
    </w:p>
    <w:p>
      <w:pPr>
        <w:ind w:left="760" w:hanging="500"/>
        <w:spacing w:after="0" w:line="236" w:lineRule="auto"/>
        <w:tabs>
          <w:tab w:leader="none" w:pos="760"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prod_rap_mimecfg_summary - all PVS configuration files for all PVS (use type="Enphase") (polling 1 day)</w:t>
      </w:r>
    </w:p>
    <w:p>
      <w:pPr>
        <w:spacing w:after="0" w:line="15" w:lineRule="exact"/>
        <w:rPr>
          <w:rFonts w:ascii="Courier New" w:cs="Courier New" w:eastAsia="Courier New" w:hAnsi="Courier New"/>
          <w:sz w:val="17"/>
          <w:szCs w:val="17"/>
          <w:color w:val="auto"/>
        </w:rPr>
      </w:pPr>
    </w:p>
    <w:p>
      <w:pPr>
        <w:ind w:left="520" w:hanging="260"/>
        <w:spacing w:after="0" w:line="250" w:lineRule="auto"/>
        <w:tabs>
          <w:tab w:leader="none" w:pos="775"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dev_enp_enphasemipolldaily_- daily aggregation of every MI in the Enphase fleet with key daily metrics like daily power, number of reports, and temperature delta (polling 1 day)</w:t>
      </w:r>
    </w:p>
    <w:p>
      <w:pPr>
        <w:spacing w:after="0" w:line="1" w:lineRule="exact"/>
        <w:rPr>
          <w:rFonts w:ascii="Courier New" w:cs="Courier New" w:eastAsia="Courier New" w:hAnsi="Courier New"/>
          <w:sz w:val="17"/>
          <w:szCs w:val="17"/>
          <w:color w:val="auto"/>
        </w:rPr>
      </w:pPr>
    </w:p>
    <w:p>
      <w:pPr>
        <w:ind w:left="520" w:right="200" w:hanging="260"/>
        <w:spacing w:after="0" w:line="250" w:lineRule="auto"/>
        <w:tabs>
          <w:tab w:leader="none" w:pos="775"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dev_rap_enphasemiweekly_summary - weekly aggregation of MI performance metrics - used to identify underperforming units. Currently not returning records. (polling weekly)</w:t>
      </w:r>
    </w:p>
    <w:p>
      <w:pPr>
        <w:spacing w:after="0" w:line="1" w:lineRule="exact"/>
        <w:rPr>
          <w:rFonts w:ascii="Courier New" w:cs="Courier New" w:eastAsia="Courier New" w:hAnsi="Courier New"/>
          <w:sz w:val="17"/>
          <w:szCs w:val="17"/>
          <w:color w:val="auto"/>
        </w:rPr>
      </w:pPr>
    </w:p>
    <w:p>
      <w:pPr>
        <w:ind w:left="520" w:right="140" w:hanging="260"/>
        <w:spacing w:after="0" w:line="246" w:lineRule="auto"/>
        <w:tabs>
          <w:tab w:leader="none" w:pos="743" w:val="left"/>
        </w:tabs>
        <w:numPr>
          <w:ilvl w:val="0"/>
          <w:numId w:val="82"/>
        </w:numPr>
        <w:rPr>
          <w:rFonts w:ascii="Courier New" w:cs="Courier New" w:eastAsia="Courier New" w:hAnsi="Courier New"/>
          <w:sz w:val="16"/>
          <w:szCs w:val="16"/>
          <w:color w:val="auto"/>
        </w:rPr>
      </w:pPr>
      <w:r>
        <w:rPr>
          <w:rFonts w:ascii="Arial" w:cs="Arial" w:eastAsia="Arial" w:hAnsi="Arial"/>
          <w:sz w:val="17"/>
          <w:szCs w:val="17"/>
          <w:color w:val="auto"/>
        </w:rPr>
        <w:t>dev_rap_enphasemiflag_summary - daily aggregation of MI's with questionable behavior along with some key metrics to quantify the daily behavior (polling 1 day)</w:t>
      </w:r>
    </w:p>
    <w:p>
      <w:pPr>
        <w:ind w:left="520" w:right="40" w:hanging="260"/>
        <w:spacing w:after="0" w:line="250" w:lineRule="auto"/>
        <w:tabs>
          <w:tab w:leader="none" w:pos="775"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dev_rap_enphasebridgefaultcndduration_summary - daily aggregation of skip event duration and event count to focus on skip event issues (polling 1 day)</w:t>
      </w:r>
    </w:p>
    <w:p>
      <w:pPr>
        <w:spacing w:after="0" w:line="1" w:lineRule="exact"/>
        <w:rPr>
          <w:rFonts w:ascii="Courier New" w:cs="Courier New" w:eastAsia="Courier New" w:hAnsi="Courier New"/>
          <w:sz w:val="17"/>
          <w:szCs w:val="17"/>
          <w:color w:val="auto"/>
        </w:rPr>
      </w:pPr>
    </w:p>
    <w:p>
      <w:pPr>
        <w:ind w:left="760" w:hanging="500"/>
        <w:spacing w:after="0" w:line="236" w:lineRule="auto"/>
        <w:tabs>
          <w:tab w:leader="none" w:pos="760"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dev_enp_allalerts_summary - a dump of all Enphase alerts produced by the flexet, sent into a summary index for storage (polling 1 day)</w:t>
      </w:r>
    </w:p>
    <w:p>
      <w:pPr>
        <w:spacing w:after="0" w:line="15" w:lineRule="exact"/>
        <w:rPr>
          <w:rFonts w:ascii="Courier New" w:cs="Courier New" w:eastAsia="Courier New" w:hAnsi="Courier New"/>
          <w:sz w:val="17"/>
          <w:szCs w:val="17"/>
          <w:color w:val="auto"/>
        </w:rPr>
      </w:pPr>
    </w:p>
    <w:p>
      <w:pPr>
        <w:ind w:left="760" w:hanging="500"/>
        <w:spacing w:after="0" w:line="236" w:lineRule="auto"/>
        <w:tabs>
          <w:tab w:leader="none" w:pos="760"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prod_rap_mimecfg_summary - all PVS configuration files for all PVS (use type="Enphase") (polling 1 day)</w:t>
      </w:r>
    </w:p>
    <w:p>
      <w:pPr>
        <w:spacing w:after="0" w:line="15" w:lineRule="exact"/>
        <w:rPr>
          <w:rFonts w:ascii="Courier New" w:cs="Courier New" w:eastAsia="Courier New" w:hAnsi="Courier New"/>
          <w:sz w:val="17"/>
          <w:szCs w:val="17"/>
          <w:color w:val="auto"/>
        </w:rPr>
      </w:pPr>
    </w:p>
    <w:p>
      <w:pPr>
        <w:ind w:left="520" w:right="80" w:hanging="260"/>
        <w:spacing w:after="0" w:line="250" w:lineRule="auto"/>
        <w:tabs>
          <w:tab w:leader="none" w:pos="775"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dev_enp_enphasemipolldaily_summary - daily aggregation of every MI in the Enphase fleet with key daily metrics like daily power, number of reports, and temperature delta (polling 1 day)</w:t>
      </w:r>
    </w:p>
    <w:p>
      <w:pPr>
        <w:spacing w:after="0" w:line="1" w:lineRule="exact"/>
        <w:rPr>
          <w:rFonts w:ascii="Courier New" w:cs="Courier New" w:eastAsia="Courier New" w:hAnsi="Courier New"/>
          <w:sz w:val="17"/>
          <w:szCs w:val="17"/>
          <w:color w:val="auto"/>
        </w:rPr>
      </w:pPr>
    </w:p>
    <w:p>
      <w:pPr>
        <w:ind w:left="760" w:hanging="500"/>
        <w:spacing w:after="0" w:line="236" w:lineRule="auto"/>
        <w:tabs>
          <w:tab w:leader="none" w:pos="760" w:val="left"/>
        </w:tabs>
        <w:numPr>
          <w:ilvl w:val="0"/>
          <w:numId w:val="82"/>
        </w:numPr>
        <w:rPr>
          <w:rFonts w:ascii="Courier New" w:cs="Courier New" w:eastAsia="Courier New" w:hAnsi="Courier New"/>
          <w:sz w:val="17"/>
          <w:szCs w:val="17"/>
          <w:color w:val="auto"/>
        </w:rPr>
      </w:pPr>
      <w:r>
        <w:rPr>
          <w:rFonts w:ascii="Arial" w:cs="Arial" w:eastAsia="Arial" w:hAnsi="Arial"/>
          <w:sz w:val="17"/>
          <w:szCs w:val="17"/>
          <w:color w:val="auto"/>
        </w:rPr>
        <w:t>dev_rap_enphasemiweekly_summary</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Notwithstanding the foregoing, ninety (90) days following the Amendmnet Effective Date the Parties will meet in good faith to determine whether the data fields in the following “Conditions” data set are reasonably required for Enphase to conduct failure analysis in connection with its limited warranty obligations to SunPower’s end user customers. If mutually agreed upon by the Parties in good faith, some or all of the data fields below may be removed from the list of data which SunPower is obligated to provide to Enphase pursuant to Section 5(d) of the Amendment:</w:t>
      </w:r>
    </w:p>
    <w:p>
      <w:pPr>
        <w:spacing w:after="0" w:line="1" w:lineRule="exact"/>
        <w:rPr>
          <w:sz w:val="20"/>
          <w:szCs w:val="20"/>
          <w:color w:val="auto"/>
        </w:rPr>
      </w:pPr>
    </w:p>
    <w:p>
      <w:pPr>
        <w:ind w:left="520" w:right="460" w:hanging="81"/>
        <w:spacing w:after="0" w:line="247" w:lineRule="auto"/>
        <w:rPr>
          <w:sz w:val="20"/>
          <w:szCs w:val="20"/>
          <w:color w:val="auto"/>
        </w:rPr>
      </w:pPr>
      <w:r>
        <w:rPr>
          <w:rFonts w:ascii="Arial" w:cs="Arial" w:eastAsia="Arial" w:hAnsi="Arial"/>
          <w:sz w:val="17"/>
          <w:szCs w:val="17"/>
          <w:color w:val="auto"/>
        </w:rPr>
        <w:t>dev_rap_enphasemiflag_summary - daily aggregation of MI's with questionable behavior along with some key metrics to quantify the daily behavior (polling 1 day)</w:t>
      </w:r>
    </w:p>
    <w:p>
      <w:pPr>
        <w:spacing w:after="0" w:line="1" w:lineRule="exact"/>
        <w:rPr>
          <w:sz w:val="20"/>
          <w:szCs w:val="20"/>
          <w:color w:val="auto"/>
        </w:rPr>
      </w:pPr>
    </w:p>
    <w:p>
      <w:pPr>
        <w:ind w:left="520" w:right="360" w:hanging="65"/>
        <w:spacing w:after="0" w:line="247" w:lineRule="auto"/>
        <w:rPr>
          <w:sz w:val="20"/>
          <w:szCs w:val="20"/>
          <w:color w:val="auto"/>
        </w:rPr>
      </w:pPr>
      <w:r>
        <w:rPr>
          <w:rFonts w:ascii="Arial" w:cs="Arial" w:eastAsia="Arial" w:hAnsi="Arial"/>
          <w:sz w:val="17"/>
          <w:szCs w:val="17"/>
          <w:color w:val="auto"/>
        </w:rPr>
        <w:t>dev_rap_enphasebridgefaultcndduration_summary - daily aggregation of skip event duration and event count to focus on skip event issues (polling 1 day)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dev_enp_allalerts_summary - a dump of all Enphase alerts produced by the flexet, sent into a summary index for storage (polling 1 day)</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prod_rap_mimecfg_summary - all PVS configuration files for all PVS (use type="Enphase") (polling 1 day)</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dev_enp_enphasemipolldaily_summary - daily aggregation of every MI in the Enphase fleet with key daily metrics like daily power, number of</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reports, and temperature delta (polling 1 day)</w:t>
      </w:r>
    </w:p>
    <w:p>
      <w:pPr>
        <w:sectPr>
          <w:pgSz w:w="11900" w:h="16838" w:orient="portrait"/>
          <w:cols w:equalWidth="0" w:num="1">
            <w:col w:w="11220"/>
          </w:cols>
          <w:pgMar w:left="300" w:top="1142" w:right="37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color w:val="auto"/>
        </w:rPr>
        <w:t>dev_rap_enphasemiweekly_summary</w:t>
      </w:r>
    </w:p>
    <w:p>
      <w:pPr>
        <w:sectPr>
          <w:pgSz w:w="11900" w:h="16838" w:orient="portrait"/>
          <w:cols w:equalWidth="0" w:num="1">
            <w:col w:w="9719"/>
          </w:cols>
          <w:pgMar w:left="740" w:top="1141"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b w:val="1"/>
          <w:bCs w:val="1"/>
          <w:color w:val="auto"/>
        </w:rPr>
        <w:t>Attachment D-2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Data Protection Addendum (“DPA”)</w:t>
      </w:r>
    </w:p>
    <w:p>
      <w:pPr>
        <w:spacing w:after="0" w:line="241" w:lineRule="exact"/>
        <w:rPr>
          <w:sz w:val="20"/>
          <w:szCs w:val="20"/>
          <w:color w:val="auto"/>
        </w:rPr>
      </w:pPr>
    </w:p>
    <w:p>
      <w:pPr>
        <w:ind w:left="5240" w:hanging="250"/>
        <w:spacing w:after="0"/>
        <w:tabs>
          <w:tab w:leader="none" w:pos="524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DEFINITIONS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To the extent not otherwise defined in the parties’ MSA or purchase order, terms defined in this DPA shall bear the below meanings and cognate terms shall be construed accordingly.</w:t>
      </w:r>
    </w:p>
    <w:p>
      <w:pPr>
        <w:spacing w:after="0" w:line="273" w:lineRule="exact"/>
        <w:rPr>
          <w:sz w:val="20"/>
          <w:szCs w:val="20"/>
          <w:color w:val="auto"/>
        </w:rPr>
      </w:pPr>
    </w:p>
    <w:p>
      <w:pPr>
        <w:jc w:val="both"/>
        <w:ind w:left="560" w:hanging="304"/>
        <w:spacing w:after="0" w:line="251" w:lineRule="auto"/>
        <w:tabs>
          <w:tab w:leader="none" w:pos="540" w:val="left"/>
        </w:tabs>
        <w:rPr>
          <w:sz w:val="20"/>
          <w:szCs w:val="20"/>
          <w:color w:val="auto"/>
        </w:rPr>
      </w:pPr>
      <w:r>
        <w:rPr>
          <w:rFonts w:ascii="Arial" w:cs="Arial" w:eastAsia="Arial" w:hAnsi="Arial"/>
          <w:sz w:val="13"/>
          <w:szCs w:val="13"/>
          <w:color w:val="auto"/>
        </w:rPr>
        <w:t>1.1.</w:t>
        <w:tab/>
        <w:t>“</w:t>
      </w:r>
      <w:r>
        <w:rPr>
          <w:rFonts w:ascii="Arial" w:cs="Arial" w:eastAsia="Arial" w:hAnsi="Arial"/>
          <w:sz w:val="13"/>
          <w:szCs w:val="13"/>
          <w:b w:val="1"/>
          <w:bCs w:val="1"/>
          <w:color w:val="auto"/>
        </w:rPr>
        <w:t>Applicable Regulation</w:t>
      </w:r>
      <w:r>
        <w:rPr>
          <w:rFonts w:ascii="Arial" w:cs="Arial" w:eastAsia="Arial" w:hAnsi="Arial"/>
          <w:sz w:val="13"/>
          <w:szCs w:val="13"/>
          <w:color w:val="auto"/>
        </w:rPr>
        <w:t xml:space="preserve">” means, to the extent applicable, all regulations and applicable industry standards in force on data protection and data privacy relating to that Personal Information for each relevant jurisdiction where Supplier provides services to SunPower, e.g., federal laws, state laws (including, if applicable, the California Consumer Privacy Act (“CCPA”)), Gramm-Leach-Bliley Act (“GLBA”), </w:t>
      </w:r>
      <w:r>
        <w:rPr>
          <w:rFonts w:ascii="Arial" w:cs="Arial" w:eastAsia="Arial" w:hAnsi="Arial"/>
          <w:sz w:val="13"/>
          <w:szCs w:val="13"/>
          <w:color w:val="333333"/>
        </w:rPr>
        <w:t>California's Social Security Number Confidentiality Law, Cal. Civ. §1798.85, Nevada SB 220, New York’s</w:t>
      </w:r>
      <w:r>
        <w:rPr>
          <w:rFonts w:ascii="Arial" w:cs="Arial" w:eastAsia="Arial" w:hAnsi="Arial"/>
          <w:sz w:val="13"/>
          <w:szCs w:val="13"/>
          <w:color w:val="auto"/>
        </w:rPr>
        <w:t xml:space="preserve"> Stop Hacks and Improve Electronic Data Security Act (“Shield Act”), and Payment Card Industry Data Security Standard (“PCI-DSS”)).</w:t>
      </w:r>
    </w:p>
    <w:p>
      <w:pPr>
        <w:spacing w:after="0" w:line="54" w:lineRule="exact"/>
        <w:rPr>
          <w:sz w:val="20"/>
          <w:szCs w:val="20"/>
          <w:color w:val="auto"/>
        </w:rPr>
      </w:pPr>
    </w:p>
    <w:p>
      <w:pPr>
        <w:jc w:val="both"/>
        <w:ind w:left="560" w:hanging="304"/>
        <w:spacing w:after="0" w:line="257" w:lineRule="auto"/>
        <w:tabs>
          <w:tab w:leader="none" w:pos="540" w:val="left"/>
        </w:tabs>
        <w:rPr>
          <w:sz w:val="20"/>
          <w:szCs w:val="20"/>
          <w:color w:val="auto"/>
        </w:rPr>
      </w:pPr>
      <w:r>
        <w:rPr>
          <w:rFonts w:ascii="Arial" w:cs="Arial" w:eastAsia="Arial" w:hAnsi="Arial"/>
          <w:sz w:val="13"/>
          <w:szCs w:val="13"/>
          <w:color w:val="auto"/>
        </w:rPr>
        <w:t>1.2.</w:t>
        <w:tab/>
        <w:t>“</w:t>
      </w:r>
      <w:r>
        <w:rPr>
          <w:rFonts w:ascii="Arial" w:cs="Arial" w:eastAsia="Arial" w:hAnsi="Arial"/>
          <w:sz w:val="13"/>
          <w:szCs w:val="13"/>
          <w:b w:val="1"/>
          <w:bCs w:val="1"/>
          <w:color w:val="auto"/>
        </w:rPr>
        <w:t>Affiliate</w:t>
      </w:r>
      <w:r>
        <w:rPr>
          <w:rFonts w:ascii="Arial" w:cs="Arial" w:eastAsia="Arial" w:hAnsi="Arial"/>
          <w:sz w:val="13"/>
          <w:szCs w:val="13"/>
          <w:color w:val="auto"/>
        </w:rPr>
        <w:t>” for the purpose of data processing means an entity that owns or controls, is owned or controlled by, or is or under common control or ownership with another entity (control is defined as the possession, directly or indirectly, of the power to direct or cause the direction of the management and policies of an entity, whether through ownership of voting securities, by contract or otherwise).</w:t>
      </w:r>
    </w:p>
    <w:p>
      <w:pPr>
        <w:spacing w:after="0" w:line="50"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Consumer</w:t>
      </w:r>
      <w:r>
        <w:rPr>
          <w:rFonts w:ascii="Arial" w:cs="Arial" w:eastAsia="Arial" w:hAnsi="Arial"/>
          <w:sz w:val="12"/>
          <w:szCs w:val="12"/>
          <w:color w:val="auto"/>
        </w:rPr>
        <w:t>” means a natural person.</w:t>
      </w:r>
    </w:p>
    <w:p>
      <w:pPr>
        <w:spacing w:after="0" w:line="84"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1.4.</w:t>
        <w:tab/>
        <w:t>“</w:t>
      </w:r>
      <w:r>
        <w:rPr>
          <w:rFonts w:ascii="Arial" w:cs="Arial" w:eastAsia="Arial" w:hAnsi="Arial"/>
          <w:sz w:val="13"/>
          <w:szCs w:val="13"/>
          <w:b w:val="1"/>
          <w:bCs w:val="1"/>
          <w:color w:val="auto"/>
        </w:rPr>
        <w:t>Business</w:t>
      </w:r>
      <w:r>
        <w:rPr>
          <w:rFonts w:ascii="Arial" w:cs="Arial" w:eastAsia="Arial" w:hAnsi="Arial"/>
          <w:sz w:val="13"/>
          <w:szCs w:val="13"/>
          <w:color w:val="auto"/>
        </w:rPr>
        <w:t>” means a legal entity that is organized or operated for the profit or financial benefit of its shareholders or other owners that collects Consumers’ Personal Information, or on behalf of whom such information is collected and that alone, or jointly with others, determines the purposes and means of the processing of Consumers’ Personal Information.</w:t>
      </w:r>
    </w:p>
    <w:p>
      <w:pPr>
        <w:spacing w:after="0" w:line="38" w:lineRule="exact"/>
        <w:rPr>
          <w:sz w:val="20"/>
          <w:szCs w:val="20"/>
          <w:color w:val="auto"/>
        </w:rPr>
      </w:pPr>
    </w:p>
    <w:p>
      <w:pPr>
        <w:jc w:val="both"/>
        <w:ind w:left="560" w:hanging="304"/>
        <w:spacing w:after="0" w:line="257" w:lineRule="auto"/>
        <w:tabs>
          <w:tab w:leader="none" w:pos="540" w:val="left"/>
        </w:tabs>
        <w:rPr>
          <w:sz w:val="20"/>
          <w:szCs w:val="20"/>
          <w:color w:val="auto"/>
        </w:rPr>
      </w:pPr>
      <w:r>
        <w:rPr>
          <w:rFonts w:ascii="Arial" w:cs="Arial" w:eastAsia="Arial" w:hAnsi="Arial"/>
          <w:sz w:val="13"/>
          <w:szCs w:val="13"/>
          <w:color w:val="auto"/>
        </w:rPr>
        <w:t>1.5.</w:t>
        <w:tab/>
        <w:t>“</w:t>
      </w:r>
      <w:r>
        <w:rPr>
          <w:rFonts w:ascii="Arial" w:cs="Arial" w:eastAsia="Arial" w:hAnsi="Arial"/>
          <w:sz w:val="13"/>
          <w:szCs w:val="13"/>
          <w:b w:val="1"/>
          <w:bCs w:val="1"/>
          <w:color w:val="auto"/>
        </w:rPr>
        <w:t>Business Purpose</w:t>
      </w:r>
      <w:r>
        <w:rPr>
          <w:rFonts w:ascii="Arial" w:cs="Arial" w:eastAsia="Arial" w:hAnsi="Arial"/>
          <w:sz w:val="13"/>
          <w:szCs w:val="13"/>
          <w:color w:val="auto"/>
        </w:rPr>
        <w:t>” means the use of Personal Information for the Business’s or service provider’s operational purposes, or other notified purposes, provided that the use of Personal Information is reasonably necessary and proportionate to achieve the operational purpose for which Personal Information was collected or processed or for another operational purpose that is compatible with the context in which Personal Information was collected.</w:t>
      </w:r>
    </w:p>
    <w:p>
      <w:pPr>
        <w:spacing w:after="0" w:line="50"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Collects</w:t>
      </w:r>
      <w:r>
        <w:rPr>
          <w:rFonts w:ascii="Arial" w:cs="Arial" w:eastAsia="Arial" w:hAnsi="Arial"/>
          <w:sz w:val="12"/>
          <w:szCs w:val="12"/>
          <w:color w:val="auto"/>
        </w:rPr>
        <w:t>,” “</w:t>
      </w:r>
      <w:r>
        <w:rPr>
          <w:rFonts w:ascii="Arial" w:cs="Arial" w:eastAsia="Arial" w:hAnsi="Arial"/>
          <w:sz w:val="12"/>
          <w:szCs w:val="12"/>
          <w:b w:val="1"/>
          <w:bCs w:val="1"/>
          <w:color w:val="auto"/>
        </w:rPr>
        <w:t>collected</w:t>
      </w:r>
      <w:r>
        <w:rPr>
          <w:rFonts w:ascii="Arial" w:cs="Arial" w:eastAsia="Arial" w:hAnsi="Arial"/>
          <w:sz w:val="12"/>
          <w:szCs w:val="12"/>
          <w:color w:val="auto"/>
        </w:rPr>
        <w:t>,” or “</w:t>
      </w:r>
      <w:r>
        <w:rPr>
          <w:rFonts w:ascii="Arial" w:cs="Arial" w:eastAsia="Arial" w:hAnsi="Arial"/>
          <w:sz w:val="12"/>
          <w:szCs w:val="12"/>
          <w:b w:val="1"/>
          <w:bCs w:val="1"/>
          <w:color w:val="auto"/>
        </w:rPr>
        <w:t>collection</w:t>
      </w:r>
      <w:r>
        <w:rPr>
          <w:rFonts w:ascii="Arial" w:cs="Arial" w:eastAsia="Arial" w:hAnsi="Arial"/>
          <w:sz w:val="12"/>
          <w:szCs w:val="12"/>
          <w:color w:val="auto"/>
        </w:rPr>
        <w:t>” means buying, renting, gathering, obtaining, receiving, or accessing any Personal Information pertaining to a Consumer by any means.</w:t>
      </w:r>
    </w:p>
    <w:p>
      <w:pPr>
        <w:spacing w:after="0" w:line="84"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1.7.</w:t>
        <w:tab/>
        <w:t>“</w:t>
      </w:r>
      <w:r>
        <w:rPr>
          <w:rFonts w:ascii="Arial" w:cs="Arial" w:eastAsia="Arial" w:hAnsi="Arial"/>
          <w:sz w:val="13"/>
          <w:szCs w:val="13"/>
          <w:b w:val="1"/>
          <w:bCs w:val="1"/>
          <w:color w:val="auto"/>
        </w:rPr>
        <w:t>Commercial Purposes</w:t>
      </w:r>
      <w:r>
        <w:rPr>
          <w:rFonts w:ascii="Arial" w:cs="Arial" w:eastAsia="Arial" w:hAnsi="Arial"/>
          <w:sz w:val="13"/>
          <w:szCs w:val="13"/>
          <w:color w:val="auto"/>
        </w:rPr>
        <w:t>” means to advance a person’s commercial or economic interests, such as by inducing another person to buy, rent, lease, join, subscribe to, provide, or exchange products, goods, property, information, or services, or enabling or effecting, directly or indirectly, a commercial transaction.</w:t>
      </w:r>
    </w:p>
    <w:p>
      <w:pPr>
        <w:spacing w:after="0" w:line="38"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1.8.</w:t>
        <w:tab/>
        <w:t>“</w:t>
      </w:r>
      <w:r>
        <w:rPr>
          <w:rFonts w:ascii="Arial" w:cs="Arial" w:eastAsia="Arial" w:hAnsi="Arial"/>
          <w:sz w:val="13"/>
          <w:szCs w:val="13"/>
          <w:b w:val="1"/>
          <w:bCs w:val="1"/>
          <w:color w:val="auto"/>
        </w:rPr>
        <w:t>Environment</w:t>
      </w:r>
      <w:r>
        <w:rPr>
          <w:rFonts w:ascii="Arial" w:cs="Arial" w:eastAsia="Arial" w:hAnsi="Arial"/>
          <w:sz w:val="13"/>
          <w:szCs w:val="13"/>
          <w:color w:val="auto"/>
        </w:rPr>
        <w:t>” means all equipment, work stations, servers, cloud environments, mobile devices, networks, storage devices, applications and other systems where SunPower’s Personal Information may be transmitted, Processed, or stored.</w:t>
      </w:r>
    </w:p>
    <w:p>
      <w:pPr>
        <w:spacing w:after="0" w:line="38"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1.9.</w:t>
        <w:tab/>
        <w:t>“</w:t>
      </w:r>
      <w:r>
        <w:rPr>
          <w:rFonts w:ascii="Arial" w:cs="Arial" w:eastAsia="Arial" w:hAnsi="Arial"/>
          <w:sz w:val="13"/>
          <w:szCs w:val="13"/>
          <w:b w:val="1"/>
          <w:bCs w:val="1"/>
          <w:color w:val="auto"/>
        </w:rPr>
        <w:t>Personal Information</w:t>
      </w:r>
      <w:r>
        <w:rPr>
          <w:rFonts w:ascii="Arial" w:cs="Arial" w:eastAsia="Arial" w:hAnsi="Arial"/>
          <w:sz w:val="13"/>
          <w:szCs w:val="13"/>
          <w:color w:val="auto"/>
        </w:rPr>
        <w:t>” shall have the meaning ascribed to it by the Applicable Regulations. For purposes of this DPA, Personal Information is limited to the Personal Information provided to Supplier by SunPower.</w:t>
      </w:r>
    </w:p>
    <w:p>
      <w:pPr>
        <w:spacing w:after="0" w:line="38"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1.10.</w:t>
      </w:r>
      <w:r>
        <w:rPr>
          <w:sz w:val="20"/>
          <w:szCs w:val="20"/>
          <w:color w:val="auto"/>
        </w:rPr>
        <w:tab/>
      </w:r>
      <w:r>
        <w:rPr>
          <w:rFonts w:ascii="Arial" w:cs="Arial" w:eastAsia="Arial" w:hAnsi="Arial"/>
          <w:sz w:val="13"/>
          <w:szCs w:val="13"/>
          <w:b w:val="1"/>
          <w:bCs w:val="1"/>
          <w:color w:val="auto"/>
        </w:rPr>
        <w:t>“Process,” “Processing,</w:t>
      </w:r>
      <w:r>
        <w:rPr>
          <w:rFonts w:ascii="Arial" w:cs="Arial" w:eastAsia="Arial" w:hAnsi="Arial"/>
          <w:sz w:val="13"/>
          <w:szCs w:val="13"/>
          <w:color w:val="auto"/>
        </w:rPr>
        <w:t>” and</w:t>
      </w:r>
      <w:r>
        <w:rPr>
          <w:rFonts w:ascii="Arial" w:cs="Arial" w:eastAsia="Arial" w:hAnsi="Arial"/>
          <w:sz w:val="13"/>
          <w:szCs w:val="13"/>
          <w:b w:val="1"/>
          <w:bCs w:val="1"/>
          <w:color w:val="auto"/>
        </w:rPr>
        <w:t xml:space="preserve"> “Processes” </w:t>
      </w:r>
      <w:r>
        <w:rPr>
          <w:rFonts w:ascii="Arial" w:cs="Arial" w:eastAsia="Arial" w:hAnsi="Arial"/>
          <w:sz w:val="13"/>
          <w:szCs w:val="13"/>
          <w:color w:val="auto"/>
        </w:rPr>
        <w:t>refer to any operation or set of operations that are performed on Personal Information or on sets of Personal Information, whether or not by</w:t>
      </w:r>
      <w:r>
        <w:rPr>
          <w:rFonts w:ascii="Arial" w:cs="Arial" w:eastAsia="Arial" w:hAnsi="Arial"/>
          <w:sz w:val="13"/>
          <w:szCs w:val="13"/>
          <w:b w:val="1"/>
          <w:bCs w:val="1"/>
          <w:color w:val="auto"/>
        </w:rPr>
        <w:t xml:space="preserve"> </w:t>
      </w:r>
      <w:r>
        <w:rPr>
          <w:rFonts w:ascii="Arial" w:cs="Arial" w:eastAsia="Arial" w:hAnsi="Arial"/>
          <w:sz w:val="13"/>
          <w:szCs w:val="13"/>
          <w:color w:val="auto"/>
        </w:rPr>
        <w:t>automated means.</w:t>
      </w:r>
    </w:p>
    <w:p>
      <w:pPr>
        <w:spacing w:after="0" w:line="38"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1.11.</w:t>
        <w:tab/>
        <w:t>“</w:t>
      </w:r>
      <w:r>
        <w:rPr>
          <w:rFonts w:ascii="Arial" w:cs="Arial" w:eastAsia="Arial" w:hAnsi="Arial"/>
          <w:sz w:val="13"/>
          <w:szCs w:val="13"/>
          <w:b w:val="1"/>
          <w:bCs w:val="1"/>
          <w:color w:val="auto"/>
        </w:rPr>
        <w:t>Sell</w:t>
      </w:r>
      <w:r>
        <w:rPr>
          <w:rFonts w:ascii="Arial" w:cs="Arial" w:eastAsia="Arial" w:hAnsi="Arial"/>
          <w:sz w:val="13"/>
          <w:szCs w:val="13"/>
          <w:color w:val="auto"/>
        </w:rPr>
        <w:t>” means selling, renting, licensing to others, releasing, disclosing, disseminating, making available, transferring, or otherwise communicating orally, in writing, or by electronic or other means, a Consumer’s Personal Information by the Business to another Business or a third party for monetary or other valuable consideration.</w:t>
      </w:r>
    </w:p>
    <w:p>
      <w:pPr>
        <w:spacing w:after="0" w:line="38"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1.12.</w:t>
        <w:tab/>
        <w:t>“</w:t>
      </w:r>
      <w:r>
        <w:rPr>
          <w:rFonts w:ascii="Arial" w:cs="Arial" w:eastAsia="Arial" w:hAnsi="Arial"/>
          <w:sz w:val="13"/>
          <w:szCs w:val="13"/>
          <w:b w:val="1"/>
          <w:bCs w:val="1"/>
          <w:color w:val="auto"/>
        </w:rPr>
        <w:t>Service Provider</w:t>
      </w:r>
      <w:r>
        <w:rPr>
          <w:rFonts w:ascii="Arial" w:cs="Arial" w:eastAsia="Arial" w:hAnsi="Arial"/>
          <w:sz w:val="13"/>
          <w:szCs w:val="13"/>
          <w:color w:val="auto"/>
        </w:rPr>
        <w:t>” means a legal entity that is organized or operated for the profit or financial benefit of its shareholders or other owners that Processes information on behalf of a Business and to which the Business discloses a Consumer’s Personal Information for a Business Purpose.</w:t>
      </w:r>
    </w:p>
    <w:p>
      <w:pPr>
        <w:spacing w:after="0" w:line="38" w:lineRule="exact"/>
        <w:rPr>
          <w:sz w:val="20"/>
          <w:szCs w:val="20"/>
          <w:color w:val="auto"/>
        </w:rPr>
      </w:pPr>
    </w:p>
    <w:p>
      <w:pPr>
        <w:jc w:val="both"/>
        <w:ind w:left="560" w:hanging="304"/>
        <w:spacing w:after="0" w:line="276" w:lineRule="auto"/>
        <w:tabs>
          <w:tab w:leader="none" w:pos="540" w:val="left"/>
        </w:tabs>
        <w:rPr>
          <w:sz w:val="20"/>
          <w:szCs w:val="20"/>
          <w:color w:val="auto"/>
        </w:rPr>
      </w:pPr>
      <w:r>
        <w:rPr>
          <w:rFonts w:ascii="Arial" w:cs="Arial" w:eastAsia="Arial" w:hAnsi="Arial"/>
          <w:sz w:val="13"/>
          <w:szCs w:val="13"/>
          <w:color w:val="auto"/>
        </w:rPr>
        <w:t>1.13.</w:t>
        <w:tab/>
        <w:t>“</w:t>
      </w:r>
      <w:r>
        <w:rPr>
          <w:rFonts w:ascii="Arial" w:cs="Arial" w:eastAsia="Arial" w:hAnsi="Arial"/>
          <w:sz w:val="13"/>
          <w:szCs w:val="13"/>
          <w:b w:val="1"/>
          <w:bCs w:val="1"/>
          <w:color w:val="auto"/>
        </w:rPr>
        <w:t>Services</w:t>
      </w:r>
      <w:r>
        <w:rPr>
          <w:rFonts w:ascii="Arial" w:cs="Arial" w:eastAsia="Arial" w:hAnsi="Arial"/>
          <w:sz w:val="13"/>
          <w:szCs w:val="13"/>
          <w:color w:val="auto"/>
        </w:rPr>
        <w:t>” means the services or other activities to be supplied to or carried out by or on behalf of Supplier for SunPower pursuant to the parties’ MSA or purchase order, including providing technical support, root cause or performance analysis, improving Supplier’s Products, maintaining records, complying with legal obligations,</w:t>
      </w:r>
    </w:p>
    <w:p>
      <w:pPr>
        <w:sectPr>
          <w:pgSz w:w="11900" w:h="16838" w:orient="portrait"/>
          <w:cols w:equalWidth="0" w:num="1">
            <w:col w:w="11280"/>
          </w:cols>
          <w:pgMar w:left="300" w:top="1139" w:right="319" w:bottom="1440" w:gutter="0" w:footer="0" w:header="0"/>
        </w:sectPr>
      </w:pPr>
    </w:p>
    <w:bookmarkStart w:id="158" w:name="page159"/>
    <w:bookmarkEnd w:id="158"/>
    <w:p>
      <w:pPr>
        <w:ind w:left="300"/>
        <w:spacing w:after="0"/>
        <w:rPr>
          <w:sz w:val="20"/>
          <w:szCs w:val="20"/>
          <w:color w:val="auto"/>
        </w:rPr>
      </w:pPr>
      <w:r>
        <w:rPr>
          <w:rFonts w:ascii="Arial" w:cs="Arial" w:eastAsia="Arial" w:hAnsi="Arial"/>
          <w:sz w:val="13"/>
          <w:szCs w:val="13"/>
          <w:color w:val="auto"/>
        </w:rPr>
        <w:t>exercising rights and obligations with respect to the MSA, and other related services in connection with Supplier’s warranty obligations.</w:t>
      </w:r>
    </w:p>
    <w:p>
      <w:pPr>
        <w:spacing w:after="0" w:line="82" w:lineRule="exact"/>
        <w:rPr>
          <w:sz w:val="20"/>
          <w:szCs w:val="20"/>
          <w:color w:val="auto"/>
        </w:rPr>
      </w:pPr>
    </w:p>
    <w:p>
      <w:pPr>
        <w:ind w:left="300" w:hanging="304"/>
        <w:spacing w:after="0" w:line="276" w:lineRule="auto"/>
        <w:tabs>
          <w:tab w:leader="none" w:pos="280" w:val="left"/>
        </w:tabs>
        <w:rPr>
          <w:sz w:val="20"/>
          <w:szCs w:val="20"/>
          <w:color w:val="auto"/>
        </w:rPr>
      </w:pPr>
      <w:r>
        <w:rPr>
          <w:rFonts w:ascii="Arial" w:cs="Arial" w:eastAsia="Arial" w:hAnsi="Arial"/>
          <w:sz w:val="13"/>
          <w:szCs w:val="13"/>
          <w:color w:val="auto"/>
        </w:rPr>
        <w:t>1.14.</w:t>
        <w:tab/>
        <w:t>“</w:t>
      </w:r>
      <w:r>
        <w:rPr>
          <w:rFonts w:ascii="Arial" w:cs="Arial" w:eastAsia="Arial" w:hAnsi="Arial"/>
          <w:sz w:val="13"/>
          <w:szCs w:val="13"/>
          <w:b w:val="1"/>
          <w:bCs w:val="1"/>
          <w:color w:val="auto"/>
        </w:rPr>
        <w:t>Subcontractor</w:t>
      </w:r>
      <w:r>
        <w:rPr>
          <w:rFonts w:ascii="Arial" w:cs="Arial" w:eastAsia="Arial" w:hAnsi="Arial"/>
          <w:sz w:val="13"/>
          <w:szCs w:val="13"/>
          <w:color w:val="auto"/>
        </w:rPr>
        <w:t>” means a person (but excluding any employee of Supplier) engaged or appointed by Supplier to receive or Process Personal Information on behalf of SunPower in connection with the MSA or purchase order.</w:t>
      </w:r>
    </w:p>
    <w:p>
      <w:pPr>
        <w:spacing w:after="0" w:line="3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1.15.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Supplier</w:t>
      </w:r>
      <w:r>
        <w:rPr>
          <w:rFonts w:ascii="Arial" w:cs="Arial" w:eastAsia="Arial" w:hAnsi="Arial"/>
          <w:sz w:val="12"/>
          <w:szCs w:val="12"/>
          <w:color w:val="auto"/>
        </w:rPr>
        <w:t>” means Enphase.</w:t>
      </w:r>
    </w:p>
    <w:p>
      <w:pPr>
        <w:spacing w:after="0" w:line="8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1.16.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Security Breach</w:t>
      </w:r>
      <w:r>
        <w:rPr>
          <w:rFonts w:ascii="Arial" w:cs="Arial" w:eastAsia="Arial" w:hAnsi="Arial"/>
          <w:sz w:val="12"/>
          <w:szCs w:val="12"/>
          <w:color w:val="auto"/>
        </w:rPr>
        <w:t>” means a breach of security leading to the accidental or unlawful unauthorised disclosure of, or access to, Personal Information.</w:t>
      </w:r>
    </w:p>
    <w:p>
      <w:pPr>
        <w:spacing w:after="0" w:line="84" w:lineRule="exact"/>
        <w:rPr>
          <w:sz w:val="20"/>
          <w:szCs w:val="20"/>
          <w:color w:val="auto"/>
        </w:rPr>
      </w:pPr>
    </w:p>
    <w:p>
      <w:pPr>
        <w:ind w:left="5000" w:hanging="236"/>
        <w:spacing w:after="0"/>
        <w:tabs>
          <w:tab w:leader="none" w:pos="500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AUTHORITY</w:t>
      </w:r>
    </w:p>
    <w:p>
      <w:pPr>
        <w:spacing w:after="0" w:line="86" w:lineRule="exact"/>
        <w:rPr>
          <w:sz w:val="20"/>
          <w:szCs w:val="20"/>
          <w:color w:val="auto"/>
        </w:rPr>
      </w:pPr>
    </w:p>
    <w:p>
      <w:pPr>
        <w:ind w:left="300" w:hanging="304"/>
        <w:spacing w:after="0" w:line="273" w:lineRule="auto"/>
        <w:tabs>
          <w:tab w:leader="none" w:pos="280" w:val="left"/>
        </w:tabs>
        <w:rPr>
          <w:sz w:val="20"/>
          <w:szCs w:val="20"/>
          <w:color w:val="auto"/>
        </w:rPr>
      </w:pPr>
      <w:r>
        <w:rPr>
          <w:rFonts w:ascii="Arial" w:cs="Arial" w:eastAsia="Arial" w:hAnsi="Arial"/>
          <w:sz w:val="13"/>
          <w:szCs w:val="13"/>
          <w:color w:val="auto"/>
        </w:rPr>
        <w:t>2.1.</w:t>
        <w:tab/>
        <w:t>Supplier warrants and represents that it has the requisite authority to enter into this DPA on behalf of any of its Affiliates that will Process Personal Information as an agent of Supplier and on behalf of SunPower.</w:t>
      </w:r>
    </w:p>
    <w:p>
      <w:pPr>
        <w:spacing w:after="0" w:line="42" w:lineRule="exact"/>
        <w:rPr>
          <w:sz w:val="20"/>
          <w:szCs w:val="20"/>
          <w:color w:val="auto"/>
        </w:rPr>
      </w:pPr>
    </w:p>
    <w:p>
      <w:pPr>
        <w:ind w:left="300" w:hanging="304"/>
        <w:spacing w:after="0" w:line="273" w:lineRule="auto"/>
        <w:tabs>
          <w:tab w:leader="none" w:pos="280" w:val="left"/>
        </w:tabs>
        <w:rPr>
          <w:sz w:val="20"/>
          <w:szCs w:val="20"/>
          <w:color w:val="auto"/>
        </w:rPr>
      </w:pPr>
      <w:r>
        <w:rPr>
          <w:rFonts w:ascii="Arial" w:cs="Arial" w:eastAsia="Arial" w:hAnsi="Arial"/>
          <w:sz w:val="13"/>
          <w:szCs w:val="13"/>
          <w:color w:val="auto"/>
        </w:rPr>
        <w:t>2.2.</w:t>
        <w:tab/>
        <w:t>SunPower warrants and represents that (i) it has the requisite authority to enter into this DPA on beahf of any of its Affiliates and that it will provide the Data to Supplier for the purposes set forth herein; and (ii) it shall at all times comply with Applicable Regulations in the provision of Personal Information to Supplier.</w:t>
      </w:r>
    </w:p>
    <w:p>
      <w:pPr>
        <w:spacing w:after="0" w:line="40" w:lineRule="exact"/>
        <w:rPr>
          <w:sz w:val="20"/>
          <w:szCs w:val="20"/>
          <w:color w:val="auto"/>
        </w:rPr>
      </w:pPr>
    </w:p>
    <w:p>
      <w:pPr>
        <w:ind w:left="4780" w:hanging="257"/>
        <w:spacing w:after="0"/>
        <w:tabs>
          <w:tab w:leader="none" w:pos="478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DATA PROCESSING</w:t>
      </w:r>
    </w:p>
    <w:p>
      <w:pPr>
        <w:spacing w:after="0" w:line="86"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The parties acknowledge and agree that Supplier is a Service Provider providing Services to and Processing Personal Information on behalf of SunPower, a Business.</w:t>
      </w:r>
    </w:p>
    <w:p>
      <w:pPr>
        <w:spacing w:after="0" w:line="84"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color w:val="auto"/>
        </w:rPr>
        <w:t>Supplier shall at all times comply with Applicable Regulations in the Processing of the Personal Information.</w:t>
      </w:r>
    </w:p>
    <w:p>
      <w:pPr>
        <w:spacing w:after="0" w:line="84"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color w:val="auto"/>
        </w:rPr>
        <w:t>When Supplier Processes Personal Information on behalf of SunPower, Supplier shall not:</w:t>
      </w:r>
    </w:p>
    <w:p>
      <w:pPr>
        <w:spacing w:after="0" w:line="84" w:lineRule="exact"/>
        <w:rPr>
          <w:sz w:val="20"/>
          <w:szCs w:val="20"/>
          <w:color w:val="auto"/>
        </w:rPr>
      </w:pPr>
    </w:p>
    <w:p>
      <w:pPr>
        <w:ind w:left="620" w:hanging="355"/>
        <w:spacing w:after="0" w:line="273" w:lineRule="auto"/>
        <w:tabs>
          <w:tab w:leader="none" w:pos="600" w:val="left"/>
        </w:tabs>
        <w:rPr>
          <w:sz w:val="20"/>
          <w:szCs w:val="20"/>
          <w:color w:val="auto"/>
        </w:rPr>
      </w:pPr>
      <w:r>
        <w:rPr>
          <w:rFonts w:ascii="Arial" w:cs="Arial" w:eastAsia="Arial" w:hAnsi="Arial"/>
          <w:sz w:val="13"/>
          <w:szCs w:val="13"/>
          <w:color w:val="auto"/>
        </w:rPr>
        <w:t>3.3.1.</w:t>
        <w:tab/>
        <w:t>retain, use, or disclose Personal Information it receives, collects or Processes in connection with the Services for any purpose other than for performing the Services in the MSA and in accordance with the terms of this DPA, the parties’ MSA and SunPower’s instruction;</w:t>
      </w:r>
    </w:p>
    <w:p>
      <w:pPr>
        <w:spacing w:after="0" w:line="42"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3"/>
          <w:szCs w:val="13"/>
          <w:color w:val="auto"/>
        </w:rPr>
        <w:t>3.3.2.</w:t>
      </w:r>
      <w:r>
        <w:rPr>
          <w:sz w:val="20"/>
          <w:szCs w:val="20"/>
          <w:color w:val="auto"/>
        </w:rPr>
        <w:tab/>
      </w:r>
      <w:r>
        <w:rPr>
          <w:rFonts w:ascii="Arial" w:cs="Arial" w:eastAsia="Arial" w:hAnsi="Arial"/>
          <w:sz w:val="12"/>
          <w:szCs w:val="12"/>
          <w:color w:val="auto"/>
        </w:rPr>
        <w:t>use or Process Personal Information for Commercial Purposes or direct marketing;</w:t>
      </w:r>
    </w:p>
    <w:p>
      <w:pPr>
        <w:spacing w:after="0" w:line="84"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3"/>
          <w:szCs w:val="13"/>
          <w:color w:val="auto"/>
        </w:rPr>
        <w:t>3.3.3.</w:t>
      </w:r>
      <w:r>
        <w:rPr>
          <w:sz w:val="20"/>
          <w:szCs w:val="20"/>
          <w:color w:val="auto"/>
        </w:rPr>
        <w:tab/>
      </w:r>
      <w:r>
        <w:rPr>
          <w:rFonts w:ascii="Arial" w:cs="Arial" w:eastAsia="Arial" w:hAnsi="Arial"/>
          <w:sz w:val="12"/>
          <w:szCs w:val="12"/>
          <w:color w:val="auto"/>
        </w:rPr>
        <w:t>Sell or promote the sale of Personal Information; and</w:t>
      </w:r>
    </w:p>
    <w:p>
      <w:pPr>
        <w:spacing w:after="0" w:line="84"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3"/>
          <w:szCs w:val="13"/>
          <w:color w:val="auto"/>
        </w:rPr>
        <w:t>3.3.4.</w:t>
      </w:r>
      <w:r>
        <w:rPr>
          <w:sz w:val="20"/>
          <w:szCs w:val="20"/>
          <w:color w:val="auto"/>
        </w:rPr>
        <w:tab/>
      </w:r>
      <w:r>
        <w:rPr>
          <w:rFonts w:ascii="Arial" w:cs="Arial" w:eastAsia="Arial" w:hAnsi="Arial"/>
          <w:sz w:val="12"/>
          <w:szCs w:val="12"/>
          <w:color w:val="auto"/>
        </w:rPr>
        <w:t>disclose or transfer Personal Information to unauthorized personnel or parties.</w:t>
      </w:r>
    </w:p>
    <w:p>
      <w:pPr>
        <w:spacing w:after="0" w:line="84" w:lineRule="exact"/>
        <w:rPr>
          <w:sz w:val="20"/>
          <w:szCs w:val="20"/>
          <w:color w:val="auto"/>
        </w:rPr>
      </w:pPr>
    </w:p>
    <w:p>
      <w:pPr>
        <w:ind w:left="300" w:hanging="304"/>
        <w:spacing w:after="0" w:line="273" w:lineRule="auto"/>
        <w:tabs>
          <w:tab w:leader="none" w:pos="280" w:val="left"/>
        </w:tabs>
        <w:rPr>
          <w:sz w:val="20"/>
          <w:szCs w:val="20"/>
          <w:color w:val="auto"/>
        </w:rPr>
      </w:pPr>
      <w:r>
        <w:rPr>
          <w:rFonts w:ascii="Arial" w:cs="Arial" w:eastAsia="Arial" w:hAnsi="Arial"/>
          <w:sz w:val="13"/>
          <w:szCs w:val="13"/>
          <w:color w:val="auto"/>
        </w:rPr>
        <w:t>3.4.</w:t>
        <w:tab/>
        <w:t>Supplier shall without undue delay notify SunPower in writing if it determines or reasonably suspects its inability to comply with its obligations set forth in Section 3.3 above. Upon any such notice to SunPower, Supplier shall promptly cease all use of Personal Information hereunder, but its obligations regarding safeguarding information shall remain in effect.</w:t>
      </w:r>
    </w:p>
    <w:p>
      <w:pPr>
        <w:spacing w:after="0" w:line="42"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2"/>
          <w:szCs w:val="12"/>
          <w:color w:val="auto"/>
        </w:rPr>
        <w:t>Supplier shall be entitled to (i) create and derive from Processing the Personal Information anonymized and/or aggregated data that does not identify SunPower or any natural person, and</w:t>
      </w:r>
    </w:p>
    <w:p>
      <w:pPr>
        <w:spacing w:after="0" w:line="15" w:lineRule="exact"/>
        <w:rPr>
          <w:sz w:val="20"/>
          <w:szCs w:val="20"/>
          <w:color w:val="auto"/>
        </w:rPr>
      </w:pPr>
    </w:p>
    <w:p>
      <w:pPr>
        <w:ind w:left="480" w:hanging="175"/>
        <w:spacing w:after="0"/>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use, publicize or share with third parties such data to improve Supplier’s products and services and for other lawful business purposes.</w:t>
      </w:r>
    </w:p>
    <w:p>
      <w:pPr>
        <w:spacing w:after="0" w:line="65" w:lineRule="exact"/>
        <w:rPr>
          <w:rFonts w:ascii="Arial" w:cs="Arial" w:eastAsia="Arial" w:hAnsi="Arial"/>
          <w:sz w:val="13"/>
          <w:szCs w:val="13"/>
          <w:color w:val="auto"/>
        </w:rPr>
      </w:pPr>
    </w:p>
    <w:p>
      <w:pPr>
        <w:ind w:left="4180" w:hanging="245"/>
        <w:spacing w:after="0"/>
        <w:tabs>
          <w:tab w:leader="none" w:pos="4180" w:val="left"/>
        </w:tabs>
        <w:numPr>
          <w:ilvl w:val="1"/>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PERSONNEL AND SUBCONTRACTORS</w:t>
      </w:r>
    </w:p>
    <w:p>
      <w:pPr>
        <w:spacing w:after="0" w:line="86" w:lineRule="exact"/>
        <w:rPr>
          <w:sz w:val="20"/>
          <w:szCs w:val="20"/>
          <w:color w:val="auto"/>
        </w:rPr>
      </w:pPr>
    </w:p>
    <w:p>
      <w:pPr>
        <w:jc w:val="both"/>
        <w:ind w:left="300" w:hanging="304"/>
        <w:spacing w:after="0" w:line="316" w:lineRule="auto"/>
        <w:tabs>
          <w:tab w:leader="none" w:pos="2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Supplier will take reasonable steps to ensure that each of its employees and agents who Process Personal Information are made aware of Supplier’s obligations under this DPA, and where required by Applicable Regulation, shall require that they enter into binding obligations with Supplier as appropriate to maintain the levels of security and protection required under this DPA.</w:t>
      </w:r>
    </w:p>
    <w:p>
      <w:pPr>
        <w:spacing w:after="0" w:line="19"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Supplier shall strictly limit access to Personal Information to those individuals who need to know, as necessary for the purpose of providing Services.</w:t>
      </w:r>
    </w:p>
    <w:p>
      <w:pPr>
        <w:spacing w:after="0" w:line="84" w:lineRule="exact"/>
        <w:rPr>
          <w:sz w:val="20"/>
          <w:szCs w:val="20"/>
          <w:color w:val="auto"/>
        </w:rPr>
      </w:pPr>
    </w:p>
    <w:p>
      <w:pPr>
        <w:jc w:val="both"/>
        <w:ind w:left="300" w:hanging="304"/>
        <w:spacing w:after="0" w:line="255" w:lineRule="auto"/>
        <w:tabs>
          <w:tab w:leader="none" w:pos="280" w:val="left"/>
        </w:tabs>
        <w:rPr>
          <w:sz w:val="20"/>
          <w:szCs w:val="20"/>
          <w:color w:val="auto"/>
        </w:rPr>
      </w:pPr>
      <w:r>
        <w:rPr>
          <w:rFonts w:ascii="Arial" w:cs="Arial" w:eastAsia="Arial" w:hAnsi="Arial"/>
          <w:sz w:val="13"/>
          <w:szCs w:val="13"/>
          <w:color w:val="auto"/>
        </w:rPr>
        <w:t>4.3.</w:t>
        <w:tab/>
        <w:t>Supplier will only engage a Subcontractor provided that a written contract is executed by Supplier with the Subcontractor that includes obligations to use same degree of care in safeguarding the Personal Information as it uses to safeguard its own confidential information, but in no event less than reasonable care . Supplier acknowledges and agrees that it remains obligated and fully liable to SunPower for the acts and omissions of any Subcontractor in connection with this Section 4.3.</w:t>
      </w:r>
    </w:p>
    <w:p>
      <w:pPr>
        <w:spacing w:after="0" w:line="137" w:lineRule="exact"/>
        <w:rPr>
          <w:sz w:val="20"/>
          <w:szCs w:val="20"/>
          <w:color w:val="auto"/>
        </w:rPr>
      </w:pPr>
    </w:p>
    <w:p>
      <w:pPr>
        <w:ind w:left="5060" w:hanging="249"/>
        <w:spacing w:after="0"/>
        <w:tabs>
          <w:tab w:leader="none" w:pos="506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SECURITY</w:t>
      </w:r>
    </w:p>
    <w:p>
      <w:pPr>
        <w:spacing w:after="0" w:line="171" w:lineRule="exact"/>
        <w:rPr>
          <w:sz w:val="20"/>
          <w:szCs w:val="20"/>
          <w:color w:val="auto"/>
        </w:rPr>
      </w:pPr>
    </w:p>
    <w:p>
      <w:pPr>
        <w:ind w:left="300" w:hanging="304"/>
        <w:spacing w:after="0" w:line="273" w:lineRule="auto"/>
        <w:tabs>
          <w:tab w:leader="none" w:pos="280" w:val="left"/>
        </w:tabs>
        <w:rPr>
          <w:sz w:val="20"/>
          <w:szCs w:val="20"/>
          <w:color w:val="auto"/>
        </w:rPr>
      </w:pPr>
      <w:r>
        <w:rPr>
          <w:rFonts w:ascii="Arial" w:cs="Arial" w:eastAsia="Arial" w:hAnsi="Arial"/>
          <w:sz w:val="13"/>
          <w:szCs w:val="13"/>
          <w:color w:val="auto"/>
        </w:rPr>
        <w:t>5.1.</w:t>
        <w:tab/>
        <w:t>Supplier represents and warrants that, in connection with the Services provided to SunPower, Supplier shall at all times have in place, maintain, and use all necessary and reasonable technical, physical and organizational measures</w:t>
      </w:r>
    </w:p>
    <w:p>
      <w:pPr>
        <w:sectPr>
          <w:pgSz w:w="11900" w:h="16838" w:orient="portrait"/>
          <w:cols w:equalWidth="0" w:num="1">
            <w:col w:w="11020"/>
          </w:cols>
          <w:pgMar w:left="560" w:top="1228" w:right="319" w:bottom="1440" w:gutter="0" w:footer="0" w:header="0"/>
        </w:sectPr>
      </w:pPr>
    </w:p>
    <w:bookmarkStart w:id="159" w:name="page160"/>
    <w:bookmarkEnd w:id="159"/>
    <w:p>
      <w:pPr>
        <w:ind w:left="300"/>
        <w:spacing w:after="0" w:line="273" w:lineRule="auto"/>
        <w:rPr>
          <w:sz w:val="20"/>
          <w:szCs w:val="20"/>
          <w:color w:val="auto"/>
        </w:rPr>
      </w:pPr>
      <w:r>
        <w:rPr>
          <w:rFonts w:ascii="Arial" w:cs="Arial" w:eastAsia="Arial" w:hAnsi="Arial"/>
          <w:sz w:val="13"/>
          <w:szCs w:val="13"/>
          <w:color w:val="auto"/>
        </w:rPr>
        <w:t>commensurate with the industry standards for information security, applicable law, and the sensitivity of Personal Information collected, handled, stored, and otherwise Processed, in order to help ensure:</w:t>
      </w:r>
    </w:p>
    <w:p>
      <w:pPr>
        <w:spacing w:after="0" w:line="127"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3"/>
          <w:szCs w:val="13"/>
          <w:color w:val="auto"/>
        </w:rPr>
        <w:t>5.1.1.</w:t>
      </w:r>
      <w:r>
        <w:rPr>
          <w:sz w:val="20"/>
          <w:szCs w:val="20"/>
          <w:color w:val="auto"/>
        </w:rPr>
        <w:tab/>
      </w:r>
      <w:r>
        <w:rPr>
          <w:rFonts w:ascii="Arial" w:cs="Arial" w:eastAsia="Arial" w:hAnsi="Arial"/>
          <w:sz w:val="12"/>
          <w:szCs w:val="12"/>
          <w:color w:val="auto"/>
        </w:rPr>
        <w:t>the security of Personal Information against any Security Breach;</w:t>
      </w:r>
    </w:p>
    <w:p>
      <w:pPr>
        <w:spacing w:after="0" w:line="169" w:lineRule="exact"/>
        <w:rPr>
          <w:sz w:val="20"/>
          <w:szCs w:val="20"/>
          <w:color w:val="auto"/>
        </w:rPr>
      </w:pPr>
    </w:p>
    <w:p>
      <w:pPr>
        <w:ind w:left="620" w:hanging="355"/>
        <w:spacing w:after="0" w:line="273" w:lineRule="auto"/>
        <w:tabs>
          <w:tab w:leader="none" w:pos="600" w:val="left"/>
        </w:tabs>
        <w:rPr>
          <w:sz w:val="20"/>
          <w:szCs w:val="20"/>
          <w:color w:val="auto"/>
        </w:rPr>
      </w:pPr>
      <w:r>
        <w:rPr>
          <w:rFonts w:ascii="Arial" w:cs="Arial" w:eastAsia="Arial" w:hAnsi="Arial"/>
          <w:sz w:val="13"/>
          <w:szCs w:val="13"/>
          <w:color w:val="auto"/>
        </w:rPr>
        <w:t>5.1.2.</w:t>
        <w:tab/>
        <w:t>the confidentiality of Personal Information, by ensuring that persons authorized to access, view, and/or otherwise Process Personal Information are given such rights based only on a need for such access in connection with the Services; and</w:t>
      </w:r>
    </w:p>
    <w:p>
      <w:pPr>
        <w:spacing w:after="0" w:line="127" w:lineRule="exact"/>
        <w:rPr>
          <w:sz w:val="20"/>
          <w:szCs w:val="20"/>
          <w:color w:val="auto"/>
        </w:rPr>
      </w:pPr>
    </w:p>
    <w:p>
      <w:pPr>
        <w:ind w:left="620" w:hanging="355"/>
        <w:spacing w:after="0" w:line="273" w:lineRule="auto"/>
        <w:tabs>
          <w:tab w:leader="none" w:pos="600" w:val="left"/>
        </w:tabs>
        <w:rPr>
          <w:sz w:val="20"/>
          <w:szCs w:val="20"/>
          <w:color w:val="auto"/>
        </w:rPr>
      </w:pPr>
      <w:r>
        <w:rPr>
          <w:rFonts w:ascii="Arial" w:cs="Arial" w:eastAsia="Arial" w:hAnsi="Arial"/>
          <w:sz w:val="13"/>
          <w:szCs w:val="13"/>
          <w:color w:val="auto"/>
        </w:rPr>
        <w:t>5.1.3.</w:t>
        <w:tab/>
        <w:t>to the extent relevant, that its access to SunPower’s systems and/or networks, including any credentials thereto, shall be properly created, secured, maintained and architected such that it shall not pose a material security risk or threat to or otherwise expose SunPower’s Environment, data, website, systems, landing pages, Consumers or customers.</w:t>
      </w:r>
    </w:p>
    <w:p>
      <w:pPr>
        <w:spacing w:after="0" w:line="127" w:lineRule="exact"/>
        <w:rPr>
          <w:sz w:val="20"/>
          <w:szCs w:val="20"/>
          <w:color w:val="auto"/>
        </w:rPr>
      </w:pPr>
    </w:p>
    <w:p>
      <w:pPr>
        <w:jc w:val="both"/>
        <w:ind w:left="300" w:hanging="304"/>
        <w:spacing w:after="0" w:line="255" w:lineRule="auto"/>
        <w:tabs>
          <w:tab w:leader="none" w:pos="280" w:val="left"/>
        </w:tabs>
        <w:rPr>
          <w:sz w:val="20"/>
          <w:szCs w:val="20"/>
          <w:color w:val="auto"/>
        </w:rPr>
      </w:pPr>
      <w:r>
        <w:rPr>
          <w:rFonts w:ascii="Arial" w:cs="Arial" w:eastAsia="Arial" w:hAnsi="Arial"/>
          <w:sz w:val="13"/>
          <w:szCs w:val="13"/>
          <w:color w:val="auto"/>
        </w:rPr>
        <w:t>5.2.</w:t>
        <w:tab/>
        <w:t xml:space="preserve">Supplier shall notify SunPower, or its preferred contact, immediately and not to exceed twenty-four (24) hours, after becoming aware of the Security Breach by phone (not including a voice or text message) and in writing (but not by unsecured email) at </w:t>
      </w:r>
      <w:r>
        <w:rPr>
          <w:rFonts w:ascii="Arial" w:cs="Arial" w:eastAsia="Arial" w:hAnsi="Arial"/>
          <w:sz w:val="13"/>
          <w:szCs w:val="13"/>
          <w:u w:val="single" w:color="auto"/>
          <w:color w:val="0000FF"/>
        </w:rPr>
        <w:t>help@sunpowercorp.com</w:t>
      </w:r>
      <w:r>
        <w:rPr>
          <w:rFonts w:ascii="Arial" w:cs="Arial" w:eastAsia="Arial" w:hAnsi="Arial"/>
          <w:sz w:val="13"/>
          <w:szCs w:val="13"/>
          <w:color w:val="auto"/>
        </w:rPr>
        <w:t xml:space="preserve"> specifying the extent to which SunPower’s Personal Information was compromised or disclosed, and will take all reasonable measures required to rectify the Security Breach as soon as possible. In this regard, Supplier at a minimum will:</w:t>
      </w:r>
    </w:p>
    <w:p>
      <w:pPr>
        <w:spacing w:after="0" w:line="54"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3"/>
          <w:szCs w:val="13"/>
          <w:color w:val="auto"/>
        </w:rPr>
        <w:t>5.2.1.</w:t>
      </w:r>
      <w:r>
        <w:rPr>
          <w:sz w:val="20"/>
          <w:szCs w:val="20"/>
          <w:color w:val="auto"/>
        </w:rPr>
        <w:tab/>
      </w:r>
      <w:r>
        <w:rPr>
          <w:rFonts w:ascii="Arial" w:cs="Arial" w:eastAsia="Arial" w:hAnsi="Arial"/>
          <w:sz w:val="12"/>
          <w:szCs w:val="12"/>
          <w:color w:val="auto"/>
        </w:rPr>
        <w:t>investigate the Security Breach, perform a root cause analysis thereon, and report its findings to SunPower; and</w:t>
      </w:r>
    </w:p>
    <w:p>
      <w:pPr>
        <w:spacing w:after="0" w:line="84"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13"/>
          <w:szCs w:val="13"/>
          <w:color w:val="auto"/>
        </w:rPr>
        <w:t>5.2.2.</w:t>
      </w:r>
      <w:r>
        <w:rPr>
          <w:sz w:val="20"/>
          <w:szCs w:val="20"/>
          <w:color w:val="auto"/>
        </w:rPr>
        <w:tab/>
      </w:r>
      <w:r>
        <w:rPr>
          <w:rFonts w:ascii="Arial" w:cs="Arial" w:eastAsia="Arial" w:hAnsi="Arial"/>
          <w:sz w:val="12"/>
          <w:szCs w:val="12"/>
          <w:color w:val="auto"/>
        </w:rPr>
        <w:t>provide SunPower with a remediation plan to address the Security Breach and regularly keep SunPower informed as and when remedial or containment actions are implemented.</w:t>
      </w:r>
    </w:p>
    <w:p>
      <w:pPr>
        <w:spacing w:after="0" w:line="84" w:lineRule="exact"/>
        <w:rPr>
          <w:sz w:val="20"/>
          <w:szCs w:val="20"/>
          <w:color w:val="auto"/>
        </w:rPr>
      </w:pPr>
    </w:p>
    <w:p>
      <w:pPr>
        <w:jc w:val="both"/>
        <w:ind w:left="300" w:hanging="304"/>
        <w:spacing w:after="0" w:line="255" w:lineRule="auto"/>
        <w:tabs>
          <w:tab w:leader="none" w:pos="280" w:val="left"/>
        </w:tabs>
        <w:rPr>
          <w:sz w:val="20"/>
          <w:szCs w:val="20"/>
          <w:color w:val="auto"/>
        </w:rPr>
      </w:pPr>
      <w:r>
        <w:rPr>
          <w:rFonts w:ascii="Arial" w:cs="Arial" w:eastAsia="Arial" w:hAnsi="Arial"/>
          <w:sz w:val="13"/>
          <w:szCs w:val="13"/>
          <w:color w:val="auto"/>
        </w:rPr>
        <w:t>5.3.</w:t>
        <w:tab/>
        <w:t>Supplier agrees that it will not inform any third party of any Security Breach without first obtaining SunPower’s prior written consent, other than to inform a complainant that the matter has been forwarded to SunPower’s legal counsel. Further, Supplier agrees that SunPower shall have the sole right to determine the contents of any such notice of a Security Breach, whether any type of remediation may be offered to affected Consumers, and the nature and extent of any such remediation.</w:t>
      </w:r>
    </w:p>
    <w:p>
      <w:pPr>
        <w:spacing w:after="0" w:line="54"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2"/>
          <w:szCs w:val="12"/>
          <w:color w:val="auto"/>
        </w:rPr>
        <w:t xml:space="preserve">To the extent agreements between the parties do not designate a notice contact, notices under this Section should be sent via email to </w:t>
      </w:r>
      <w:r>
        <w:rPr>
          <w:rFonts w:ascii="Arial" w:cs="Arial" w:eastAsia="Arial" w:hAnsi="Arial"/>
          <w:sz w:val="12"/>
          <w:szCs w:val="12"/>
          <w:u w:val="single" w:color="auto"/>
          <w:color w:val="0000FF"/>
        </w:rPr>
        <w:t>LegalNoticeSunPower@sunpowercorp.com</w:t>
      </w:r>
      <w:r>
        <w:rPr>
          <w:rFonts w:ascii="Arial" w:cs="Arial" w:eastAsia="Arial" w:hAnsi="Arial"/>
          <w:sz w:val="12"/>
          <w:szCs w:val="12"/>
          <w:color w:val="auto"/>
        </w:rPr>
        <w:t xml:space="preserve"> ATTN: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General Counsel.</w:t>
      </w:r>
    </w:p>
    <w:p>
      <w:pPr>
        <w:spacing w:after="0" w:line="68" w:lineRule="exact"/>
        <w:rPr>
          <w:sz w:val="20"/>
          <w:szCs w:val="20"/>
          <w:color w:val="auto"/>
        </w:rPr>
      </w:pPr>
    </w:p>
    <w:p>
      <w:pPr>
        <w:jc w:val="both"/>
        <w:ind w:left="300" w:hanging="304"/>
        <w:spacing w:after="0" w:line="273" w:lineRule="auto"/>
        <w:tabs>
          <w:tab w:leader="none" w:pos="280" w:val="left"/>
        </w:tabs>
        <w:rPr>
          <w:sz w:val="20"/>
          <w:szCs w:val="20"/>
          <w:color w:val="auto"/>
        </w:rPr>
      </w:pPr>
      <w:r>
        <w:rPr>
          <w:rFonts w:ascii="Arial" w:cs="Arial" w:eastAsia="Arial" w:hAnsi="Arial"/>
          <w:sz w:val="13"/>
          <w:szCs w:val="13"/>
          <w:color w:val="auto"/>
        </w:rPr>
        <w:t>5.5.</w:t>
        <w:tab/>
        <w:t>Supplier shall, at all times they are providing services to SunPower or remain in possession of Personal Information belonging to SunPower, maintain in force, at its own expense, insurance coverage appropriate to ensure proper performance of its obligations hereunder.</w:t>
      </w:r>
    </w:p>
    <w:p>
      <w:pPr>
        <w:spacing w:after="0" w:line="40" w:lineRule="exact"/>
        <w:rPr>
          <w:sz w:val="20"/>
          <w:szCs w:val="20"/>
          <w:color w:val="auto"/>
        </w:rPr>
      </w:pPr>
    </w:p>
    <w:p>
      <w:pPr>
        <w:ind w:left="4160" w:hanging="247"/>
        <w:spacing w:after="0"/>
        <w:tabs>
          <w:tab w:leader="none" w:pos="416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AUDITS AND INFORMATION REQUESTS</w:t>
      </w:r>
    </w:p>
    <w:p>
      <w:pPr>
        <w:spacing w:after="0" w:line="86" w:lineRule="exact"/>
        <w:rPr>
          <w:sz w:val="20"/>
          <w:szCs w:val="20"/>
          <w:color w:val="auto"/>
        </w:rPr>
      </w:pPr>
    </w:p>
    <w:p>
      <w:pPr>
        <w:jc w:val="both"/>
        <w:ind w:left="300" w:hanging="304"/>
        <w:spacing w:after="0" w:line="255" w:lineRule="auto"/>
        <w:tabs>
          <w:tab w:leader="none" w:pos="280" w:val="left"/>
        </w:tabs>
        <w:rPr>
          <w:sz w:val="20"/>
          <w:szCs w:val="20"/>
          <w:color w:val="auto"/>
        </w:rPr>
      </w:pPr>
      <w:r>
        <w:rPr>
          <w:rFonts w:ascii="Arial" w:cs="Arial" w:eastAsia="Arial" w:hAnsi="Arial"/>
          <w:sz w:val="13"/>
          <w:szCs w:val="13"/>
          <w:color w:val="auto"/>
        </w:rPr>
        <w:t>6.1.</w:t>
        <w:tab/>
        <w:t>Supplier shall, for no additional compensation, (1) provide to SunPower, at its request, an Officer’s Certificate from a member of Supplier’s C-Suite confirming Supplier’s compliance with the obligations stipulated in this DPA; and (2) reasonably assist Supplier, at Supplier’s expense, in ensuring compliance with Applicable Regulation, including audits or inquiries from law enforcement or government authorities, taking into account the nature of the Processing and the information available to Supplier.</w:t>
      </w:r>
    </w:p>
    <w:p>
      <w:pPr>
        <w:spacing w:after="0" w:line="52" w:lineRule="exact"/>
        <w:rPr>
          <w:sz w:val="20"/>
          <w:szCs w:val="20"/>
          <w:color w:val="auto"/>
        </w:rPr>
      </w:pPr>
    </w:p>
    <w:p>
      <w:pPr>
        <w:ind w:left="4940" w:hanging="244"/>
        <w:spacing w:after="0"/>
        <w:tabs>
          <w:tab w:leader="none" w:pos="494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w:t>
      </w:r>
    </w:p>
    <w:p>
      <w:pPr>
        <w:spacing w:after="0" w:line="86" w:lineRule="exact"/>
        <w:rPr>
          <w:sz w:val="20"/>
          <w:szCs w:val="20"/>
          <w:color w:val="auto"/>
        </w:rPr>
      </w:pPr>
    </w:p>
    <w:p>
      <w:pPr>
        <w:ind w:left="300" w:hanging="304"/>
        <w:spacing w:after="0" w:line="273" w:lineRule="auto"/>
        <w:tabs>
          <w:tab w:leader="none" w:pos="280" w:val="left"/>
        </w:tabs>
        <w:rPr>
          <w:sz w:val="20"/>
          <w:szCs w:val="20"/>
          <w:color w:val="auto"/>
        </w:rPr>
      </w:pPr>
      <w:r>
        <w:rPr>
          <w:rFonts w:ascii="Arial" w:cs="Arial" w:eastAsia="Arial" w:hAnsi="Arial"/>
          <w:sz w:val="13"/>
          <w:szCs w:val="13"/>
          <w:color w:val="auto"/>
        </w:rPr>
        <w:t>7.1.</w:t>
        <w:tab/>
        <w:t>Upon termination of the MSA Supplier shall promptly anonymize all Personal Information, as well as any existing copies. Within ten (10) days of returning or destroying such information, Supplier shall provide a certification to SunPower confirming same.</w:t>
      </w:r>
    </w:p>
    <w:p>
      <w:pPr>
        <w:spacing w:after="0" w:line="42" w:lineRule="exact"/>
        <w:rPr>
          <w:sz w:val="20"/>
          <w:szCs w:val="20"/>
          <w:color w:val="auto"/>
        </w:rPr>
      </w:pPr>
    </w:p>
    <w:p>
      <w:pPr>
        <w:ind w:left="300" w:hanging="304"/>
        <w:spacing w:after="0" w:line="273" w:lineRule="auto"/>
        <w:tabs>
          <w:tab w:leader="none" w:pos="280" w:val="left"/>
        </w:tabs>
        <w:rPr>
          <w:sz w:val="20"/>
          <w:szCs w:val="20"/>
          <w:color w:val="auto"/>
        </w:rPr>
      </w:pPr>
      <w:r>
        <w:rPr>
          <w:rFonts w:ascii="Arial" w:cs="Arial" w:eastAsia="Arial" w:hAnsi="Arial"/>
          <w:sz w:val="13"/>
          <w:szCs w:val="13"/>
          <w:color w:val="auto"/>
        </w:rPr>
        <w:t>7.2.</w:t>
        <w:tab/>
        <w:t>In the event Applicable Regulation does not permit Supplier to comply with the return or deletion of Personal Information, Supplier warrants that it will ensure the confidentiality and protection of Personal Information and that it will not Process Personal Information transferred after termination of the relationship.</w:t>
      </w:r>
    </w:p>
    <w:p>
      <w:pPr>
        <w:spacing w:after="0" w:line="40" w:lineRule="exact"/>
        <w:rPr>
          <w:sz w:val="20"/>
          <w:szCs w:val="20"/>
          <w:color w:val="auto"/>
        </w:rPr>
      </w:pPr>
    </w:p>
    <w:p>
      <w:pPr>
        <w:ind w:left="4440" w:hanging="257"/>
        <w:spacing w:after="0"/>
        <w:tabs>
          <w:tab w:leader="none" w:pos="444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INDEMNIFICATION &amp; LIABILITY</w:t>
      </w:r>
    </w:p>
    <w:p>
      <w:pPr>
        <w:spacing w:after="0" w:line="84" w:lineRule="exact"/>
        <w:rPr>
          <w:sz w:val="20"/>
          <w:szCs w:val="20"/>
          <w:color w:val="auto"/>
        </w:rPr>
      </w:pPr>
    </w:p>
    <w:p>
      <w:pPr>
        <w:ind w:left="300" w:hanging="304"/>
        <w:spacing w:after="0" w:line="276" w:lineRule="auto"/>
        <w:tabs>
          <w:tab w:leader="none" w:pos="280" w:val="left"/>
        </w:tabs>
        <w:rPr>
          <w:sz w:val="20"/>
          <w:szCs w:val="20"/>
          <w:color w:val="auto"/>
        </w:rPr>
      </w:pPr>
      <w:r>
        <w:rPr>
          <w:rFonts w:ascii="Arial" w:cs="Arial" w:eastAsia="Arial" w:hAnsi="Arial"/>
          <w:sz w:val="13"/>
          <w:szCs w:val="13"/>
          <w:color w:val="auto"/>
        </w:rPr>
        <w:t>8.1.</w:t>
        <w:tab/>
        <w:t>Supplier will defend, at its own expense, any claim, suit or proceeding brought by an unaffiliated third party (a “</w:t>
      </w:r>
      <w:r>
        <w:rPr>
          <w:rFonts w:ascii="Arial" w:cs="Arial" w:eastAsia="Arial" w:hAnsi="Arial"/>
          <w:sz w:val="13"/>
          <w:szCs w:val="13"/>
          <w:b w:val="1"/>
          <w:bCs w:val="1"/>
          <w:color w:val="auto"/>
        </w:rPr>
        <w:t>Claim</w:t>
      </w:r>
      <w:r>
        <w:rPr>
          <w:rFonts w:ascii="Arial" w:cs="Arial" w:eastAsia="Arial" w:hAnsi="Arial"/>
          <w:sz w:val="13"/>
          <w:szCs w:val="13"/>
          <w:color w:val="auto"/>
        </w:rPr>
        <w:t>”) against SunPower to the extent it is based upon an allegation that Supplier materially breached the terms of this DPA, and, provided SunPower complies with the provisions hereof and is not otherwise in material breach of any</w:t>
      </w:r>
    </w:p>
    <w:p>
      <w:pPr>
        <w:sectPr>
          <w:pgSz w:w="11900" w:h="16838" w:orient="portrait"/>
          <w:cols w:equalWidth="0" w:num="1">
            <w:col w:w="11020"/>
          </w:cols>
          <w:pgMar w:left="560" w:top="1313" w:right="31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color w:val="auto"/>
        </w:rPr>
        <w:t>provision of this DPA, Supplier will pay all settlement amounts and damages, costs and expenses finally awarded to third parties against SunPower in such action.</w:t>
      </w:r>
    </w:p>
    <w:p>
      <w:pPr>
        <w:spacing w:after="0" w:line="84" w:lineRule="exact"/>
        <w:rPr>
          <w:sz w:val="20"/>
          <w:szCs w:val="20"/>
          <w:color w:val="auto"/>
        </w:rPr>
      </w:pPr>
    </w:p>
    <w:p>
      <w:pPr>
        <w:jc w:val="both"/>
        <w:ind w:hanging="304"/>
        <w:spacing w:after="0" w:line="255" w:lineRule="auto"/>
        <w:rPr>
          <w:sz w:val="20"/>
          <w:szCs w:val="20"/>
          <w:color w:val="auto"/>
        </w:rPr>
      </w:pPr>
      <w:r>
        <w:rPr>
          <w:rFonts w:ascii="Arial" w:cs="Arial" w:eastAsia="Arial" w:hAnsi="Arial"/>
          <w:sz w:val="13"/>
          <w:szCs w:val="13"/>
          <w:color w:val="auto"/>
        </w:rPr>
        <w:t>8.2.</w:t>
      </w:r>
      <w:r>
        <w:rPr>
          <w:sz w:val="20"/>
          <w:szCs w:val="20"/>
          <w:color w:val="auto"/>
        </w:rPr>
        <w:t xml:space="preserve"> </w:t>
      </w:r>
      <w:r>
        <w:rPr>
          <w:rFonts w:ascii="Arial" w:cs="Arial" w:eastAsia="Arial" w:hAnsi="Arial"/>
          <w:sz w:val="13"/>
          <w:szCs w:val="13"/>
          <w:color w:val="auto"/>
        </w:rPr>
        <w:t>SunPower will defend, at its own expense, any Claim against Supplier to the extent it is based upon an allegation that SunPower materially breached the terms of this DPA, and provided Supplier complies with the provisions hereof and is not otherwise in material breach of any provision of this DPA, SunPower will pay all settlement amounts and damages, costs and expenses finally awarded to third parties against SunPower in such action.</w:t>
      </w:r>
    </w:p>
    <w:p>
      <w:pPr>
        <w:spacing w:after="0" w:line="52" w:lineRule="exact"/>
        <w:rPr>
          <w:sz w:val="20"/>
          <w:szCs w:val="20"/>
          <w:color w:val="auto"/>
        </w:rPr>
      </w:pPr>
    </w:p>
    <w:p>
      <w:pPr>
        <w:jc w:val="both"/>
        <w:ind w:hanging="304"/>
        <w:spacing w:after="0" w:line="242" w:lineRule="auto"/>
        <w:rPr>
          <w:sz w:val="20"/>
          <w:szCs w:val="20"/>
          <w:color w:val="auto"/>
        </w:rPr>
      </w:pPr>
      <w:r>
        <w:rPr>
          <w:rFonts w:ascii="Arial" w:cs="Arial" w:eastAsia="Arial" w:hAnsi="Arial"/>
          <w:sz w:val="13"/>
          <w:szCs w:val="13"/>
          <w:color w:val="auto"/>
        </w:rPr>
        <w:t>8.3.</w:t>
      </w:r>
      <w:r>
        <w:rPr>
          <w:sz w:val="20"/>
          <w:szCs w:val="20"/>
          <w:color w:val="auto"/>
        </w:rPr>
        <w:t xml:space="preserve"> </w:t>
      </w:r>
      <w:r>
        <w:rPr>
          <w:rFonts w:ascii="Arial" w:cs="Arial" w:eastAsia="Arial" w:hAnsi="Arial"/>
          <w:sz w:val="13"/>
          <w:szCs w:val="13"/>
          <w:color w:val="auto"/>
        </w:rPr>
        <w:t>The obligation of the indemnifying party (the “</w:t>
      </w:r>
      <w:r>
        <w:rPr>
          <w:rFonts w:ascii="Arial" w:cs="Arial" w:eastAsia="Arial" w:hAnsi="Arial"/>
          <w:sz w:val="13"/>
          <w:szCs w:val="13"/>
          <w:b w:val="1"/>
          <w:bCs w:val="1"/>
          <w:color w:val="auto"/>
        </w:rPr>
        <w:t>Indemnifying Party</w:t>
      </w:r>
      <w:r>
        <w:rPr>
          <w:rFonts w:ascii="Arial" w:cs="Arial" w:eastAsia="Arial" w:hAnsi="Arial"/>
          <w:sz w:val="13"/>
          <w:szCs w:val="13"/>
          <w:color w:val="auto"/>
        </w:rPr>
        <w:t>”) to defend the other party (the “</w:t>
      </w:r>
      <w:r>
        <w:rPr>
          <w:rFonts w:ascii="Arial" w:cs="Arial" w:eastAsia="Arial" w:hAnsi="Arial"/>
          <w:sz w:val="13"/>
          <w:szCs w:val="13"/>
          <w:b w:val="1"/>
          <w:bCs w:val="1"/>
          <w:color w:val="auto"/>
        </w:rPr>
        <w:t>Indemnified Party</w:t>
      </w:r>
      <w:r>
        <w:rPr>
          <w:rFonts w:ascii="Arial" w:cs="Arial" w:eastAsia="Arial" w:hAnsi="Arial"/>
          <w:sz w:val="13"/>
          <w:szCs w:val="13"/>
          <w:color w:val="auto"/>
        </w:rPr>
        <w:t>”) is conditioned upon the Indemnified Party promptly notify Indemnifying Party in writing of any such claim or action and giving the Indemnifying Party full information and assistance in connection therewith. The Indemnifying Party shall have the sole right to control the defense and settlement of any such claim or action. The Indemnifying Party will not settle any Claim without the written consent of the Indemnified Party; provided, however, that, after reasonable notice, the Indemnifying Party may settle a claim without the Indemnified Party’s consent if such settlement (A) makes no admission or acknowledgment of liability or culpability with respect to the Indemnified Party, (B) includes a complete release of the Indemnified Party and (C) does not seek any relief against the Indemnified Party other than the payment of money damages to be borne by the Indemnifying Party. The Indemnified Party will cooperate in all reasonable respects with the Indemnifying Party and its attorneys in the investigation, trial and defense of any Claim and any appeal arising therefrom (including the filing in the Indemnified Party’s name of appropriate cross-claims and counterclaims). The Indemnified Party may, at its own cost, participate in any investigation, trial and defense of any Claim controlled by the Indemnifying Party and any appeal arising therefrom, including participating in the process with respect to the potential settlement or compromise thereof. Notwithstanding any other language in the MSA or DPA, the Indemnifying Party will have no liability under this Section 8 for any Claim to the extent arising as a result of the Indemnified Party’s material breach of its obligations under the MSA or the DPA.</w:t>
      </w:r>
    </w:p>
    <w:p>
      <w:pPr>
        <w:spacing w:after="0" w:line="339" w:lineRule="exact"/>
        <w:rPr>
          <w:sz w:val="20"/>
          <w:szCs w:val="20"/>
          <w:color w:val="auto"/>
        </w:rPr>
      </w:pPr>
    </w:p>
    <w:p>
      <w:pPr>
        <w:ind w:left="4300" w:hanging="250"/>
        <w:spacing w:after="0"/>
        <w:tabs>
          <w:tab w:leader="none" w:pos="430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LIMITATION OF LIABILITY</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EXCEPT FOR AMOUNTS PAYABLE UNDER SECTION 8 (INDEMNIFICATION AND LIABILITY) OF THIS DPA, IN NO EVENT WILL EITHER PARTY BE LIABLE TO THE OTHER PARTY FOR ANY INDIRECT, INCIDENTAL, CONSEQUENTIAL OR SPECIAL DAMAGES ARISING FROM ANY CLAIM OR ACTION BASED ON OR RELATED TO THIS DPA, REGARDLESS OF WHETHER SUCH CLAIM OR ACTION IS BASED ON CONTRACT, TORT, OR OTHER LEGAL THEORY, AND REGARDLESS OF WHETHER OR NOT SUCH DAMAGES WERE FORESEEABLE OR WHETHER OR NOT THE PARTY WAS ADVISED OF THE POSSIBILITY OF SUCH DAMAGES. THE LIMITATIONS OF LIABILITY DO NOT APPLY WITH RESPECT TO (i) LOSSES SUFFERED, INCURRED, OR SUSTAINED BY A PARTY OCCASIONED BY (A) THE FRAUD, WILLFUL MISCONDUCT OR GROSS NEGLIGENCE OF THE OTHER PARTY OR ITS AGENTS. EXCEPT FOR AMOUNTS PAYABLE UNDER SECTION 8 (INDEMNIFICATION AND LIABILITY) OF THIS DPA, SUPPLIER’S TOTAL CUMULATIVE LIABILITY ARISING FROM OR RELATING TO THIS DPA, WHETHER IN CONTRACT OR TORT OR OTHERWISE, WILL NOT EXCEED $100,000.</w:t>
      </w:r>
    </w:p>
    <w:p>
      <w:pPr>
        <w:spacing w:after="0" w:line="335" w:lineRule="exact"/>
        <w:rPr>
          <w:sz w:val="20"/>
          <w:szCs w:val="20"/>
          <w:color w:val="auto"/>
        </w:rPr>
      </w:pPr>
    </w:p>
    <w:p>
      <w:pPr>
        <w:ind w:left="4560" w:hanging="314"/>
        <w:spacing w:after="0"/>
        <w:tabs>
          <w:tab w:leader="none" w:pos="456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86" w:lineRule="exact"/>
        <w:rPr>
          <w:sz w:val="20"/>
          <w:szCs w:val="20"/>
          <w:color w:val="auto"/>
        </w:rPr>
      </w:pPr>
    </w:p>
    <w:p>
      <w:pPr>
        <w:ind w:hanging="304"/>
        <w:spacing w:after="0" w:line="273" w:lineRule="auto"/>
        <w:rPr>
          <w:sz w:val="20"/>
          <w:szCs w:val="20"/>
          <w:color w:val="auto"/>
        </w:rPr>
      </w:pPr>
      <w:r>
        <w:rPr>
          <w:rFonts w:ascii="Arial" w:cs="Arial" w:eastAsia="Arial" w:hAnsi="Arial"/>
          <w:sz w:val="13"/>
          <w:szCs w:val="13"/>
          <w:color w:val="auto"/>
        </w:rPr>
        <w:t>10.1.</w:t>
      </w:r>
      <w:r>
        <w:rPr>
          <w:sz w:val="20"/>
          <w:szCs w:val="20"/>
          <w:color w:val="auto"/>
        </w:rPr>
        <w:t xml:space="preserve"> </w:t>
      </w:r>
      <w:r>
        <w:rPr>
          <w:rFonts w:ascii="Arial" w:cs="Arial" w:eastAsia="Arial" w:hAnsi="Arial"/>
          <w:sz w:val="13"/>
          <w:szCs w:val="13"/>
          <w:color w:val="auto"/>
        </w:rPr>
        <w:t>The parties acknowledge and agree that the terms and conditions of this DPA shall survive the termination of the MSA or any other agreement between the parties and shall remain in full force and effect for the entire time Supplier remains in possession or control of Personal Information.</w:t>
      </w:r>
    </w:p>
    <w:p>
      <w:pPr>
        <w:spacing w:after="0" w:line="42" w:lineRule="exact"/>
        <w:rPr>
          <w:sz w:val="20"/>
          <w:szCs w:val="20"/>
          <w:color w:val="auto"/>
        </w:rPr>
      </w:pPr>
    </w:p>
    <w:p>
      <w:pPr>
        <w:ind w:hanging="304"/>
        <w:spacing w:after="0" w:line="273" w:lineRule="auto"/>
        <w:rPr>
          <w:sz w:val="20"/>
          <w:szCs w:val="20"/>
          <w:color w:val="auto"/>
        </w:rPr>
      </w:pPr>
      <w:r>
        <w:rPr>
          <w:rFonts w:ascii="Arial" w:cs="Arial" w:eastAsia="Arial" w:hAnsi="Arial"/>
          <w:sz w:val="13"/>
          <w:szCs w:val="13"/>
          <w:color w:val="auto"/>
        </w:rPr>
        <w:t>10.2.</w:t>
      </w:r>
      <w:r>
        <w:rPr>
          <w:sz w:val="20"/>
          <w:szCs w:val="20"/>
          <w:color w:val="auto"/>
        </w:rPr>
        <w:t xml:space="preserve"> </w:t>
      </w:r>
      <w:r>
        <w:rPr>
          <w:rFonts w:ascii="Arial" w:cs="Arial" w:eastAsia="Arial" w:hAnsi="Arial"/>
          <w:sz w:val="13"/>
          <w:szCs w:val="13"/>
          <w:color w:val="auto"/>
        </w:rPr>
        <w:t>In the event of modifications, amendments or changes to Applicable Regulations, the parties agree to cooperate in good faith with respect to any necessary modifications or amendments to this DPA, to the extent required. Each party shall further take reasonable measures to remain compliant with any such changes in the Applicable Regulation.</w:t>
      </w:r>
    </w:p>
    <w:p>
      <w:pPr>
        <w:sectPr>
          <w:pgSz w:w="11900" w:h="16838" w:orient="portrait"/>
          <w:cols w:equalWidth="0" w:num="1">
            <w:col w:w="10720"/>
          </w:cols>
          <w:pgMar w:left="860" w:top="1228" w:right="319" w:bottom="1440" w:gutter="0" w:footer="0" w:header="0"/>
        </w:sectPr>
      </w:pPr>
    </w:p>
    <w:bookmarkStart w:id="161" w:name="page162"/>
    <w:bookmarkEnd w:id="161"/>
    <w:p>
      <w:pPr>
        <w:spacing w:after="0" w:line="200" w:lineRule="exact"/>
        <w:rPr>
          <w:sz w:val="20"/>
          <w:szCs w:val="20"/>
          <w:color w:val="auto"/>
        </w:rPr>
      </w:pPr>
    </w:p>
    <w:p>
      <w:pPr>
        <w:spacing w:after="0" w:line="31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231F20"/>
        </w:rPr>
        <w:t>CONSENT AND WAIVER TO</w:t>
      </w:r>
    </w:p>
    <w:p>
      <w:pPr>
        <w:spacing w:after="0" w:line="1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231F20"/>
        </w:rPr>
        <w:t>STOCKHOLDERS AGREEMENT</w:t>
      </w:r>
    </w:p>
    <w:p>
      <w:pPr>
        <w:spacing w:after="0" w:line="164" w:lineRule="exact"/>
        <w:rPr>
          <w:sz w:val="20"/>
          <w:szCs w:val="20"/>
          <w:color w:val="auto"/>
        </w:rPr>
      </w:pPr>
    </w:p>
    <w:p>
      <w:pPr>
        <w:ind w:left="500"/>
        <w:spacing w:after="0"/>
        <w:tabs>
          <w:tab w:leader="none" w:pos="960" w:val="left"/>
          <w:tab w:leader="none" w:pos="1940" w:val="left"/>
          <w:tab w:leader="none" w:pos="2460" w:val="left"/>
          <w:tab w:leader="none" w:pos="3340" w:val="left"/>
          <w:tab w:leader="none" w:pos="3740" w:val="left"/>
          <w:tab w:leader="none" w:pos="5320" w:val="left"/>
        </w:tabs>
        <w:rPr>
          <w:sz w:val="20"/>
          <w:szCs w:val="20"/>
          <w:color w:val="auto"/>
        </w:rPr>
      </w:pPr>
      <w:r>
        <w:rPr>
          <w:rFonts w:ascii="Times New Roman" w:cs="Times New Roman" w:eastAsia="Times New Roman" w:hAnsi="Times New Roman"/>
          <w:sz w:val="17"/>
          <w:szCs w:val="17"/>
          <w:color w:val="231F20"/>
        </w:rPr>
        <w:t>This</w:t>
      </w:r>
      <w:r>
        <w:rPr>
          <w:sz w:val="20"/>
          <w:szCs w:val="20"/>
          <w:color w:val="auto"/>
        </w:rPr>
        <w:tab/>
      </w:r>
      <w:r>
        <w:rPr>
          <w:rFonts w:ascii="Times New Roman" w:cs="Times New Roman" w:eastAsia="Times New Roman" w:hAnsi="Times New Roman"/>
          <w:sz w:val="17"/>
          <w:szCs w:val="17"/>
          <w:b w:val="1"/>
          <w:bCs w:val="1"/>
          <w:color w:val="231F20"/>
        </w:rPr>
        <w:t>CONSENT</w:t>
        <w:tab/>
        <w:t>AND</w:t>
        <w:tab/>
        <w:t>WAIVER</w:t>
        <w:tab/>
        <w:t>TO</w:t>
        <w:tab/>
        <w:t>STOCKHOLDERS</w:t>
        <w:tab/>
        <w:t>AGREEMENT</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231F20"/>
        </w:rPr>
        <w:t>(this “</w:t>
      </w:r>
      <w:r>
        <w:rPr>
          <w:rFonts w:ascii="Times New Roman" w:cs="Times New Roman" w:eastAsia="Times New Roman" w:hAnsi="Times New Roman"/>
          <w:sz w:val="17"/>
          <w:szCs w:val="17"/>
          <w:b w:val="1"/>
          <w:bCs w:val="1"/>
          <w:color w:val="231F20"/>
        </w:rPr>
        <w:t>Consent and Waiver</w:t>
      </w:r>
      <w:r>
        <w:rPr>
          <w:rFonts w:ascii="Times New Roman" w:cs="Times New Roman" w:eastAsia="Times New Roman" w:hAnsi="Times New Roman"/>
          <w:sz w:val="17"/>
          <w:szCs w:val="17"/>
          <w:color w:val="231F20"/>
        </w:rPr>
        <w:t>”) is dated as of October 15, 2020 (the “</w:t>
      </w:r>
      <w:r>
        <w:rPr>
          <w:rFonts w:ascii="Times New Roman" w:cs="Times New Roman" w:eastAsia="Times New Roman" w:hAnsi="Times New Roman"/>
          <w:sz w:val="17"/>
          <w:szCs w:val="17"/>
          <w:b w:val="1"/>
          <w:bCs w:val="1"/>
          <w:color w:val="231F20"/>
        </w:rPr>
        <w:t>Effective Date</w:t>
      </w:r>
      <w:r>
        <w:rPr>
          <w:rFonts w:ascii="Times New Roman" w:cs="Times New Roman" w:eastAsia="Times New Roman" w:hAnsi="Times New Roman"/>
          <w:sz w:val="17"/>
          <w:szCs w:val="17"/>
          <w:color w:val="231F20"/>
        </w:rPr>
        <w:t xml:space="preserve">”), and is entered into by and among </w:t>
      </w:r>
      <w:r>
        <w:rPr>
          <w:rFonts w:ascii="Times New Roman" w:cs="Times New Roman" w:eastAsia="Times New Roman" w:hAnsi="Times New Roman"/>
          <w:sz w:val="17"/>
          <w:szCs w:val="17"/>
          <w:b w:val="1"/>
          <w:bCs w:val="1"/>
          <w:color w:val="231F20"/>
        </w:rPr>
        <w:t>SUNPOWER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CORPORATION</w:t>
      </w:r>
      <w:r>
        <w:rPr>
          <w:rFonts w:ascii="Times New Roman" w:cs="Times New Roman" w:eastAsia="Times New Roman" w:hAnsi="Times New Roman"/>
          <w:sz w:val="17"/>
          <w:szCs w:val="17"/>
          <w:color w:val="231F20"/>
        </w:rPr>
        <w:t>, a Delaware corporation (the “</w:t>
      </w:r>
      <w:r>
        <w:rPr>
          <w:rFonts w:ascii="Times New Roman" w:cs="Times New Roman" w:eastAsia="Times New Roman" w:hAnsi="Times New Roman"/>
          <w:sz w:val="17"/>
          <w:szCs w:val="17"/>
          <w:b w:val="1"/>
          <w:bCs w:val="1"/>
          <w:color w:val="231F20"/>
        </w:rPr>
        <w:t>SunPower</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 xml:space="preserve"> SUNPOWER EQUITY HOLDINGS, LLC</w:t>
      </w:r>
      <w:r>
        <w:rPr>
          <w:rFonts w:ascii="Times New Roman" w:cs="Times New Roman" w:eastAsia="Times New Roman" w:hAnsi="Times New Roman"/>
          <w:sz w:val="17"/>
          <w:szCs w:val="17"/>
          <w:color w:val="231F20"/>
        </w:rPr>
        <w:t>, a Delaware limited liability company</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SunPower Equity Holdings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TOTAL SE</w:t>
      </w:r>
      <w:r>
        <w:rPr>
          <w:rFonts w:ascii="Times New Roman" w:cs="Times New Roman" w:eastAsia="Times New Roman" w:hAnsi="Times New Roman"/>
          <w:sz w:val="17"/>
          <w:szCs w:val="17"/>
          <w:color w:val="231F20"/>
        </w:rPr>
        <w:t>, a societas europaea (formerly known as Total S.A.; “</w:t>
      </w:r>
      <w:r>
        <w:rPr>
          <w:rFonts w:ascii="Times New Roman" w:cs="Times New Roman" w:eastAsia="Times New Roman" w:hAnsi="Times New Roman"/>
          <w:sz w:val="17"/>
          <w:szCs w:val="17"/>
          <w:b w:val="1"/>
          <w:bCs w:val="1"/>
          <w:color w:val="231F20"/>
        </w:rPr>
        <w:t>Total</w:t>
      </w:r>
      <w:r>
        <w:rPr>
          <w:rFonts w:ascii="Times New Roman" w:cs="Times New Roman" w:eastAsia="Times New Roman" w:hAnsi="Times New Roman"/>
          <w:sz w:val="17"/>
          <w:szCs w:val="17"/>
          <w:color w:val="231F20"/>
        </w:rPr>
        <w:t>” and, together SunPower and SunPower Equity Holdings, the “</w:t>
      </w:r>
      <w:r>
        <w:rPr>
          <w:rFonts w:ascii="Times New Roman" w:cs="Times New Roman" w:eastAsia="Times New Roman" w:hAnsi="Times New Roman"/>
          <w:sz w:val="17"/>
          <w:szCs w:val="17"/>
          <w:b w:val="1"/>
          <w:bCs w:val="1"/>
          <w:color w:val="231F20"/>
        </w:rPr>
        <w:t>Stockholders</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b w:val="1"/>
          <w:bCs w:val="1"/>
          <w:color w:val="231F20"/>
        </w:rPr>
        <w:t>ENPHASE ENERGY, INC.</w:t>
      </w:r>
      <w:r>
        <w:rPr>
          <w:rFonts w:ascii="Times New Roman" w:cs="Times New Roman" w:eastAsia="Times New Roman" w:hAnsi="Times New Roman"/>
          <w:sz w:val="17"/>
          <w:szCs w:val="17"/>
          <w:color w:val="231F20"/>
        </w:rPr>
        <w:t>, a Delaware corporation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and, with the Stockholders, the “</w:t>
      </w:r>
      <w:r>
        <w:rPr>
          <w:rFonts w:ascii="Times New Roman" w:cs="Times New Roman" w:eastAsia="Times New Roman" w:hAnsi="Times New Roman"/>
          <w:sz w:val="17"/>
          <w:szCs w:val="17"/>
          <w:b w:val="1"/>
          <w:bCs w:val="1"/>
          <w:color w:val="231F20"/>
        </w:rPr>
        <w:t>Parties</w:t>
      </w:r>
      <w:r>
        <w:rPr>
          <w:rFonts w:ascii="Times New Roman" w:cs="Times New Roman" w:eastAsia="Times New Roman" w:hAnsi="Times New Roman"/>
          <w:sz w:val="17"/>
          <w:szCs w:val="17"/>
          <w:color w:val="231F20"/>
        </w:rPr>
        <w:t>” and each a “</w:t>
      </w:r>
      <w:r>
        <w:rPr>
          <w:rFonts w:ascii="Times New Roman" w:cs="Times New Roman" w:eastAsia="Times New Roman" w:hAnsi="Times New Roman"/>
          <w:sz w:val="17"/>
          <w:szCs w:val="17"/>
          <w:b w:val="1"/>
          <w:bCs w:val="1"/>
          <w:color w:val="231F20"/>
        </w:rPr>
        <w:t>Party</w:t>
      </w:r>
      <w:r>
        <w:rPr>
          <w:rFonts w:ascii="Times New Roman" w:cs="Times New Roman" w:eastAsia="Times New Roman" w:hAnsi="Times New Roman"/>
          <w:sz w:val="17"/>
          <w:szCs w:val="17"/>
          <w:color w:val="231F20"/>
        </w:rPr>
        <w:t>”). Initially capitalized terms used but not otherwise defined in this Consent and Waiver have the respective meanings given to them in the Stockholders Agreement.</w:t>
      </w:r>
    </w:p>
    <w:p>
      <w:pPr>
        <w:spacing w:after="0" w:line="1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231F20"/>
        </w:rPr>
        <w:t>RECITALS</w:t>
      </w:r>
    </w:p>
    <w:p>
      <w:pPr>
        <w:spacing w:after="0" w:line="208" w:lineRule="exact"/>
        <w:rPr>
          <w:sz w:val="20"/>
          <w:szCs w:val="20"/>
          <w:color w:val="auto"/>
        </w:rPr>
      </w:pPr>
    </w:p>
    <w:p>
      <w:pPr>
        <w:ind w:right="60" w:firstLine="503"/>
        <w:spacing w:after="0" w:line="281" w:lineRule="auto"/>
        <w:tabs>
          <w:tab w:leader="none" w:pos="950" w:val="left"/>
        </w:tabs>
        <w:numPr>
          <w:ilvl w:val="0"/>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 and SunPower entered into that certain Stockholders Agreement, dated as of August 9, 2018 (the “</w:t>
      </w:r>
      <w:r>
        <w:rPr>
          <w:rFonts w:ascii="Times New Roman" w:cs="Times New Roman" w:eastAsia="Times New Roman" w:hAnsi="Times New Roman"/>
          <w:sz w:val="17"/>
          <w:szCs w:val="17"/>
          <w:b w:val="1"/>
          <w:bCs w:val="1"/>
          <w:color w:val="231F20"/>
        </w:rPr>
        <w:t>Agreement</w:t>
      </w:r>
      <w:r>
        <w:rPr>
          <w:rFonts w:ascii="Times New Roman" w:cs="Times New Roman" w:eastAsia="Times New Roman" w:hAnsi="Times New Roman"/>
          <w:sz w:val="17"/>
          <w:szCs w:val="17"/>
          <w:color w:val="231F20"/>
        </w:rPr>
        <w:t>”), to establish certain rights, restrictions and obligations of SunPower with respect to the Company Securities Beneficially Owned by SunPower.</w:t>
      </w:r>
    </w:p>
    <w:p>
      <w:pPr>
        <w:spacing w:after="0" w:line="140" w:lineRule="exact"/>
        <w:rPr>
          <w:rFonts w:ascii="Times New Roman" w:cs="Times New Roman" w:eastAsia="Times New Roman" w:hAnsi="Times New Roman"/>
          <w:sz w:val="17"/>
          <w:szCs w:val="17"/>
          <w:color w:val="231F20"/>
        </w:rPr>
      </w:pPr>
    </w:p>
    <w:p>
      <w:pPr>
        <w:jc w:val="both"/>
        <w:ind w:right="60" w:firstLine="503"/>
        <w:spacing w:after="0" w:line="262" w:lineRule="auto"/>
        <w:tabs>
          <w:tab w:leader="none" w:pos="853" w:val="left"/>
        </w:tabs>
        <w:numPr>
          <w:ilvl w:val="0"/>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SunPower and its Affiliate, SunPower Equity Holdings, entered into that certain Joinder to Stockholders Agreement and Guarantee, dated as of September 24, 2019, whereby SunPower Equity Holdings agreed to be a party to, to be bound by, and to comply with the provisions of the Agreement as a “Stockholder”, with all obligations and rights of the “Stockholder” under the Agreement, except as set forth therein.</w:t>
      </w:r>
    </w:p>
    <w:p>
      <w:pPr>
        <w:spacing w:after="0" w:line="144" w:lineRule="exact"/>
        <w:rPr>
          <w:rFonts w:ascii="Times New Roman" w:cs="Times New Roman" w:eastAsia="Times New Roman" w:hAnsi="Times New Roman"/>
          <w:sz w:val="17"/>
          <w:szCs w:val="17"/>
          <w:color w:val="231F20"/>
        </w:rPr>
      </w:pPr>
    </w:p>
    <w:p>
      <w:pPr>
        <w:jc w:val="both"/>
        <w:ind w:right="60" w:firstLine="503"/>
        <w:spacing w:after="0" w:line="249" w:lineRule="auto"/>
        <w:tabs>
          <w:tab w:leader="none" w:pos="903" w:val="left"/>
        </w:tabs>
        <w:numPr>
          <w:ilvl w:val="0"/>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SunPower and its Affiliate, Total, entered into that certain Joinder to Stockholders Agreement and Guarantee, dated as of October 29, 2019, whereby Total agreed to be a party to, to be bound by, and to comply with the provisions of the Agreement as a “Stockholder”, with all obligations and rights of the “Stockholder” under the Agreement, except as set forth therein.</w:t>
      </w:r>
    </w:p>
    <w:p>
      <w:pPr>
        <w:sectPr>
          <w:pgSz w:w="11900" w:h="16838" w:orient="portrait"/>
          <w:cols w:equalWidth="0" w:num="1">
            <w:col w:w="10340"/>
          </w:cols>
          <w:pgMar w:left="1160" w:top="1440" w:right="399" w:bottom="1440" w:gutter="0" w:footer="0" w:header="0"/>
        </w:sectPr>
      </w:pPr>
    </w:p>
    <w:bookmarkStart w:id="162" w:name="page163"/>
    <w:bookmarkEnd w:id="162"/>
    <w:p>
      <w:pPr>
        <w:ind w:right="60" w:firstLine="503"/>
        <w:spacing w:after="0" w:line="263" w:lineRule="auto"/>
        <w:tabs>
          <w:tab w:leader="none" w:pos="906" w:val="left"/>
        </w:tabs>
        <w:numPr>
          <w:ilvl w:val="0"/>
          <w:numId w:val="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accordance with the terms of the Agreement, the Stockholders Transferred 1,000,000 shares of Company Securities during a period beginning on August 5, 2020 and ending on August 28, 2020 (the “</w:t>
      </w:r>
      <w:r>
        <w:rPr>
          <w:rFonts w:ascii="Times New Roman" w:cs="Times New Roman" w:eastAsia="Times New Roman" w:hAnsi="Times New Roman"/>
          <w:sz w:val="17"/>
          <w:szCs w:val="17"/>
          <w:b w:val="1"/>
          <w:bCs w:val="1"/>
          <w:color w:val="231F20"/>
        </w:rPr>
        <w:t>Prior Transfer</w:t>
      </w:r>
      <w:r>
        <w:rPr>
          <w:rFonts w:ascii="Times New Roman" w:cs="Times New Roman" w:eastAsia="Times New Roman" w:hAnsi="Times New Roman"/>
          <w:sz w:val="17"/>
          <w:szCs w:val="17"/>
          <w:color w:val="231F20"/>
        </w:rPr>
        <w:t>”).</w:t>
      </w:r>
    </w:p>
    <w:p>
      <w:pPr>
        <w:spacing w:after="0" w:line="144" w:lineRule="exact"/>
        <w:rPr>
          <w:rFonts w:ascii="Times New Roman" w:cs="Times New Roman" w:eastAsia="Times New Roman" w:hAnsi="Times New Roman"/>
          <w:sz w:val="17"/>
          <w:szCs w:val="17"/>
          <w:color w:val="231F20"/>
        </w:rPr>
      </w:pPr>
    </w:p>
    <w:p>
      <w:pPr>
        <w:ind w:right="60" w:firstLine="503"/>
        <w:spacing w:after="0" w:line="263" w:lineRule="auto"/>
        <w:tabs>
          <w:tab w:leader="none" w:pos="906" w:val="left"/>
        </w:tabs>
        <w:numPr>
          <w:ilvl w:val="0"/>
          <w:numId w:val="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Pursuant to Section 5.1(b) of the Agreement, the Transfer of more than 1,000,000 shares of Company Securities by the Stockholders during any trailing six-month period requires the prior written consent of the Company.</w:t>
      </w:r>
    </w:p>
    <w:p>
      <w:pPr>
        <w:spacing w:after="0" w:line="140" w:lineRule="exact"/>
        <w:rPr>
          <w:rFonts w:ascii="Times New Roman" w:cs="Times New Roman" w:eastAsia="Times New Roman" w:hAnsi="Times New Roman"/>
          <w:sz w:val="17"/>
          <w:szCs w:val="17"/>
          <w:color w:val="231F20"/>
        </w:rPr>
      </w:pPr>
    </w:p>
    <w:p>
      <w:pPr>
        <w:ind w:right="60" w:firstLine="503"/>
        <w:spacing w:after="0" w:line="268" w:lineRule="auto"/>
        <w:tabs>
          <w:tab w:leader="none" w:pos="824" w:val="left"/>
        </w:tabs>
        <w:numPr>
          <w:ilvl w:val="0"/>
          <w:numId w:val="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Stockholders desire to Transfer up to an additional 1,000,000 shares of Company Securities (the “</w:t>
      </w:r>
      <w:r>
        <w:rPr>
          <w:rFonts w:ascii="Times New Roman" w:cs="Times New Roman" w:eastAsia="Times New Roman" w:hAnsi="Times New Roman"/>
          <w:sz w:val="17"/>
          <w:szCs w:val="17"/>
          <w:b w:val="1"/>
          <w:bCs w:val="1"/>
          <w:color w:val="231F20"/>
        </w:rPr>
        <w:t>Transferred Securities</w:t>
      </w:r>
      <w:r>
        <w:rPr>
          <w:rFonts w:ascii="Times New Roman" w:cs="Times New Roman" w:eastAsia="Times New Roman" w:hAnsi="Times New Roman"/>
          <w:sz w:val="17"/>
          <w:szCs w:val="17"/>
          <w:color w:val="231F20"/>
        </w:rPr>
        <w:t>” and, such Transfer, the “</w:t>
      </w:r>
      <w:r>
        <w:rPr>
          <w:rFonts w:ascii="Times New Roman" w:cs="Times New Roman" w:eastAsia="Times New Roman" w:hAnsi="Times New Roman"/>
          <w:sz w:val="17"/>
          <w:szCs w:val="17"/>
          <w:b w:val="1"/>
          <w:bCs w:val="1"/>
          <w:color w:val="231F20"/>
        </w:rPr>
        <w:t>Q4 Sale</w:t>
      </w:r>
      <w:r>
        <w:rPr>
          <w:rFonts w:ascii="Times New Roman" w:cs="Times New Roman" w:eastAsia="Times New Roman" w:hAnsi="Times New Roman"/>
          <w:sz w:val="17"/>
          <w:szCs w:val="17"/>
          <w:color w:val="231F20"/>
        </w:rPr>
        <w:t>”) within six months of the Prior Transfer and the Company desires to consent to such Transfer.</w:t>
      </w:r>
    </w:p>
    <w:p>
      <w:pPr>
        <w:spacing w:after="0" w:line="15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CONSENT AND WAIVER</w:t>
      </w:r>
    </w:p>
    <w:p>
      <w:pPr>
        <w:spacing w:after="0" w:line="190" w:lineRule="exact"/>
        <w:rPr>
          <w:sz w:val="20"/>
          <w:szCs w:val="20"/>
          <w:color w:val="auto"/>
        </w:rPr>
      </w:pPr>
    </w:p>
    <w:p>
      <w:pPr>
        <w:ind w:right="60" w:firstLine="509"/>
        <w:spacing w:after="0" w:line="263" w:lineRule="auto"/>
        <w:rPr>
          <w:sz w:val="20"/>
          <w:szCs w:val="20"/>
          <w:color w:val="auto"/>
        </w:rPr>
      </w:pPr>
      <w:r>
        <w:rPr>
          <w:rFonts w:ascii="Times New Roman" w:cs="Times New Roman" w:eastAsia="Times New Roman" w:hAnsi="Times New Roman"/>
          <w:sz w:val="17"/>
          <w:szCs w:val="17"/>
          <w:color w:val="231F20"/>
        </w:rPr>
        <w:t>The Parties hereby agree to this Consent and Waiver in consideration of the mutual conditions and agreements set forth Stockholders Agreement and this Consent and Waiver,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other valuable consideration, the receipt and sufficiency of which are hereby acknowledged, as follows:</w:t>
      </w:r>
    </w:p>
    <w:p>
      <w:pPr>
        <w:spacing w:after="0" w:line="193" w:lineRule="exact"/>
        <w:rPr>
          <w:sz w:val="20"/>
          <w:szCs w:val="20"/>
          <w:color w:val="auto"/>
        </w:rPr>
      </w:pPr>
    </w:p>
    <w:p>
      <w:pPr>
        <w:ind w:left="800" w:hanging="297"/>
        <w:spacing w:after="0"/>
        <w:tabs>
          <w:tab w:leader="none" w:pos="800" w:val="left"/>
        </w:tabs>
        <w:numPr>
          <w:ilvl w:val="0"/>
          <w:numId w:val="9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Consent and Waiver; the Q4 Sale.</w:t>
      </w:r>
    </w:p>
    <w:p>
      <w:pPr>
        <w:spacing w:after="0" w:line="201" w:lineRule="exact"/>
        <w:rPr>
          <w:sz w:val="20"/>
          <w:szCs w:val="20"/>
          <w:color w:val="auto"/>
        </w:rPr>
      </w:pPr>
    </w:p>
    <w:p>
      <w:pPr>
        <w:ind w:firstLine="503"/>
        <w:spacing w:after="0" w:line="263" w:lineRule="auto"/>
        <w:tabs>
          <w:tab w:leader="none" w:pos="885"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accordance with Sections 5.1(b) and 8.6 of the Agreement, the Company hereby consents to the Q4 Sale and, notwithstanding anything to the contrary therein, the provisions of Section 5.1 of the Agreement are hereby waived solely as to the Q4 Sale in accordance with the terms herein.</w:t>
      </w:r>
    </w:p>
    <w:p>
      <w:pPr>
        <w:spacing w:after="0" w:line="144" w:lineRule="exact"/>
        <w:rPr>
          <w:rFonts w:ascii="Times New Roman" w:cs="Times New Roman" w:eastAsia="Times New Roman" w:hAnsi="Times New Roman"/>
          <w:sz w:val="17"/>
          <w:szCs w:val="17"/>
          <w:color w:val="231F20"/>
        </w:rPr>
      </w:pPr>
    </w:p>
    <w:p>
      <w:pPr>
        <w:ind w:firstLine="503"/>
        <w:spacing w:after="0" w:line="263" w:lineRule="auto"/>
        <w:tabs>
          <w:tab w:leader="none" w:pos="884"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Transfer of any Company Securities as part of the Q4 Sale shall be made so that, on the date of any Transfer, not more than 1,000,000 shares of Company Securities, including the Transfer, will have been Transferred during the prior three-months.</w:t>
      </w:r>
    </w:p>
    <w:p>
      <w:pPr>
        <w:spacing w:after="0" w:line="151" w:lineRule="exact"/>
        <w:rPr>
          <w:sz w:val="20"/>
          <w:szCs w:val="20"/>
          <w:color w:val="auto"/>
        </w:rPr>
      </w:pPr>
    </w:p>
    <w:p>
      <w:pPr>
        <w:jc w:val="both"/>
        <w:ind w:firstLine="503"/>
        <w:spacing w:after="0" w:line="253" w:lineRule="auto"/>
        <w:tabs>
          <w:tab w:leader="none" w:pos="849" w:val="left"/>
        </w:tabs>
        <w:numPr>
          <w:ilvl w:val="0"/>
          <w:numId w:val="9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 xml:space="preserve">Subsequent Sale. </w:t>
      </w:r>
      <w:r>
        <w:rPr>
          <w:rFonts w:ascii="Times New Roman" w:cs="Times New Roman" w:eastAsia="Times New Roman" w:hAnsi="Times New Roman"/>
          <w:sz w:val="17"/>
          <w:szCs w:val="17"/>
          <w:color w:val="231F20"/>
        </w:rPr>
        <w:t>The Parties agree that, notwithstanding anything to the contrary in Section 5.1(b) of the Agreement, following the Q4</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Sale, the next such Transfer of Company Securities undertaken by the Stockholders shall be made so that, on the date of any Transfer, not more than 2,000,000 shares of Company Securities, including the Transfer, will have been Transferred during the prior twelve-months (such Transfer or Transfers collectively, the “</w:t>
      </w:r>
      <w:r>
        <w:rPr>
          <w:rFonts w:ascii="Times New Roman" w:cs="Times New Roman" w:eastAsia="Times New Roman" w:hAnsi="Times New Roman"/>
          <w:sz w:val="17"/>
          <w:szCs w:val="17"/>
          <w:b w:val="1"/>
          <w:bCs w:val="1"/>
          <w:color w:val="231F20"/>
        </w:rPr>
        <w:t>Subsequent Sale</w:t>
      </w:r>
      <w:r>
        <w:rPr>
          <w:rFonts w:ascii="Times New Roman" w:cs="Times New Roman" w:eastAsia="Times New Roman" w:hAnsi="Times New Roman"/>
          <w:sz w:val="17"/>
          <w:szCs w:val="17"/>
          <w:color w:val="231F20"/>
        </w:rPr>
        <w:t>”). For the avoidance of doubt, (a) following the consummation of the Subsequent Sale, Section 5.1(b) shall govern any subsequent Transfers of Company Securities by the Stockholders and (b) for any Transfer, including the Q4 Sale and the Subsequent Sale, the manner, volume, price and other terms of any such Transfer shall be made at the sole discretion of the Stockholders, subject to the limitations set forth herein .</w:t>
      </w:r>
    </w:p>
    <w:p>
      <w:pPr>
        <w:sectPr>
          <w:pgSz w:w="11900" w:h="16838" w:orient="portrait"/>
          <w:cols w:equalWidth="0" w:num="1">
            <w:col w:w="10340"/>
          </w:cols>
          <w:pgMar w:left="1160" w:top="1137" w:right="399" w:bottom="1440" w:gutter="0" w:footer="0" w:header="0"/>
        </w:sectPr>
      </w:pPr>
    </w:p>
    <w:bookmarkStart w:id="163" w:name="page164"/>
    <w:bookmarkEnd w:id="163"/>
    <w:p>
      <w:pPr>
        <w:jc w:val="both"/>
        <w:ind w:left="-280" w:firstLine="503"/>
        <w:spacing w:after="0" w:line="254" w:lineRule="auto"/>
        <w:tabs>
          <w:tab w:leader="none" w:pos="559" w:val="left"/>
        </w:tabs>
        <w:numPr>
          <w:ilvl w:val="0"/>
          <w:numId w:val="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Effectiveness of Waiver; Limited Effect; No Modifications</w:t>
      </w:r>
      <w:r>
        <w:rPr>
          <w:rFonts w:ascii="Times New Roman" w:cs="Times New Roman" w:eastAsia="Times New Roman" w:hAnsi="Times New Roman"/>
          <w:sz w:val="17"/>
          <w:szCs w:val="17"/>
          <w:color w:val="231F20"/>
        </w:rPr>
        <w:t>. This Consent and Waiver will become effective on the Effective Date.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waiver set forth above relates solely to Transfer of the Transferred Securities by the Stockholders in the manner and to the extent described above, and nothing in this Consent and Waiver shall be deemed to constitute a waiver by the Company of compliance with respect to any other term, provision or condition of the Agreement or any other instrument or agreement referred to therein. Nothing contained in this Consent and Waiver will be deemed or construed to amend, supplement or modify the Agreement (including, without limitation, the provisions of Section 5.1(b) thereof) or otherwise affect the rights and obligations of any party thereto, all of which remain in full force and effect.</w:t>
      </w:r>
    </w:p>
    <w:p>
      <w:pPr>
        <w:spacing w:after="0" w:line="169" w:lineRule="exact"/>
        <w:rPr>
          <w:rFonts w:ascii="Times New Roman" w:cs="Times New Roman" w:eastAsia="Times New Roman" w:hAnsi="Times New Roman"/>
          <w:sz w:val="17"/>
          <w:szCs w:val="17"/>
          <w:color w:val="231F20"/>
        </w:rPr>
      </w:pPr>
    </w:p>
    <w:p>
      <w:pPr>
        <w:ind w:left="520" w:hanging="298"/>
        <w:spacing w:after="0"/>
        <w:tabs>
          <w:tab w:leader="none" w:pos="520" w:val="left"/>
        </w:tabs>
        <w:numPr>
          <w:ilvl w:val="0"/>
          <w:numId w:val="9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Miscellaneous</w:t>
      </w:r>
      <w:r>
        <w:rPr>
          <w:rFonts w:ascii="Times New Roman" w:cs="Times New Roman" w:eastAsia="Times New Roman" w:hAnsi="Times New Roman"/>
          <w:sz w:val="17"/>
          <w:szCs w:val="17"/>
          <w:color w:val="231F20"/>
        </w:rPr>
        <w:t>. The terms and provisions of Section 8 of the Agreement are incorporated herein by reference,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i w:val="1"/>
          <w:iCs w:val="1"/>
          <w:color w:val="231F20"/>
        </w:rPr>
        <w:t>mutatis mutandis</w:t>
      </w:r>
      <w:r>
        <w:rPr>
          <w:rFonts w:ascii="Times New Roman" w:cs="Times New Roman" w:eastAsia="Times New Roman" w:hAnsi="Times New Roman"/>
          <w:sz w:val="17"/>
          <w:szCs w:val="17"/>
          <w:color w:val="231F20"/>
        </w:rPr>
        <w:t>.</w:t>
      </w:r>
    </w:p>
    <w:p>
      <w:pPr>
        <w:spacing w:after="0" w:line="200" w:lineRule="exact"/>
        <w:rPr>
          <w:sz w:val="20"/>
          <w:szCs w:val="20"/>
          <w:color w:val="auto"/>
        </w:rPr>
      </w:pPr>
    </w:p>
    <w:p>
      <w:pPr>
        <w:spacing w:after="0" w:line="38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10060"/>
          </w:cols>
          <w:pgMar w:left="1440" w:top="1335" w:right="3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color w:val="231F20"/>
        </w:rPr>
        <w:t>IN WITNESS WHEREOF, the parties have executed and delivered this Consent and Waiver as of the last Date below.</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u w:val="single" w:color="auto"/>
          <w:color w:val="231F20"/>
        </w:rPr>
        <w:t>S</w:t>
      </w:r>
      <w:r>
        <w:rPr>
          <w:rFonts w:ascii="Times New Roman" w:cs="Times New Roman" w:eastAsia="Times New Roman" w:hAnsi="Times New Roman"/>
          <w:sz w:val="17"/>
          <w:szCs w:val="17"/>
          <w:color w:val="231F20"/>
        </w:rPr>
        <w:t>tockholders:</w:t>
      </w:r>
    </w:p>
    <w:p>
      <w:pPr>
        <w:spacing w:after="0" w:line="17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231F20"/>
        </w:rPr>
        <w:t>SUNPOWER CORPORATION,</w:t>
      </w:r>
    </w:p>
    <w:p>
      <w:pPr>
        <w:spacing w:after="0" w:line="2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231F20"/>
        </w:rPr>
        <w:t>a Delaware corporation</w:t>
      </w:r>
    </w:p>
    <w:p>
      <w:pPr>
        <w:spacing w:after="0" w:line="164" w:lineRule="exact"/>
        <w:rPr>
          <w:sz w:val="20"/>
          <w:szCs w:val="20"/>
          <w:color w:val="auto"/>
        </w:rPr>
      </w:pPr>
    </w:p>
    <w:tbl>
      <w:tblPr>
        <w:tblLayout w:type="fixed"/>
        <w:tblInd w:w="256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231F20"/>
              </w:rPr>
              <w:t>By:</w:t>
            </w: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231F20"/>
              </w:rPr>
              <w:t>/S/ Manavendra Sial   Name: Manavendra Sial</w:t>
            </w:r>
          </w:p>
        </w:tc>
      </w:tr>
      <w:tr>
        <w:trPr>
          <w:trHeight w:val="20"/>
        </w:trPr>
        <w:tc>
          <w:tcPr>
            <w:tcW w:w="400" w:type="dxa"/>
            <w:vAlign w:val="bottom"/>
          </w:tcPr>
          <w:p>
            <w:pPr>
              <w:spacing w:after="0" w:line="20" w:lineRule="exact"/>
              <w:rPr>
                <w:sz w:val="1"/>
                <w:szCs w:val="1"/>
                <w:color w:val="auto"/>
              </w:rPr>
            </w:pPr>
          </w:p>
        </w:tc>
        <w:tc>
          <w:tcPr>
            <w:tcW w:w="1600" w:type="dxa"/>
            <w:vAlign w:val="bottom"/>
            <w:shd w:val="clear" w:color="auto" w:fill="231F2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231F20"/>
              </w:rPr>
              <w:t>Title:</w:t>
            </w:r>
          </w:p>
        </w:tc>
        <w:tc>
          <w:tcPr>
            <w:tcW w:w="39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231F20"/>
                <w:w w:val="98"/>
              </w:rPr>
              <w:t>Executive Vice President and Chief Financial Officer</w:t>
            </w:r>
          </w:p>
        </w:tc>
      </w:tr>
      <w:tr>
        <w:trPr>
          <w:trHeight w:val="219"/>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231F20"/>
              </w:rPr>
              <w:t>Date:</w:t>
            </w:r>
          </w:p>
        </w:tc>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231F20"/>
              </w:rPr>
              <w:t>October 27, 2020</w:t>
            </w:r>
          </w:p>
        </w:tc>
      </w:tr>
    </w:tbl>
    <w:p>
      <w:pPr>
        <w:spacing w:after="0" w:line="36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231F20"/>
        </w:rPr>
        <w:t>SUNPOWER EQUITY HOLDINGS, LLC,</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231F20"/>
        </w:rPr>
        <w:t>a Delaware limited liability company</w:t>
      </w:r>
    </w:p>
    <w:p>
      <w:pPr>
        <w:spacing w:after="0" w:line="175" w:lineRule="exact"/>
        <w:rPr>
          <w:sz w:val="20"/>
          <w:szCs w:val="20"/>
          <w:color w:val="auto"/>
        </w:rPr>
      </w:pPr>
    </w:p>
    <w:p>
      <w:pPr>
        <w:ind w:left="2560"/>
        <w:spacing w:after="0"/>
        <w:tabs>
          <w:tab w:leader="none" w:pos="2940" w:val="left"/>
        </w:tabs>
        <w:rPr>
          <w:sz w:val="20"/>
          <w:szCs w:val="20"/>
          <w:color w:val="auto"/>
        </w:rPr>
      </w:pPr>
      <w:r>
        <w:rPr>
          <w:rFonts w:ascii="Times New Roman" w:cs="Times New Roman" w:eastAsia="Times New Roman" w:hAnsi="Times New Roman"/>
          <w:sz w:val="17"/>
          <w:szCs w:val="17"/>
          <w:color w:val="231F20"/>
        </w:rPr>
        <w:t>By:</w:t>
      </w:r>
      <w:r>
        <w:rPr>
          <w:sz w:val="20"/>
          <w:szCs w:val="20"/>
          <w:color w:val="auto"/>
        </w:rPr>
        <w:tab/>
      </w:r>
      <w:r>
        <w:rPr>
          <w:rFonts w:ascii="Times New Roman" w:cs="Times New Roman" w:eastAsia="Times New Roman" w:hAnsi="Times New Roman"/>
          <w:sz w:val="16"/>
          <w:szCs w:val="16"/>
          <w:b w:val="1"/>
          <w:bCs w:val="1"/>
          <w:color w:val="231F20"/>
        </w:rPr>
        <w:t>SUNPOWER CORPORATION</w:t>
      </w:r>
      <w:r>
        <w:rPr>
          <w:rFonts w:ascii="Times New Roman" w:cs="Times New Roman" w:eastAsia="Times New Roman" w:hAnsi="Times New Roman"/>
          <w:sz w:val="16"/>
          <w:szCs w:val="16"/>
          <w:color w:val="231F20"/>
        </w:rPr>
        <w:t>, a</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231F20"/>
        </w:rPr>
        <w:t>Delaware corporation, its sole member</w:t>
      </w:r>
    </w:p>
    <w:p>
      <w:pPr>
        <w:spacing w:after="0" w:line="164" w:lineRule="exact"/>
        <w:rPr>
          <w:sz w:val="20"/>
          <w:szCs w:val="20"/>
          <w:color w:val="auto"/>
        </w:rPr>
      </w:pPr>
    </w:p>
    <w:tbl>
      <w:tblPr>
        <w:tblLayout w:type="fixed"/>
        <w:tblInd w:w="2560" w:type="dxa"/>
        <w:tblCellMar>
          <w:top w:w="0" w:type="dxa"/>
          <w:left w:w="0" w:type="dxa"/>
          <w:bottom w:w="0" w:type="dxa"/>
          <w:right w:w="0" w:type="dxa"/>
        </w:tblCellMar>
      </w:tblPr>
      <w:tr>
        <w:trPr>
          <w:trHeight w:val="195"/>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rPr>
              <w:t>By:</w:t>
            </w:r>
          </w:p>
        </w:tc>
        <w:tc>
          <w:tcPr>
            <w:tcW w:w="20" w:type="dxa"/>
            <w:vAlign w:val="bottom"/>
          </w:tcPr>
          <w:p>
            <w:pPr>
              <w:spacing w:after="0"/>
              <w:rPr>
                <w:sz w:val="17"/>
                <w:szCs w:val="17"/>
                <w:color w:val="auto"/>
              </w:rPr>
            </w:pPr>
          </w:p>
        </w:tc>
        <w:tc>
          <w:tcPr>
            <w:tcW w:w="16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/S/ Manavendra Sial</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231F20"/>
              </w:rPr>
              <w:t>Name: Manavendra Sial</w:t>
            </w:r>
          </w:p>
        </w:tc>
      </w:tr>
      <w:tr>
        <w:trPr>
          <w:trHeight w:val="203"/>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w w:val="97"/>
              </w:rPr>
              <w:t>Title:</w:t>
            </w:r>
          </w:p>
        </w:tc>
        <w:tc>
          <w:tcPr>
            <w:tcW w:w="20" w:type="dxa"/>
            <w:vAlign w:val="bottom"/>
          </w:tcPr>
          <w:p>
            <w:pPr>
              <w:spacing w:after="0"/>
              <w:rPr>
                <w:sz w:val="17"/>
                <w:szCs w:val="17"/>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231F20"/>
                <w:w w:val="98"/>
              </w:rPr>
              <w:t>Executive Vice President and Chief Financial Officer</w:t>
            </w:r>
          </w:p>
        </w:tc>
      </w:tr>
      <w:tr>
        <w:trPr>
          <w:trHeight w:val="21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w w:val="97"/>
              </w:rPr>
              <w:t>Date:</w:t>
            </w:r>
          </w:p>
        </w:tc>
        <w:tc>
          <w:tcPr>
            <w:tcW w:w="20" w:type="dxa"/>
            <w:vAlign w:val="bottom"/>
          </w:tcPr>
          <w:p>
            <w:pPr>
              <w:spacing w:after="0"/>
              <w:rPr>
                <w:sz w:val="19"/>
                <w:szCs w:val="19"/>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231F20"/>
              </w:rPr>
              <w:t>October 27, 2020</w:t>
            </w: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75"/>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rPr>
              <w:t>By:</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231F20"/>
              </w:rPr>
              <w:t>TOTAL SE</w:t>
            </w:r>
            <w:r>
              <w:rPr>
                <w:rFonts w:ascii="Times New Roman" w:cs="Times New Roman" w:eastAsia="Times New Roman" w:hAnsi="Times New Roman"/>
                <w:sz w:val="17"/>
                <w:szCs w:val="17"/>
                <w:color w:val="231F20"/>
              </w:rPr>
              <w:t>,</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9"/>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a societas europaea</w:t>
            </w: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53"/>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rPr>
              <w:t>By:</w:t>
            </w:r>
          </w:p>
        </w:tc>
        <w:tc>
          <w:tcPr>
            <w:tcW w:w="20" w:type="dxa"/>
            <w:vAlign w:val="bottom"/>
          </w:tcPr>
          <w:p>
            <w:pPr>
              <w:spacing w:after="0"/>
              <w:rPr>
                <w:sz w:val="24"/>
                <w:szCs w:val="24"/>
                <w:color w:val="auto"/>
              </w:rPr>
            </w:pPr>
          </w:p>
        </w:tc>
        <w:tc>
          <w:tcPr>
            <w:tcW w:w="16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/S/ Jean Pierre Sbraire</w:t>
            </w:r>
          </w:p>
        </w:tc>
        <w:tc>
          <w:tcPr>
            <w:tcW w:w="140" w:type="dxa"/>
            <w:vAlign w:val="bottom"/>
            <w:tcBorders>
              <w:bottom w:val="single" w:sz="8" w:color="231F20"/>
            </w:tcBorders>
          </w:tcPr>
          <w:p>
            <w:pPr>
              <w:spacing w:after="0"/>
              <w:rPr>
                <w:sz w:val="24"/>
                <w:szCs w:val="24"/>
                <w:color w:val="auto"/>
              </w:rPr>
            </w:pPr>
          </w:p>
        </w:tc>
        <w:tc>
          <w:tcPr>
            <w:tcW w:w="2160" w:type="dxa"/>
            <w:vAlign w:val="bottom"/>
          </w:tcPr>
          <w:p>
            <w:pPr>
              <w:ind w:left="40"/>
              <w:spacing w:after="0"/>
              <w:rPr>
                <w:sz w:val="20"/>
                <w:szCs w:val="20"/>
                <w:color w:val="auto"/>
              </w:rPr>
            </w:pPr>
            <w:r>
              <w:rPr>
                <w:rFonts w:ascii="Times New Roman" w:cs="Times New Roman" w:eastAsia="Times New Roman" w:hAnsi="Times New Roman"/>
                <w:sz w:val="17"/>
                <w:szCs w:val="17"/>
                <w:color w:val="231F20"/>
              </w:rPr>
              <w:t>Name: Jean Pierre Sbraire</w:t>
            </w:r>
          </w:p>
        </w:tc>
      </w:tr>
      <w:tr>
        <w:trPr>
          <w:trHeight w:val="203"/>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w w:val="97"/>
              </w:rPr>
              <w:t>Title:</w:t>
            </w:r>
          </w:p>
        </w:tc>
        <w:tc>
          <w:tcPr>
            <w:tcW w:w="20" w:type="dxa"/>
            <w:vAlign w:val="bottom"/>
          </w:tcPr>
          <w:p>
            <w:pPr>
              <w:spacing w:after="0"/>
              <w:rPr>
                <w:sz w:val="17"/>
                <w:szCs w:val="17"/>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231F20"/>
              </w:rPr>
              <w:t>Chief Financial Officer</w:t>
            </w:r>
          </w:p>
        </w:tc>
      </w:tr>
      <w:tr>
        <w:trPr>
          <w:trHeight w:val="219"/>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231F20"/>
                <w:w w:val="97"/>
              </w:rPr>
              <w:t>Date:</w:t>
            </w:r>
          </w:p>
        </w:tc>
        <w:tc>
          <w:tcPr>
            <w:tcW w:w="20" w:type="dxa"/>
            <w:vAlign w:val="bottom"/>
          </w:tcPr>
          <w:p>
            <w:pPr>
              <w:spacing w:after="0"/>
              <w:rPr>
                <w:sz w:val="19"/>
                <w:szCs w:val="19"/>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231F20"/>
              </w:rPr>
              <w:t>November 18, 2020</w:t>
            </w: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7"/>
          <w:szCs w:val="17"/>
          <w:color w:val="auto"/>
        </w:rPr>
        <w:t>[SIGNATURE PAGE TO CONSENT AND WAIVER TO STOCKHOLDERS AGREEMENT]</w:t>
      </w:r>
    </w:p>
    <w:p>
      <w:pPr>
        <w:sectPr>
          <w:pgSz w:w="11900" w:h="16838" w:orient="portrait"/>
          <w:cols w:equalWidth="0" w:num="1">
            <w:col w:w="9579"/>
          </w:cols>
          <w:pgMar w:left="880" w:top="1148" w:right="1440"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231F20"/>
        </w:rPr>
        <w:t>ENPHASE ENERGY, INC.,</w:t>
      </w:r>
    </w:p>
    <w:p>
      <w:pPr>
        <w:spacing w:after="0" w:line="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231F20"/>
        </w:rPr>
        <w:t>a Delaware corporation</w:t>
      </w:r>
    </w:p>
    <w:p>
      <w:pPr>
        <w:spacing w:after="0" w:line="179" w:lineRule="exact"/>
        <w:rPr>
          <w:sz w:val="20"/>
          <w:szCs w:val="20"/>
          <w:color w:val="auto"/>
        </w:rPr>
      </w:pPr>
    </w:p>
    <w:p>
      <w:pPr>
        <w:ind w:left="2000"/>
        <w:spacing w:after="0"/>
        <w:tabs>
          <w:tab w:leader="none" w:pos="2420" w:val="left"/>
          <w:tab w:leader="none" w:pos="3860" w:val="left"/>
        </w:tabs>
        <w:rPr>
          <w:sz w:val="20"/>
          <w:szCs w:val="20"/>
          <w:color w:val="auto"/>
        </w:rPr>
      </w:pPr>
      <w:r>
        <w:rPr>
          <w:rFonts w:ascii="Times New Roman" w:cs="Times New Roman" w:eastAsia="Times New Roman" w:hAnsi="Times New Roman"/>
          <w:sz w:val="17"/>
          <w:szCs w:val="17"/>
          <w:color w:val="231F20"/>
        </w:rPr>
        <w:t>By:</w:t>
        <w:tab/>
        <w:t>/S/ Eric Branderiz</w:t>
        <w:tab/>
        <w:t xml:space="preserve">Name: </w:t>
      </w:r>
      <w:r>
        <w:rPr>
          <w:rFonts w:ascii="Times New Roman" w:cs="Times New Roman" w:eastAsia="Times New Roman" w:hAnsi="Times New Roman"/>
          <w:sz w:val="17"/>
          <w:szCs w:val="17"/>
          <w:u w:val="single" w:color="auto"/>
          <w:color w:val="231F20"/>
        </w:rPr>
        <w:t>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-9525</wp:posOffset>
            </wp:positionV>
            <wp:extent cx="91313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913130" cy="6985"/>
                    </a:xfrm>
                    <a:prstGeom prst="rect">
                      <a:avLst/>
                    </a:prstGeom>
                    <a:noFill/>
                  </pic:spPr>
                </pic:pic>
              </a:graphicData>
            </a:graphic>
          </wp:anchor>
        </w:drawing>
      </w:r>
    </w:p>
    <w:p>
      <w:pPr>
        <w:spacing w:after="0" w:line="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231F20"/>
        </w:rPr>
        <w:t xml:space="preserve">Title: </w:t>
      </w:r>
      <w:r>
        <w:rPr>
          <w:rFonts w:ascii="Times New Roman" w:cs="Times New Roman" w:eastAsia="Times New Roman" w:hAnsi="Times New Roman"/>
          <w:sz w:val="17"/>
          <w:szCs w:val="17"/>
          <w:u w:val="single" w:color="auto"/>
          <w:color w:val="231F20"/>
        </w:rPr>
        <w:t>Chief Financial Officer</w:t>
      </w:r>
    </w:p>
    <w:p>
      <w:pPr>
        <w:spacing w:after="0" w:line="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231F20"/>
        </w:rPr>
        <w:t xml:space="preserve">Date: </w:t>
      </w:r>
      <w:r>
        <w:rPr>
          <w:rFonts w:ascii="Times New Roman" w:cs="Times New Roman" w:eastAsia="Times New Roman" w:hAnsi="Times New Roman"/>
          <w:sz w:val="17"/>
          <w:szCs w:val="17"/>
          <w:u w:val="single" w:color="auto"/>
          <w:color w:val="231F20"/>
        </w:rPr>
        <w:t>October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CONSENT AND WAIVER TO STOCKHOLDERS AGREEMENT]</w:t>
      </w:r>
    </w:p>
    <w:p>
      <w:pPr>
        <w:sectPr>
          <w:pgSz w:w="11900" w:h="16838" w:orient="portrait"/>
          <w:cols w:equalWidth="0" w:num="1">
            <w:col w:w="9019"/>
          </w:cols>
          <w:pgMar w:left="1440" w:top="1440" w:right="1440" w:bottom="1440" w:gutter="0" w:footer="0" w:header="0"/>
        </w:sectPr>
      </w:pPr>
    </w:p>
    <w:bookmarkStart w:id="166" w:name="page167"/>
    <w:bookmarkEnd w:id="166"/>
    <w:p>
      <w:pPr>
        <w:spacing w:after="0" w:line="87" w:lineRule="exact"/>
        <w:rPr>
          <w:sz w:val="20"/>
          <w:szCs w:val="20"/>
          <w:color w:val="auto"/>
        </w:rPr>
      </w:pPr>
    </w:p>
    <w:p>
      <w:pPr>
        <w:jc w:val="right"/>
        <w:ind w:left="5820" w:hanging="2123"/>
        <w:spacing w:after="0" w:line="309" w:lineRule="auto"/>
        <w:tabs>
          <w:tab w:leader="none" w:pos="3876" w:val="left"/>
        </w:tabs>
        <w:numPr>
          <w:ilvl w:val="0"/>
          <w:numId w:val="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Certain confidential information contained in this document, marked by brackets, has been omitted because it is both not material and would likely cause competitive harm to the Company if publicly disclosed.</w:t>
      </w:r>
    </w:p>
    <w:p>
      <w:pPr>
        <w:spacing w:after="0" w:line="36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111111"/>
        </w:rPr>
        <w:t>Manufacturing Services Agreement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111"/>
        </w:rPr>
        <w:t xml:space="preserve">This Manufacturing Services Agreement </w:t>
      </w:r>
      <w:r>
        <w:rPr>
          <w:rFonts w:ascii="Times New Roman" w:cs="Times New Roman" w:eastAsia="Times New Roman" w:hAnsi="Times New Roman"/>
          <w:sz w:val="16"/>
          <w:szCs w:val="16"/>
          <w:b w:val="1"/>
          <w:bCs w:val="1"/>
          <w:color w:val="111111"/>
        </w:rPr>
        <w:t>("Agreement")</w:t>
      </w:r>
      <w:r>
        <w:rPr>
          <w:rFonts w:ascii="Times New Roman" w:cs="Times New Roman" w:eastAsia="Times New Roman" w:hAnsi="Times New Roman"/>
          <w:sz w:val="16"/>
          <w:szCs w:val="16"/>
          <w:color w:val="111111"/>
        </w:rPr>
        <w:t xml:space="preserve"> is entered into on October 1, 2019 (“</w:t>
      </w:r>
      <w:r>
        <w:rPr>
          <w:rFonts w:ascii="Times New Roman" w:cs="Times New Roman" w:eastAsia="Times New Roman" w:hAnsi="Times New Roman"/>
          <w:sz w:val="16"/>
          <w:szCs w:val="16"/>
          <w:b w:val="1"/>
          <w:bCs w:val="1"/>
          <w:color w:val="111111"/>
        </w:rPr>
        <w:t>Effective Date</w:t>
      </w:r>
      <w:r>
        <w:rPr>
          <w:rFonts w:ascii="Times New Roman" w:cs="Times New Roman" w:eastAsia="Times New Roman" w:hAnsi="Times New Roman"/>
          <w:sz w:val="16"/>
          <w:szCs w:val="16"/>
          <w:color w:val="111111"/>
        </w:rPr>
        <w:t>”), by and between:</w:t>
      </w:r>
    </w:p>
    <w:p>
      <w:pPr>
        <w:spacing w:after="0" w:line="102" w:lineRule="exact"/>
        <w:rPr>
          <w:sz w:val="20"/>
          <w:szCs w:val="20"/>
          <w:color w:val="auto"/>
        </w:rPr>
      </w:pPr>
    </w:p>
    <w:p>
      <w:pPr>
        <w:ind w:left="340" w:hanging="315"/>
        <w:spacing w:after="0"/>
        <w:tabs>
          <w:tab w:leader="none" w:pos="3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11111"/>
        </w:rPr>
        <w:t>Enphase Energy, Inc. having its place of business at 47281Bayside Parkway, Fremont, CA 94538</w:t>
      </w:r>
      <w:r>
        <w:rPr>
          <w:rFonts w:ascii="Times New Roman" w:cs="Times New Roman" w:eastAsia="Times New Roman" w:hAnsi="Times New Roman"/>
          <w:sz w:val="16"/>
          <w:szCs w:val="16"/>
          <w:color w:val="000000"/>
        </w:rPr>
        <w:t>, on behalf of itself and its Subsidiaries</w:t>
      </w:r>
      <w:r>
        <w:rPr>
          <w:rFonts w:ascii="Times New Roman" w:cs="Times New Roman" w:eastAsia="Times New Roman" w:hAnsi="Times New Roman"/>
          <w:sz w:val="16"/>
          <w:szCs w:val="16"/>
          <w:color w:val="111111"/>
        </w:rPr>
        <w:t xml:space="preserve"> </w:t>
      </w:r>
      <w:r>
        <w:rPr>
          <w:rFonts w:ascii="Times New Roman" w:cs="Times New Roman" w:eastAsia="Times New Roman" w:hAnsi="Times New Roman"/>
          <w:sz w:val="16"/>
          <w:szCs w:val="16"/>
          <w:b w:val="1"/>
          <w:bCs w:val="1"/>
          <w:color w:val="111111"/>
        </w:rPr>
        <w:t>("Enphase")</w:t>
      </w:r>
      <w:r>
        <w:rPr>
          <w:rFonts w:ascii="Times New Roman" w:cs="Times New Roman" w:eastAsia="Times New Roman" w:hAnsi="Times New Roman"/>
          <w:sz w:val="16"/>
          <w:szCs w:val="16"/>
          <w:color w:val="111111"/>
        </w:rPr>
        <w:t>, and</w:t>
      </w:r>
    </w:p>
    <w:p>
      <w:pPr>
        <w:spacing w:after="0" w:line="93" w:lineRule="exact"/>
        <w:rPr>
          <w:rFonts w:ascii="Times New Roman" w:cs="Times New Roman" w:eastAsia="Times New Roman" w:hAnsi="Times New Roman"/>
          <w:sz w:val="16"/>
          <w:szCs w:val="16"/>
          <w:color w:val="auto"/>
        </w:rPr>
      </w:pPr>
    </w:p>
    <w:p>
      <w:pPr>
        <w:ind w:left="280" w:right="80" w:hanging="255"/>
        <w:spacing w:after="0" w:line="273" w:lineRule="auto"/>
        <w:tabs>
          <w:tab w:leader="none" w:pos="345"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11111"/>
        </w:rPr>
        <w:t xml:space="preserve">Salcomp Manufacturing India Private Ltd., having its place of business at Noka Telecom SEZ, SIPCOT Industrial Park, Phas III, Chennai – Bangalore Highway, Sriperumbudur, Tamil Nadu – India, 602105 on behalf of itself and its Subsidiaries </w:t>
      </w:r>
      <w:r>
        <w:rPr>
          <w:rFonts w:ascii="Times New Roman" w:cs="Times New Roman" w:eastAsia="Times New Roman" w:hAnsi="Times New Roman"/>
          <w:sz w:val="16"/>
          <w:szCs w:val="16"/>
          <w:b w:val="1"/>
          <w:bCs w:val="1"/>
          <w:color w:val="111111"/>
        </w:rPr>
        <w:t>("Supplier")</w:t>
      </w:r>
      <w:r>
        <w:rPr>
          <w:rFonts w:ascii="Times New Roman" w:cs="Times New Roman" w:eastAsia="Times New Roman" w:hAnsi="Times New Roman"/>
          <w:sz w:val="16"/>
          <w:szCs w:val="16"/>
          <w:color w:val="111111"/>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111"/>
        </w:rPr>
        <w:t>Enphase and Supplier shall each be a “Party” and collectively, the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111"/>
        </w:rPr>
        <w:t>Enphase desires to engage the Supplier, and the Supplier agrees to perform manufacturing services, for good and valuable consideration as further set forth in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111"/>
        </w:rPr>
        <w:t>Agreement. The Parties agree as follows</w:t>
      </w:r>
      <w:r>
        <w:rPr>
          <w:rFonts w:ascii="Times New Roman" w:cs="Times New Roman" w:eastAsia="Times New Roman" w:hAnsi="Times New Roman"/>
          <w:sz w:val="16"/>
          <w:szCs w:val="16"/>
          <w:color w:val="343434"/>
        </w:rPr>
        <w:t>:</w:t>
      </w:r>
    </w:p>
    <w:p>
      <w:pPr>
        <w:spacing w:after="0" w:line="68" w:lineRule="exact"/>
        <w:rPr>
          <w:sz w:val="20"/>
          <w:szCs w:val="20"/>
          <w:color w:val="auto"/>
        </w:rPr>
      </w:pPr>
    </w:p>
    <w:p>
      <w:pPr>
        <w:ind w:left="260" w:hanging="237"/>
        <w:spacing w:after="0"/>
        <w:tabs>
          <w:tab w:leader="none" w:pos="260" w:val="left"/>
        </w:tabs>
        <w:numPr>
          <w:ilvl w:val="0"/>
          <w:numId w:val="101"/>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b w:val="1"/>
          <w:bCs w:val="1"/>
          <w:color w:val="111111"/>
        </w:rPr>
        <w:t>DEFINITIONS</w:t>
      </w:r>
    </w:p>
    <w:p>
      <w:pPr>
        <w:spacing w:after="0" w:line="115" w:lineRule="exact"/>
        <w:rPr>
          <w:sz w:val="20"/>
          <w:szCs w:val="20"/>
          <w:color w:val="auto"/>
        </w:rPr>
      </w:pPr>
    </w:p>
    <w:p>
      <w:pPr>
        <w:ind w:right="620" w:hanging="1"/>
        <w:spacing w:after="0" w:line="273" w:lineRule="auto"/>
        <w:rPr>
          <w:sz w:val="20"/>
          <w:szCs w:val="20"/>
          <w:color w:val="auto"/>
        </w:rPr>
      </w:pPr>
      <w:r>
        <w:rPr>
          <w:rFonts w:ascii="Times New Roman" w:cs="Times New Roman" w:eastAsia="Times New Roman" w:hAnsi="Times New Roman"/>
          <w:sz w:val="16"/>
          <w:szCs w:val="16"/>
          <w:color w:val="111111"/>
        </w:rPr>
        <w:t>Supplier and Enphase agree that capitalized terms shall have the meanings set forth in this Agreement and Exhibit A attached hereto and incorporated herein by reference.</w:t>
      </w:r>
    </w:p>
    <w:p>
      <w:pPr>
        <w:spacing w:after="0" w:line="4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111111"/>
        </w:rPr>
        <w:t>2.</w:t>
      </w:r>
      <w:r>
        <w:rPr>
          <w:sz w:val="20"/>
          <w:szCs w:val="20"/>
          <w:color w:val="auto"/>
        </w:rPr>
        <w:tab/>
      </w:r>
      <w:r>
        <w:rPr>
          <w:rFonts w:ascii="Times New Roman" w:cs="Times New Roman" w:eastAsia="Times New Roman" w:hAnsi="Times New Roman"/>
          <w:sz w:val="14"/>
          <w:szCs w:val="14"/>
          <w:b w:val="1"/>
          <w:bCs w:val="1"/>
          <w:color w:val="111111"/>
        </w:rPr>
        <w:t>MANUFACTURING SERVICES</w:t>
      </w:r>
    </w:p>
    <w:p>
      <w:pPr>
        <w:spacing w:after="0" w:line="113" w:lineRule="exact"/>
        <w:rPr>
          <w:sz w:val="20"/>
          <w:szCs w:val="20"/>
          <w:color w:val="auto"/>
        </w:rPr>
      </w:pPr>
    </w:p>
    <w:p>
      <w:pPr>
        <w:jc w:val="both"/>
        <w:ind w:left="20" w:right="80" w:firstLine="511"/>
        <w:spacing w:after="0" w:line="252" w:lineRule="auto"/>
        <w:rPr>
          <w:sz w:val="20"/>
          <w:szCs w:val="20"/>
          <w:color w:val="auto"/>
        </w:rPr>
      </w:pPr>
      <w:r>
        <w:rPr>
          <w:rFonts w:ascii="Times New Roman" w:cs="Times New Roman" w:eastAsia="Times New Roman" w:hAnsi="Times New Roman"/>
          <w:sz w:val="16"/>
          <w:szCs w:val="16"/>
          <w:b w:val="1"/>
          <w:bCs w:val="1"/>
          <w:color w:val="111111"/>
        </w:rPr>
        <w:t xml:space="preserve">2.1. </w:t>
      </w:r>
      <w:r>
        <w:rPr>
          <w:rFonts w:ascii="Times New Roman" w:cs="Times New Roman" w:eastAsia="Times New Roman" w:hAnsi="Times New Roman"/>
          <w:sz w:val="16"/>
          <w:szCs w:val="16"/>
          <w:b w:val="1"/>
          <w:bCs w:val="1"/>
          <w:u w:val="single" w:color="auto"/>
          <w:color w:val="111111"/>
        </w:rPr>
        <w:t>Work.</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Enphase hereby engages Supplier to perform the work (hereinafter</w:t>
      </w:r>
      <w:r>
        <w:rPr>
          <w:rFonts w:ascii="Times New Roman" w:cs="Times New Roman" w:eastAsia="Times New Roman" w:hAnsi="Times New Roman"/>
          <w:sz w:val="16"/>
          <w:szCs w:val="16"/>
          <w:b w:val="1"/>
          <w:bCs w:val="1"/>
          <w:color w:val="111111"/>
        </w:rPr>
        <w:t xml:space="preserve"> "Work"). "Work" </w:t>
      </w:r>
      <w:r>
        <w:rPr>
          <w:rFonts w:ascii="Times New Roman" w:cs="Times New Roman" w:eastAsia="Times New Roman" w:hAnsi="Times New Roman"/>
          <w:sz w:val="16"/>
          <w:szCs w:val="16"/>
          <w:color w:val="111111"/>
        </w:rPr>
        <w:t>shall mean to procure Materials (as applicable) and to</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 xml:space="preserve">manufacture, assemble, and test products, which shall include, but not be limited to: (i) the Combiner Box 3.0; (ii) the Envoy S; and (iii) the IQ7 Microinverter) and any other products as required by Enphase (collectively, hereinafter </w:t>
      </w:r>
      <w:r>
        <w:rPr>
          <w:rFonts w:ascii="Times New Roman" w:cs="Times New Roman" w:eastAsia="Times New Roman" w:hAnsi="Times New Roman"/>
          <w:sz w:val="16"/>
          <w:szCs w:val="16"/>
          <w:b w:val="1"/>
          <w:bCs w:val="1"/>
          <w:color w:val="111111"/>
        </w:rPr>
        <w:t>"Product(s)")</w:t>
      </w:r>
      <w:r>
        <w:rPr>
          <w:rFonts w:ascii="Times New Roman" w:cs="Times New Roman" w:eastAsia="Times New Roman" w:hAnsi="Times New Roman"/>
          <w:sz w:val="16"/>
          <w:szCs w:val="16"/>
          <w:color w:val="111111"/>
        </w:rPr>
        <w:t xml:space="preserve"> pursuant to detailed written Specifications for each category of Products. The </w:t>
      </w:r>
      <w:r>
        <w:rPr>
          <w:rFonts w:ascii="Times New Roman" w:cs="Times New Roman" w:eastAsia="Times New Roman" w:hAnsi="Times New Roman"/>
          <w:sz w:val="16"/>
          <w:szCs w:val="16"/>
          <w:b w:val="1"/>
          <w:bCs w:val="1"/>
          <w:color w:val="111111"/>
        </w:rPr>
        <w:t xml:space="preserve">"Specifications" </w:t>
      </w:r>
      <w:r>
        <w:rPr>
          <w:rFonts w:ascii="Times New Roman" w:cs="Times New Roman" w:eastAsia="Times New Roman" w:hAnsi="Times New Roman"/>
          <w:sz w:val="16"/>
          <w:szCs w:val="16"/>
          <w:color w:val="111111"/>
        </w:rPr>
        <w:t>for each category of Products (or revision thereof), shall include, but are not limited to bill of materials (“BOM”), designs, schematics, assembly</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drawings, process documentation, test specifications, packing specifications, current revision number, and Approved Vendor Lists, and shall be further detailed in Exhibit B. For the avoidance of doubt, the Work also includes the Supplier’s responsibility to procure (and/or install, as applicable) the Supplier Controlled Equipment as listed in Exhibit E. For the avoidance of doubt, the Supplier shall not deviate from the Specifications, the terms of this Agreement or any Exhibit hereto, unless required by an ECO (as defined herein) issued by Enphase. Enphase may, at its discretion, add new products to the scope of the Products and the Work under this Agreement (“</w:t>
      </w:r>
      <w:r>
        <w:rPr>
          <w:rFonts w:ascii="Times New Roman" w:cs="Times New Roman" w:eastAsia="Times New Roman" w:hAnsi="Times New Roman"/>
          <w:sz w:val="16"/>
          <w:szCs w:val="16"/>
          <w:b w:val="1"/>
          <w:bCs w:val="1"/>
          <w:color w:val="111111"/>
        </w:rPr>
        <w:t>NPI</w:t>
      </w:r>
      <w:r>
        <w:rPr>
          <w:rFonts w:ascii="Times New Roman" w:cs="Times New Roman" w:eastAsia="Times New Roman" w:hAnsi="Times New Roman"/>
          <w:sz w:val="16"/>
          <w:szCs w:val="16"/>
          <w:color w:val="111111"/>
        </w:rPr>
        <w:t>”). Should Enphase</w:t>
      </w:r>
    </w:p>
    <w:p>
      <w:pPr>
        <w:sectPr>
          <w:pgSz w:w="11900" w:h="16838" w:orient="portrait"/>
          <w:cols w:equalWidth="0" w:num="1">
            <w:col w:w="10560"/>
          </w:cols>
          <w:pgMar w:left="1020" w:top="1440" w:right="319" w:bottom="1440" w:gutter="0" w:footer="0" w:header="0"/>
        </w:sectPr>
      </w:pPr>
    </w:p>
    <w:bookmarkStart w:id="167" w:name="page168"/>
    <w:bookmarkEnd w:id="167"/>
    <w:p>
      <w:pPr>
        <w:jc w:val="both"/>
        <w:spacing w:after="0" w:line="261" w:lineRule="auto"/>
        <w:rPr>
          <w:sz w:val="20"/>
          <w:szCs w:val="20"/>
          <w:color w:val="auto"/>
        </w:rPr>
      </w:pPr>
      <w:r>
        <w:rPr>
          <w:rFonts w:ascii="Times New Roman" w:cs="Times New Roman" w:eastAsia="Times New Roman" w:hAnsi="Times New Roman"/>
          <w:sz w:val="16"/>
          <w:szCs w:val="16"/>
          <w:color w:val="111111"/>
        </w:rPr>
        <w:t>choose to exercise this right, the Parties will discuss and mutually agree on the fees and other relevant terms applicable to such NPI. For the avoidance of doubt, the Supplier shall be responsible for translating any of the documents referred to in this Agreement (including the terms of this Agreement itself), to the extent required to perform the Work to the satisfaction of Enphase.</w:t>
      </w:r>
    </w:p>
    <w:p>
      <w:pPr>
        <w:spacing w:after="0" w:line="56" w:lineRule="exact"/>
        <w:rPr>
          <w:sz w:val="20"/>
          <w:szCs w:val="20"/>
          <w:color w:val="auto"/>
        </w:rPr>
      </w:pPr>
    </w:p>
    <w:p>
      <w:pPr>
        <w:jc w:val="both"/>
        <w:ind w:firstLine="511"/>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2.2. </w:t>
      </w:r>
      <w:r>
        <w:rPr>
          <w:rFonts w:ascii="Times New Roman" w:cs="Times New Roman" w:eastAsia="Times New Roman" w:hAnsi="Times New Roman"/>
          <w:sz w:val="16"/>
          <w:szCs w:val="16"/>
          <w:b w:val="1"/>
          <w:bCs w:val="1"/>
          <w:u w:val="single" w:color="auto"/>
          <w:color w:val="111111"/>
        </w:rPr>
        <w:t>Engineering Changes.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Enphase may from time to time, request that Supplier incorporate engineering changes into the Product by providing Supplier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 xml:space="preserve">with a description of the proposed engineering change as the Enphase deems necessary, for Supplier to evaluate </w:t>
      </w:r>
      <w:r>
        <w:rPr>
          <w:rFonts w:ascii="Times New Roman" w:cs="Times New Roman" w:eastAsia="Times New Roman" w:hAnsi="Times New Roman"/>
          <w:sz w:val="16"/>
          <w:szCs w:val="16"/>
          <w:color w:val="222222"/>
        </w:rPr>
        <w:t>its</w:t>
      </w:r>
      <w:r>
        <w:rPr>
          <w:rFonts w:ascii="Times New Roman" w:cs="Times New Roman" w:eastAsia="Times New Roman" w:hAnsi="Times New Roman"/>
          <w:sz w:val="16"/>
          <w:szCs w:val="16"/>
          <w:color w:val="111111"/>
        </w:rPr>
        <w:t xml:space="preserve"> feasibility and cost (an “Engineering Change Order” or “ECO”). An ECO is required when the form, fit, or function of the design of the Product and/or Specifications are affected. Supplier shall provide a written response in the form of an "Engineering Change Analysis" form to Enphase, within three (3) business days of receipt of an ECO, if such changes affect the per-unit price and/or delivery of a Product. Enphase shall respond with a written acceptance in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111111"/>
        </w:rPr>
        <w:t xml:space="preserve">form of a purchase order or rejection of the Supplier "Engineering Change Analysis" form within three (3) business days of receipt thereof. Upon receiving Enphase written acceptance, Supplier will proceed with engineering changes as given in the ECO. </w:t>
      </w:r>
      <w:r>
        <w:rPr>
          <w:rFonts w:ascii="Times New Roman" w:cs="Times New Roman" w:eastAsia="Times New Roman" w:hAnsi="Times New Roman"/>
          <w:sz w:val="14"/>
          <w:szCs w:val="14"/>
          <w:color w:val="343434"/>
        </w:rPr>
        <w:t>For the avoidance of doubt, and notwithstanding anything to the contrary in</w:t>
      </w:r>
      <w:r>
        <w:rPr>
          <w:rFonts w:ascii="Times New Roman" w:cs="Times New Roman" w:eastAsia="Times New Roman" w:hAnsi="Times New Roman"/>
          <w:sz w:val="14"/>
          <w:szCs w:val="14"/>
          <w:color w:val="111111"/>
        </w:rPr>
        <w:t xml:space="preserve"> </w:t>
      </w:r>
      <w:r>
        <w:rPr>
          <w:rFonts w:ascii="Times New Roman" w:cs="Times New Roman" w:eastAsia="Times New Roman" w:hAnsi="Times New Roman"/>
          <w:sz w:val="14"/>
          <w:szCs w:val="14"/>
          <w:color w:val="343434"/>
        </w:rPr>
        <w:t>this Agreement, the Supplier shall not make any changes to the processes or designs as stated in the Specifications, without Enphase’s express prior written consent.</w:t>
      </w:r>
    </w:p>
    <w:p>
      <w:pPr>
        <w:spacing w:after="0" w:line="22" w:lineRule="exact"/>
        <w:rPr>
          <w:sz w:val="20"/>
          <w:szCs w:val="20"/>
          <w:color w:val="auto"/>
        </w:rPr>
      </w:pPr>
    </w:p>
    <w:p>
      <w:pPr>
        <w:jc w:val="both"/>
        <w:ind w:firstLine="513"/>
        <w:spacing w:after="0" w:line="258" w:lineRule="auto"/>
        <w:rPr>
          <w:sz w:val="20"/>
          <w:szCs w:val="20"/>
          <w:color w:val="auto"/>
        </w:rPr>
      </w:pPr>
      <w:r>
        <w:rPr>
          <w:rFonts w:ascii="Times New Roman" w:cs="Times New Roman" w:eastAsia="Times New Roman" w:hAnsi="Times New Roman"/>
          <w:sz w:val="16"/>
          <w:szCs w:val="16"/>
          <w:b w:val="1"/>
          <w:bCs w:val="1"/>
          <w:color w:val="111111"/>
        </w:rPr>
        <w:t xml:space="preserve">2.3. </w:t>
      </w:r>
      <w:r>
        <w:rPr>
          <w:rFonts w:ascii="Times New Roman" w:cs="Times New Roman" w:eastAsia="Times New Roman" w:hAnsi="Times New Roman"/>
          <w:sz w:val="16"/>
          <w:szCs w:val="16"/>
          <w:b w:val="1"/>
          <w:bCs w:val="1"/>
          <w:u w:val="single" w:color="auto"/>
          <w:color w:val="111111"/>
        </w:rPr>
        <w:t>Tooling; Non-Recurring Expenses; Software.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Enphase shall pay for or obtain and consign to Supplier any Enphase Controlled Equipment, as outlined</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in Exhibit D, Product-specific tooling, equipment or software and other reasonably necessary non-recurring expenses, to be set forth in Supplier's quotation</w:t>
      </w:r>
      <w:r>
        <w:rPr>
          <w:rFonts w:ascii="Times New Roman" w:cs="Times New Roman" w:eastAsia="Times New Roman" w:hAnsi="Times New Roman"/>
          <w:sz w:val="16"/>
          <w:szCs w:val="16"/>
          <w:color w:val="343434"/>
        </w:rPr>
        <w:t>.</w:t>
      </w:r>
      <w:r>
        <w:rPr>
          <w:rFonts w:ascii="Times New Roman" w:cs="Times New Roman" w:eastAsia="Times New Roman" w:hAnsi="Times New Roman"/>
          <w:sz w:val="16"/>
          <w:szCs w:val="16"/>
          <w:color w:val="111111"/>
        </w:rPr>
        <w:t xml:space="preserve"> All software that Enphase provides to Supplier, or any test software that Enphase engages Supplier to develop is and shall remain the property of Enphase at all times. The Supplier shall promptly notify Enphase in case of any non-consignment of Enphase Controlled Equipment required to perform the Work.</w:t>
      </w:r>
    </w:p>
    <w:p>
      <w:pPr>
        <w:spacing w:after="0" w:line="58" w:lineRule="exact"/>
        <w:rPr>
          <w:sz w:val="20"/>
          <w:szCs w:val="20"/>
          <w:color w:val="auto"/>
        </w:rPr>
      </w:pPr>
    </w:p>
    <w:p>
      <w:pPr>
        <w:jc w:val="both"/>
        <w:ind w:left="20" w:firstLine="506"/>
        <w:spacing w:after="0" w:line="252" w:lineRule="auto"/>
        <w:rPr>
          <w:sz w:val="20"/>
          <w:szCs w:val="20"/>
          <w:color w:val="auto"/>
        </w:rPr>
      </w:pPr>
      <w:r>
        <w:rPr>
          <w:rFonts w:ascii="Times New Roman" w:cs="Times New Roman" w:eastAsia="Times New Roman" w:hAnsi="Times New Roman"/>
          <w:sz w:val="16"/>
          <w:szCs w:val="16"/>
          <w:b w:val="1"/>
          <w:bCs w:val="1"/>
          <w:color w:val="111111"/>
        </w:rPr>
        <w:t xml:space="preserve">2.4. </w:t>
      </w:r>
      <w:r>
        <w:rPr>
          <w:rFonts w:ascii="Times New Roman" w:cs="Times New Roman" w:eastAsia="Times New Roman" w:hAnsi="Times New Roman"/>
          <w:sz w:val="16"/>
          <w:szCs w:val="16"/>
          <w:b w:val="1"/>
          <w:bCs w:val="1"/>
          <w:u w:val="single" w:color="auto"/>
          <w:color w:val="111111"/>
        </w:rPr>
        <w:t>Enphase Controlled Equipment.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00000"/>
        </w:rPr>
        <w:t>All Enphase Controlled Equipment will remain the property of Enphase; however, Supplier shall be responsible for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00000"/>
        </w:rPr>
        <w:t>managing and maintaining all such equipment. This Agreement shall be updated to include any additional Enphase Controlled Equipment made available by Enphase for Supplier’s use in performing the Work. Notwithstanding the location of any Enphase Controlled Equipment at a Supplier or other non-Enphase facility, or the failure to list any item of Enphase Controlled Equipment in the Agreement or a purchase order, all right, title and interest in and to any Enphase Controlled Equipment will be and remain with Enphase, and Supplier will have no title or ownership interest in such Enphase Controlled Equipment. Supplier will provide Enphase with reasonable access to all Enphase Controlled Equipment located at a Supplier or other non-Enphase facility, and, notwithstanding any contrary terms that may be contained herein, will be responsible for all costs and expenses associated with repair or replacement of any Enphase Controlled Equipment or any part thereof damaged (reasonable</w:t>
      </w:r>
    </w:p>
    <w:p>
      <w:pPr>
        <w:sectPr>
          <w:pgSz w:w="11900" w:h="16838" w:orient="portrait"/>
          <w:cols w:equalWidth="0" w:num="1">
            <w:col w:w="10460"/>
          </w:cols>
          <w:pgMar w:left="1040" w:top="1256" w:right="399" w:bottom="1440" w:gutter="0" w:footer="0" w:header="0"/>
        </w:sectPr>
      </w:pPr>
    </w:p>
    <w:bookmarkStart w:id="168" w:name="page169"/>
    <w:bookmarkEnd w:id="168"/>
    <w:p>
      <w:pPr>
        <w:jc w:val="both"/>
        <w:spacing w:after="0" w:line="297" w:lineRule="auto"/>
        <w:rPr>
          <w:sz w:val="20"/>
          <w:szCs w:val="20"/>
          <w:color w:val="auto"/>
        </w:rPr>
      </w:pPr>
      <w:r>
        <w:rPr>
          <w:rFonts w:ascii="Times New Roman" w:cs="Times New Roman" w:eastAsia="Times New Roman" w:hAnsi="Times New Roman"/>
          <w:sz w:val="14"/>
          <w:szCs w:val="14"/>
          <w:color w:val="auto"/>
        </w:rPr>
        <w:t>wear and tear excepted) by Supplier, its employees, permitted subcontractors, agents or invitees (excluding Enphase). Neither Supplier nor its assignees will file a mechanic’s lien or similar lien, security interest or other encumbrance, on Enphase Controlled Equipment or otherwise use Enphase Controlled Equipment as collateral for any financing. Without limiting the foregoing, in the event any such lien or security interest is filed, Supplier or its assignee, as the case may be, will be responsible for the immediate satisfaction, payment or bonding of any such lien or security interest. Unless a later return date is requested by Enphase, within ten (10) business days following the earlier of completion of the applicable purchase order or any expiration or termination of this Agreement, Supplier will return each item of Enphase Controlled Equipment to Enphase in substantially the same condition it was in when initially provided to Supplier, reasonable wear and tear excepted.</w:t>
      </w:r>
    </w:p>
    <w:p>
      <w:pPr>
        <w:spacing w:after="0" w:line="33" w:lineRule="exact"/>
        <w:rPr>
          <w:sz w:val="20"/>
          <w:szCs w:val="20"/>
          <w:color w:val="auto"/>
        </w:rPr>
      </w:pPr>
    </w:p>
    <w:p>
      <w:pPr>
        <w:jc w:val="both"/>
        <w:ind w:firstLine="506"/>
        <w:spacing w:after="0" w:line="254" w:lineRule="auto"/>
        <w:rPr>
          <w:sz w:val="20"/>
          <w:szCs w:val="20"/>
          <w:color w:val="auto"/>
        </w:rPr>
      </w:pPr>
      <w:r>
        <w:rPr>
          <w:rFonts w:ascii="Times New Roman" w:cs="Times New Roman" w:eastAsia="Times New Roman" w:hAnsi="Times New Roman"/>
          <w:sz w:val="16"/>
          <w:szCs w:val="16"/>
          <w:b w:val="1"/>
          <w:bCs w:val="1"/>
          <w:color w:val="111111"/>
        </w:rPr>
        <w:t xml:space="preserve">2.5. </w:t>
      </w:r>
      <w:r>
        <w:rPr>
          <w:rFonts w:ascii="Times New Roman" w:cs="Times New Roman" w:eastAsia="Times New Roman" w:hAnsi="Times New Roman"/>
          <w:sz w:val="16"/>
          <w:szCs w:val="16"/>
          <w:b w:val="1"/>
          <w:bCs w:val="1"/>
          <w:u w:val="single" w:color="auto"/>
          <w:color w:val="111111"/>
        </w:rPr>
        <w:t>Cost Reduction Projects.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Supplier agrees to continuously, during the term of this Agreement, to use its commercially reasonable efforts to seek ways to</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reduce the cost of manufacturing Products by methods such as elimination of Materials, redefinition of Specifications, and re-design of assembly or test methods</w:t>
      </w:r>
      <w:r>
        <w:rPr>
          <w:rFonts w:ascii="Times New Roman" w:cs="Times New Roman" w:eastAsia="Times New Roman" w:hAnsi="Times New Roman"/>
          <w:sz w:val="16"/>
          <w:szCs w:val="16"/>
          <w:color w:val="343434"/>
        </w:rPr>
        <w:t>.</w:t>
      </w:r>
      <w:r>
        <w:rPr>
          <w:rFonts w:ascii="Times New Roman" w:cs="Times New Roman" w:eastAsia="Times New Roman" w:hAnsi="Times New Roman"/>
          <w:sz w:val="16"/>
          <w:szCs w:val="16"/>
          <w:color w:val="111111"/>
        </w:rPr>
        <w:t xml:space="preserve"> Upon implementation of such ways that have been initiated by Enphase, Enphase will receive 100% of the demonstrated cost reduction for the balance of the quarter in which it is found. Costs shall be formally evaluated at the end of each quarter and standards shall be adjusted based upon that evaluation. Justification for all costs (including a costed BOM) shall be provided to Enphase no later than 10 business days before the end of the quarter. New standards will be effective for all shipments starting on the first day of each quarter</w:t>
      </w:r>
      <w:r>
        <w:rPr>
          <w:rFonts w:ascii="Times New Roman" w:cs="Times New Roman" w:eastAsia="Times New Roman" w:hAnsi="Times New Roman"/>
          <w:sz w:val="16"/>
          <w:szCs w:val="16"/>
          <w:color w:val="343434"/>
        </w:rPr>
        <w:t>.</w:t>
      </w:r>
      <w:r>
        <w:rPr>
          <w:rFonts w:ascii="Times New Roman" w:cs="Times New Roman" w:eastAsia="Times New Roman" w:hAnsi="Times New Roman"/>
          <w:sz w:val="16"/>
          <w:szCs w:val="16"/>
          <w:color w:val="111111"/>
        </w:rPr>
        <w:t xml:space="preserve"> The Parties shall mutually agree upon non-binding cost reduction targets during their QBRs</w:t>
      </w:r>
      <w:r>
        <w:rPr>
          <w:rFonts w:ascii="Times New Roman" w:cs="Times New Roman" w:eastAsia="Times New Roman" w:hAnsi="Times New Roman"/>
          <w:sz w:val="16"/>
          <w:szCs w:val="16"/>
          <w:color w:val="343434"/>
        </w:rPr>
        <w:t>.</w:t>
      </w:r>
    </w:p>
    <w:p>
      <w:pPr>
        <w:spacing w:after="0" w:line="73" w:lineRule="exact"/>
        <w:rPr>
          <w:sz w:val="20"/>
          <w:szCs w:val="20"/>
          <w:color w:val="auto"/>
        </w:rPr>
      </w:pPr>
    </w:p>
    <w:p>
      <w:pPr>
        <w:jc w:val="both"/>
        <w:ind w:firstLine="507"/>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2.6. </w:t>
      </w:r>
      <w:r>
        <w:rPr>
          <w:rFonts w:ascii="Times New Roman" w:cs="Times New Roman" w:eastAsia="Times New Roman" w:hAnsi="Times New Roman"/>
          <w:sz w:val="16"/>
          <w:szCs w:val="16"/>
          <w:b w:val="1"/>
          <w:bCs w:val="1"/>
          <w:u w:val="single" w:color="auto"/>
          <w:color w:val="111111"/>
        </w:rPr>
        <w:t>Factory Access.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Supplier agrees to grant access as needed to Enphase or its representatives for factory audits at no charge to Enphase</w:t>
      </w:r>
      <w:r>
        <w:rPr>
          <w:rFonts w:ascii="Times New Roman" w:cs="Times New Roman" w:eastAsia="Times New Roman" w:hAnsi="Times New Roman"/>
          <w:sz w:val="16"/>
          <w:szCs w:val="16"/>
          <w:color w:val="343434"/>
        </w:rPr>
        <w: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00000"/>
        </w:rPr>
        <w:t>Enphase may at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00000"/>
        </w:rPr>
        <w:t>its option, seat its employees or representatives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onsite within the Supplier’s factory premises (“</w:t>
      </w:r>
      <w:r>
        <w:rPr>
          <w:rFonts w:ascii="Times New Roman" w:cs="Times New Roman" w:eastAsia="Times New Roman" w:hAnsi="Times New Roman"/>
          <w:sz w:val="16"/>
          <w:szCs w:val="16"/>
          <w:b w:val="1"/>
          <w:bCs w:val="1"/>
          <w:color w:val="auto"/>
        </w:rPr>
        <w:t>Onsite Team</w:t>
      </w:r>
      <w:r>
        <w:rPr>
          <w:rFonts w:ascii="Times New Roman" w:cs="Times New Roman" w:eastAsia="Times New Roman" w:hAnsi="Times New Roman"/>
          <w:sz w:val="16"/>
          <w:szCs w:val="16"/>
          <w:color w:val="auto"/>
        </w:rPr>
        <w:t>”), towards establishing an Enphase ‘office desk’ within the Supplier’s factory premises. The Supplier shall provide all facilities, equipment and support reasonably necessary for the Enphase employees (or representatives, as applicable) to carry out their day to day business activities. The Onsite Team may access the Supplier’s factory at any time during the term of this Agreement, without prior written notice to the Supplier, and the Supplier expressly consents to the same. Upon providing a written notice at least two (2) weeks in advance, Enphase may bring any of its customers, with the intention of carrying out an Audit (as defined herein), and the Supplier agrees to co-</w:t>
      </w:r>
      <w:r>
        <w:rPr>
          <w:rFonts w:ascii="Times New Roman" w:cs="Times New Roman" w:eastAsia="Times New Roman" w:hAnsi="Times New Roman"/>
          <w:sz w:val="16"/>
          <w:szCs w:val="16"/>
          <w:color w:val="111111"/>
        </w:rPr>
        <w:t>operate with Enphase (or such Enphase customers, as applicable) for conducting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11111"/>
        </w:rPr>
        <w:t>such an Audit. Notwithstanding anything else contained in this Agreement, and in addition to any of Enphase’s rights of Audit and access, Enphase may, upon providing 24 hours’ notice to the Supplier, access and/or Audit the Supplier’s factory along with a technical support team.</w:t>
      </w:r>
    </w:p>
    <w:p>
      <w:pPr>
        <w:spacing w:after="0" w:line="181" w:lineRule="exact"/>
        <w:rPr>
          <w:sz w:val="20"/>
          <w:szCs w:val="20"/>
          <w:color w:val="auto"/>
        </w:rPr>
      </w:pPr>
    </w:p>
    <w:p>
      <w:pPr>
        <w:jc w:val="both"/>
        <w:ind w:firstLine="507"/>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2.7. </w:t>
      </w:r>
      <w:r>
        <w:rPr>
          <w:rFonts w:ascii="Times New Roman" w:cs="Times New Roman" w:eastAsia="Times New Roman" w:hAnsi="Times New Roman"/>
          <w:sz w:val="16"/>
          <w:szCs w:val="16"/>
          <w:b w:val="1"/>
          <w:bCs w:val="1"/>
          <w:u w:val="single" w:color="auto"/>
          <w:color w:val="111111"/>
        </w:rPr>
        <w:t>IT Support.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Enphase requires a client-to-site connection to the Supplier facility be available at all times to monitor production test equipment and to</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troubleshoot any potential problems. Supplier shall provide a static internet connection, through which Enphase can tunnel via a secure protocol such as VPN</w:t>
      </w:r>
      <w:r>
        <w:rPr>
          <w:rFonts w:ascii="Times New Roman" w:cs="Times New Roman" w:eastAsia="Times New Roman" w:hAnsi="Times New Roman"/>
          <w:sz w:val="16"/>
          <w:szCs w:val="16"/>
          <w:color w:val="343434"/>
        </w:rPr>
        <w:t>.</w:t>
      </w:r>
      <w:r>
        <w:rPr>
          <w:rFonts w:ascii="Times New Roman" w:cs="Times New Roman" w:eastAsia="Times New Roman" w:hAnsi="Times New Roman"/>
          <w:sz w:val="16"/>
          <w:szCs w:val="16"/>
          <w:color w:val="111111"/>
        </w:rPr>
        <w:t xml:space="preserve"> Enphase shall, at its discretion and to the extent required in Enphase’s sole opinion, provide pre-configured equipment for installation at the Supplier facilities.</w:t>
      </w:r>
    </w:p>
    <w:p>
      <w:pPr>
        <w:sectPr>
          <w:pgSz w:w="11900" w:h="16838" w:orient="portrait"/>
          <w:cols w:equalWidth="0" w:num="1">
            <w:col w:w="10440"/>
          </w:cols>
          <w:pgMar w:left="1060" w:top="1235" w:right="399" w:bottom="1440" w:gutter="0" w:footer="0" w:header="0"/>
        </w:sectPr>
      </w:pPr>
    </w:p>
    <w:bookmarkStart w:id="169" w:name="page170"/>
    <w:bookmarkEnd w:id="169"/>
    <w:p>
      <w:pPr>
        <w:ind w:left="500"/>
        <w:spacing w:after="0"/>
        <w:tabs>
          <w:tab w:leader="none" w:pos="880" w:val="left"/>
        </w:tabs>
        <w:rPr>
          <w:sz w:val="20"/>
          <w:szCs w:val="20"/>
          <w:color w:val="auto"/>
        </w:rPr>
      </w:pPr>
      <w:r>
        <w:rPr>
          <w:rFonts w:ascii="Times New Roman" w:cs="Times New Roman" w:eastAsia="Times New Roman" w:hAnsi="Times New Roman"/>
          <w:sz w:val="16"/>
          <w:szCs w:val="16"/>
          <w:b w:val="1"/>
          <w:bCs w:val="1"/>
          <w:color w:val="111111"/>
        </w:rPr>
        <w:t>2.8.</w:t>
      </w:r>
      <w:r>
        <w:rPr>
          <w:sz w:val="20"/>
          <w:szCs w:val="20"/>
          <w:color w:val="auto"/>
        </w:rPr>
        <w:tab/>
      </w:r>
      <w:r>
        <w:rPr>
          <w:rFonts w:ascii="Times New Roman" w:cs="Times New Roman" w:eastAsia="Times New Roman" w:hAnsi="Times New Roman"/>
          <w:sz w:val="14"/>
          <w:szCs w:val="14"/>
          <w:b w:val="1"/>
          <w:bCs w:val="1"/>
          <w:u w:val="single" w:color="auto"/>
          <w:color w:val="111111"/>
        </w:rPr>
        <w:t>Quality</w:t>
      </w:r>
    </w:p>
    <w:p>
      <w:pPr>
        <w:spacing w:after="0" w:line="115" w:lineRule="exact"/>
        <w:rPr>
          <w:sz w:val="20"/>
          <w:szCs w:val="20"/>
          <w:color w:val="auto"/>
        </w:rPr>
      </w:pPr>
    </w:p>
    <w:p>
      <w:pPr>
        <w:jc w:val="both"/>
        <w:ind w:firstLine="511"/>
        <w:spacing w:after="0" w:line="261" w:lineRule="auto"/>
        <w:tabs>
          <w:tab w:leader="none" w:pos="865" w:val="left"/>
        </w:tabs>
        <w:numPr>
          <w:ilvl w:val="0"/>
          <w:numId w:val="102"/>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Prior to the commencement of the Work, Enphase will have the right (but not the obligation) to conduct a quality Audit on the factory or other premises used by the Supplier to perform the Work, in order to confirm whether such factory complies with the Specifications (as applicable). The Supplier will resolve to Enphase’s satisfaction, any critical or major issues identified by Enphase during such Audit, prior to beginning production of the Products.</w:t>
      </w:r>
    </w:p>
    <w:p>
      <w:pPr>
        <w:spacing w:after="0" w:line="57" w:lineRule="exact"/>
        <w:rPr>
          <w:rFonts w:ascii="Times New Roman" w:cs="Times New Roman" w:eastAsia="Times New Roman" w:hAnsi="Times New Roman"/>
          <w:sz w:val="16"/>
          <w:szCs w:val="16"/>
          <w:color w:val="111111"/>
        </w:rPr>
      </w:pPr>
    </w:p>
    <w:p>
      <w:pPr>
        <w:jc w:val="both"/>
        <w:ind w:firstLine="511"/>
        <w:spacing w:after="0" w:line="293" w:lineRule="auto"/>
        <w:tabs>
          <w:tab w:leader="none" w:pos="976" w:val="left"/>
        </w:tabs>
        <w:numPr>
          <w:ilvl w:val="0"/>
          <w:numId w:val="102"/>
        </w:numPr>
        <w:rPr>
          <w:rFonts w:ascii="Times New Roman" w:cs="Times New Roman" w:eastAsia="Times New Roman" w:hAnsi="Times New Roman"/>
          <w:sz w:val="14"/>
          <w:szCs w:val="14"/>
          <w:color w:val="111111"/>
        </w:rPr>
      </w:pPr>
      <w:r>
        <w:rPr>
          <w:rFonts w:ascii="Times New Roman" w:cs="Times New Roman" w:eastAsia="Times New Roman" w:hAnsi="Times New Roman"/>
          <w:sz w:val="14"/>
          <w:szCs w:val="14"/>
          <w:color w:val="111111"/>
        </w:rPr>
        <w:t>Enphase is contracting to buy conforming Products, assemblies or components, and expects Defect- free yields from Supplier. Enphase seeks a relationship with Supplier that maximizes the probability of 100% Defect-free Product. To ensure quality, the Supplier shall dedicate a team of adequate number of Supplier Personnel with appropriate qualifications, along with a team leader who shall be fluent in English. The Supplier shall ensure that adequately qualified Supplier Personnel are available at all times to Enphase. Supplier will set up an incoming quality control (“IQC") system to inspect all Materials used in the Product based on the component Specifications on a sampling basis. Supplier will ensure only IQC “passed” Material is utilized in the Products, and will maintain records for lot traceability into the production serial range. Supplier will ensure incoming Materials have no substitution for country of origin, and will require a COC per lot. Enphase shall subject the Products delivered by the Supplier to an accelerated lifetime testing regimen as well as ongoing reliablility testing. Any failures in such testing that arise from differences in Materials, Specifications or processes specified by Enphase in this Agreement or any subsequent ECOs shall be considered a Defect</w:t>
      </w:r>
    </w:p>
    <w:p>
      <w:pPr>
        <w:spacing w:after="0" w:line="40" w:lineRule="exact"/>
        <w:rPr>
          <w:rFonts w:ascii="Times New Roman" w:cs="Times New Roman" w:eastAsia="Times New Roman" w:hAnsi="Times New Roman"/>
          <w:sz w:val="14"/>
          <w:szCs w:val="14"/>
          <w:color w:val="111111"/>
        </w:rPr>
      </w:pPr>
    </w:p>
    <w:p>
      <w:pPr>
        <w:jc w:val="both"/>
        <w:ind w:firstLine="511"/>
        <w:spacing w:after="0" w:line="257" w:lineRule="auto"/>
        <w:tabs>
          <w:tab w:leader="none" w:pos="844" w:val="left"/>
        </w:tabs>
        <w:numPr>
          <w:ilvl w:val="0"/>
          <w:numId w:val="102"/>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Quality includes, but is not limited to, all properties of the Product that contribute to customer satisfaction, including function, workmanship, appearance, performance, reliability, timely delivery, invoicing, packing, packaging, meeting hazardous substance restrictions and support. Supplier will follow a PPAP process as outlined in Exhibit B to launch each new production TAN. Supplier will develop an operator certification program and online station validation/record keeping to ensure only “trained/certified” operators are on the production line.</w:t>
      </w:r>
    </w:p>
    <w:p>
      <w:pPr>
        <w:spacing w:after="0" w:line="71" w:lineRule="exact"/>
        <w:rPr>
          <w:rFonts w:ascii="Times New Roman" w:cs="Times New Roman" w:eastAsia="Times New Roman" w:hAnsi="Times New Roman"/>
          <w:sz w:val="16"/>
          <w:szCs w:val="16"/>
          <w:color w:val="111111"/>
        </w:rPr>
      </w:pPr>
    </w:p>
    <w:p>
      <w:pPr>
        <w:jc w:val="both"/>
        <w:ind w:firstLine="511"/>
        <w:spacing w:after="0" w:line="261" w:lineRule="auto"/>
        <w:tabs>
          <w:tab w:leader="none" w:pos="948" w:val="left"/>
        </w:tabs>
        <w:numPr>
          <w:ilvl w:val="0"/>
          <w:numId w:val="102"/>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The primary goal of Supplier’s quality planning will be prevention and early detection of Defects, as opposed to reacting to Defects as they are discovered. Upon request, Supplier will demonstrate to Enphase that its quality control plans are inherently capable of meeting Defect-free standards. The Supplier will endeavor</w:t>
      </w:r>
    </w:p>
    <w:p>
      <w:pPr>
        <w:spacing w:after="0" w:line="4" w:lineRule="exact"/>
        <w:rPr>
          <w:rFonts w:ascii="Times New Roman" w:cs="Times New Roman" w:eastAsia="Times New Roman" w:hAnsi="Times New Roman"/>
          <w:sz w:val="16"/>
          <w:szCs w:val="16"/>
          <w:color w:val="111111"/>
        </w:rPr>
      </w:pPr>
    </w:p>
    <w:p>
      <w:pPr>
        <w:spacing w:after="0"/>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to obtain and maintain the ISO 9001:2015 certification during the term of this Agreement.</w:t>
      </w:r>
    </w:p>
    <w:p>
      <w:pPr>
        <w:spacing w:after="0" w:line="113" w:lineRule="exact"/>
        <w:rPr>
          <w:rFonts w:ascii="Times New Roman" w:cs="Times New Roman" w:eastAsia="Times New Roman" w:hAnsi="Times New Roman"/>
          <w:sz w:val="16"/>
          <w:szCs w:val="16"/>
          <w:color w:val="111111"/>
        </w:rPr>
      </w:pPr>
    </w:p>
    <w:p>
      <w:pPr>
        <w:jc w:val="both"/>
        <w:ind w:firstLine="511"/>
        <w:spacing w:after="0" w:line="255" w:lineRule="auto"/>
        <w:tabs>
          <w:tab w:leader="none" w:pos="939" w:val="left"/>
        </w:tabs>
        <w:numPr>
          <w:ilvl w:val="0"/>
          <w:numId w:val="102"/>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Supplier will deliver Products conforming to applicable specifications and which are 100% Defect- free. The date code limitation for all inbound components will be the greater of: (i) the designated expiration date of the Materials; or twenty four (24) months from the date of manufacture. Supplier will develop a quality program for its production process that ensures Products are Defect-free. At Enphase’s request, Supplier will supply Enphase with process control data to help Enphase ascertain the probability of receiving Defect-free Product. During any production period, the Supplier will follow the DPPM shutdown rules as detailed in Exhibit B.</w:t>
      </w:r>
    </w:p>
    <w:p>
      <w:pPr>
        <w:sectPr>
          <w:pgSz w:w="11900" w:h="16838" w:orient="portrait"/>
          <w:cols w:equalWidth="0" w:num="1">
            <w:col w:w="10440"/>
          </w:cols>
          <w:pgMar w:left="1060" w:top="1329" w:right="399" w:bottom="1440" w:gutter="0" w:footer="0" w:header="0"/>
        </w:sectPr>
      </w:pPr>
    </w:p>
    <w:bookmarkStart w:id="170" w:name="page171"/>
    <w:bookmarkEnd w:id="170"/>
    <w:p>
      <w:pPr>
        <w:jc w:val="both"/>
        <w:ind w:firstLine="511"/>
        <w:spacing w:after="0" w:line="255" w:lineRule="auto"/>
        <w:tabs>
          <w:tab w:leader="none" w:pos="837" w:val="left"/>
        </w:tabs>
        <w:numPr>
          <w:ilvl w:val="1"/>
          <w:numId w:val="10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At its option, Enphase may inspect and test any or all Products received by Enphase, and such inspection may be by lot sampling or by testing individual units. When lot sampling is used, the applicable standard will be the industry-recognized zero defects (C = 0) plan at the appropriate confidence level. Such testing and/or inspection may take place at Enphase’s facility or at Supplier’s facility. If at Supplier’s facility, Supplier agrees to provide reasonable support and services to and for Enphase’s representative. Supplier agrees that the representations and warranties made in this Agreement with respect to Products will continue to apply regardless of whether Enphase accepts, tests or inspects any Product Unit or lot.</w:t>
      </w:r>
    </w:p>
    <w:p>
      <w:pPr>
        <w:spacing w:after="0" w:line="62" w:lineRule="exact"/>
        <w:rPr>
          <w:rFonts w:ascii="Times New Roman" w:cs="Times New Roman" w:eastAsia="Times New Roman" w:hAnsi="Times New Roman"/>
          <w:sz w:val="16"/>
          <w:szCs w:val="16"/>
          <w:color w:val="111111"/>
        </w:rPr>
      </w:pPr>
    </w:p>
    <w:p>
      <w:pPr>
        <w:jc w:val="both"/>
        <w:ind w:firstLine="511"/>
        <w:spacing w:after="0" w:line="305" w:lineRule="auto"/>
        <w:tabs>
          <w:tab w:leader="none" w:pos="852" w:val="left"/>
        </w:tabs>
        <w:numPr>
          <w:ilvl w:val="1"/>
          <w:numId w:val="103"/>
        </w:numPr>
        <w:rPr>
          <w:rFonts w:ascii="Times New Roman" w:cs="Times New Roman" w:eastAsia="Times New Roman" w:hAnsi="Times New Roman"/>
          <w:sz w:val="14"/>
          <w:szCs w:val="14"/>
          <w:color w:val="111111"/>
        </w:rPr>
      </w:pPr>
      <w:r>
        <w:rPr>
          <w:rFonts w:ascii="Times New Roman" w:cs="Times New Roman" w:eastAsia="Times New Roman" w:hAnsi="Times New Roman"/>
          <w:sz w:val="14"/>
          <w:szCs w:val="14"/>
          <w:color w:val="auto"/>
        </w:rPr>
        <w:t>The Supplier acknowledges that the obligations on quality provided in Sections 2.8 (a) to (f) are essential so that Enphase may achieve its goals under this Agreement. To the extent that any Materials, or portions of the Work are performed for the Supplier by any third-party supplier, the Supplier shall ensure that such third- party Suppliers are bound by obligations at least as onerous as those in this Agreement, with relation to quality and compliance to the applicable Specifications. Supplier shall notify Enphase in writing of any such third-party supplier, and Enphase reserves the right to reasonably reject Supplier’s use of any third party supplier.</w:t>
      </w:r>
    </w:p>
    <w:p>
      <w:pPr>
        <w:spacing w:after="0" w:line="41" w:lineRule="exact"/>
        <w:rPr>
          <w:rFonts w:ascii="Times New Roman" w:cs="Times New Roman" w:eastAsia="Times New Roman" w:hAnsi="Times New Roman"/>
          <w:sz w:val="14"/>
          <w:szCs w:val="14"/>
          <w:color w:val="111111"/>
        </w:rPr>
      </w:pPr>
    </w:p>
    <w:p>
      <w:pPr>
        <w:jc w:val="both"/>
        <w:ind w:firstLine="511"/>
        <w:spacing w:after="0" w:line="257" w:lineRule="auto"/>
        <w:tabs>
          <w:tab w:leader="none" w:pos="884" w:val="left"/>
        </w:tabs>
        <w:numPr>
          <w:ilvl w:val="1"/>
          <w:numId w:val="10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If Defects, including Enphase’s rejection and/or return of Product as permitted under this Agreement, cause a Line Down, Supplier, within 24 hours of receipt of notice thereof from Enphase will provide qualified repair personnel at Enphase’s or Enphase’s customer’s facility to repair or sort, at Enphase ’s option, such defective Product at no cost to Enphase or Enphase’s customer. “Line down,” as used in the preceding sentence, means the cessation or delay of manufacturing, assembly or shipment operations experienced by Enphase and/or a Enphase customer as a result of a Defect or action or inaction by Supplier.</w:t>
      </w:r>
    </w:p>
    <w:p>
      <w:pPr>
        <w:spacing w:after="0" w:line="60" w:lineRule="exact"/>
        <w:rPr>
          <w:rFonts w:ascii="Times New Roman" w:cs="Times New Roman" w:eastAsia="Times New Roman" w:hAnsi="Times New Roman"/>
          <w:sz w:val="16"/>
          <w:szCs w:val="16"/>
          <w:color w:val="111111"/>
        </w:rPr>
      </w:pPr>
    </w:p>
    <w:p>
      <w:pPr>
        <w:jc w:val="both"/>
        <w:ind w:firstLine="511"/>
        <w:spacing w:after="0" w:line="257" w:lineRule="auto"/>
        <w:tabs>
          <w:tab w:leader="none" w:pos="892" w:val="left"/>
        </w:tabs>
        <w:numPr>
          <w:ilvl w:val="1"/>
          <w:numId w:val="10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If any Product does not comply to the Specifications, in accordance with Section 2.8 (e) and is therefore rejected by Enphase, Supplier will supply Enphase with a return material authorization or replacement Product within three (3) business days of Enphase’s request. Supplier further agrees to supply Enphase with an initial failure analysis within 24 hours and a containment plan within 48 hours and to provide due diligence in obtaining a full failure analysis within seven days of receipt of samples of rejected Product. Supplier agrees to provide the full failure analysis to Enphase in the format prescribed by Enphase.</w:t>
      </w:r>
    </w:p>
    <w:p>
      <w:pPr>
        <w:spacing w:after="0" w:line="60" w:lineRule="exact"/>
        <w:rPr>
          <w:rFonts w:ascii="Times New Roman" w:cs="Times New Roman" w:eastAsia="Times New Roman" w:hAnsi="Times New Roman"/>
          <w:sz w:val="16"/>
          <w:szCs w:val="16"/>
          <w:color w:val="111111"/>
        </w:rPr>
      </w:pPr>
    </w:p>
    <w:p>
      <w:pPr>
        <w:jc w:val="both"/>
        <w:ind w:firstLine="511"/>
        <w:spacing w:after="0" w:line="261" w:lineRule="auto"/>
        <w:tabs>
          <w:tab w:leader="none" w:pos="892" w:val="left"/>
        </w:tabs>
        <w:numPr>
          <w:ilvl w:val="1"/>
          <w:numId w:val="10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If any replacement Products delivered pursuant to Section 2.8 (e) have Defects or otherwise fail to conform to the requirements of this Agreement, Enphase may, at its option, cancel the related purchase order in whole or in part, without penalty or liability whatsoever to Enphase and/or Enphase may avail itself of any remedy set forth herein or pursuant to applicable Law.</w:t>
      </w:r>
    </w:p>
    <w:p>
      <w:pPr>
        <w:spacing w:after="0" w:line="57" w:lineRule="exact"/>
        <w:rPr>
          <w:rFonts w:ascii="Times New Roman" w:cs="Times New Roman" w:eastAsia="Times New Roman" w:hAnsi="Times New Roman"/>
          <w:sz w:val="16"/>
          <w:szCs w:val="16"/>
          <w:color w:val="111111"/>
        </w:rPr>
      </w:pPr>
    </w:p>
    <w:p>
      <w:pPr>
        <w:jc w:val="both"/>
        <w:ind w:firstLine="511"/>
        <w:spacing w:after="0" w:line="254" w:lineRule="auto"/>
        <w:tabs>
          <w:tab w:leader="none" w:pos="863" w:val="left"/>
        </w:tabs>
        <w:numPr>
          <w:ilvl w:val="1"/>
          <w:numId w:val="10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Upon request, Supplier will make available to Enphase all Product test data relating to qualification as well as production yield to evidence conformance to specifications and quality control. Supplier will facilitate product sampling for ongoing reliability testing (“ORT”) for Enphase. Sampling program is detailed in Exhibit</w:t>
      </w:r>
    </w:p>
    <w:p>
      <w:pPr>
        <w:spacing w:after="0" w:line="258" w:lineRule="auto"/>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B. Supplier will provide resources at their facility to perform 1</w:t>
      </w:r>
      <w:r>
        <w:rPr>
          <w:rFonts w:ascii="Times New Roman" w:cs="Times New Roman" w:eastAsia="Times New Roman" w:hAnsi="Times New Roman"/>
          <w:sz w:val="9"/>
          <w:szCs w:val="9"/>
          <w:color w:val="auto"/>
        </w:rPr>
        <w:t>st</w:t>
      </w:r>
      <w:r>
        <w:rPr>
          <w:rFonts w:ascii="Times New Roman" w:cs="Times New Roman" w:eastAsia="Times New Roman" w:hAnsi="Times New Roman"/>
          <w:sz w:val="16"/>
          <w:szCs w:val="16"/>
          <w:color w:val="auto"/>
        </w:rPr>
        <w:t xml:space="preserve"> level failure analysis for any failures that occur in ORT. Supplier will provide a weekly ORT report which tracks the status of the units submitted to the chambers, and the failure status by week.</w:t>
      </w:r>
    </w:p>
    <w:p>
      <w:pPr>
        <w:sectPr>
          <w:pgSz w:w="11900" w:h="16838" w:orient="portrait"/>
          <w:cols w:equalWidth="0" w:num="1">
            <w:col w:w="10440"/>
          </w:cols>
          <w:pgMar w:left="1060" w:top="1235" w:right="399" w:bottom="1440" w:gutter="0" w:footer="0" w:header="0"/>
        </w:sectPr>
      </w:pPr>
    </w:p>
    <w:bookmarkStart w:id="171" w:name="page172"/>
    <w:bookmarkEnd w:id="171"/>
    <w:p>
      <w:pPr>
        <w:jc w:val="both"/>
        <w:ind w:left="20" w:firstLine="475"/>
        <w:spacing w:after="0" w:line="257" w:lineRule="auto"/>
        <w:tabs>
          <w:tab w:leader="none" w:pos="845" w:val="left"/>
        </w:tabs>
        <w:numPr>
          <w:ilvl w:val="1"/>
          <w:numId w:val="104"/>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The Parties will meet on a weekly basis, to conduct an ongoing review of the steps required to ensure Product quality as envisaged by this Agreement. Supplier will track yield at each process step/test station, and perform pareto analysis, root cause analysis and corrective action per week to address the top items causing first pass yield loss (including NTF) per week. Data will be presented in a format as prescribed by Enphase to demonstrate the yield results, paretos, and action taken to address issues. This data will be reviewed in a joint weekly meeting between the Parties.</w:t>
      </w:r>
    </w:p>
    <w:p>
      <w:pPr>
        <w:spacing w:after="0" w:line="58" w:lineRule="exact"/>
        <w:rPr>
          <w:rFonts w:ascii="Times New Roman" w:cs="Times New Roman" w:eastAsia="Times New Roman" w:hAnsi="Times New Roman"/>
          <w:sz w:val="16"/>
          <w:szCs w:val="16"/>
          <w:color w:val="111111"/>
        </w:rPr>
      </w:pPr>
    </w:p>
    <w:p>
      <w:pPr>
        <w:jc w:val="both"/>
        <w:ind w:left="20" w:firstLine="511"/>
        <w:spacing w:after="0" w:line="253" w:lineRule="auto"/>
        <w:tabs>
          <w:tab w:leader="none" w:pos="958" w:val="left"/>
        </w:tabs>
        <w:numPr>
          <w:ilvl w:val="2"/>
          <w:numId w:val="104"/>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auto"/>
        </w:rPr>
        <w:t>For the purpose of ensuring quality and effective compliance to each Party’s obligations under this Agreement, a quarterly business review (“</w:t>
      </w:r>
      <w:r>
        <w:rPr>
          <w:rFonts w:ascii="Times New Roman" w:cs="Times New Roman" w:eastAsia="Times New Roman" w:hAnsi="Times New Roman"/>
          <w:sz w:val="16"/>
          <w:szCs w:val="16"/>
          <w:b w:val="1"/>
          <w:bCs w:val="1"/>
          <w:color w:val="auto"/>
        </w:rPr>
        <w:t>QBR</w:t>
      </w:r>
      <w:r>
        <w:rPr>
          <w:rFonts w:ascii="Times New Roman" w:cs="Times New Roman" w:eastAsia="Times New Roman" w:hAnsi="Times New Roman"/>
          <w:sz w:val="16"/>
          <w:szCs w:val="16"/>
          <w:color w:val="auto"/>
        </w:rPr>
        <w:t>”) shall be held every three (3) months, face-to-face in a mutually agreed location, generally at one of Supplier’s locations (i.e. a factory currently performing Work for Enphase). It may on occasion be held at an Enphase office. Conference call participation should be limited. To maintain focus and ensure direct and open communication, only key participants shall be present and shall include senior management representation from both Parties. The purpose of the QBR includes, but is not limited to reviewing Supplier performance, business trends, quality performance, improvement initiatives and strategic direction. The items to be reviewed shall, at either Party’s request, include items such as cost savings initiatives, Product pricing, Special Inventory and Lead Times. In general, these meetings shall assess the future outlook and review the previous period.</w:t>
      </w:r>
    </w:p>
    <w:p>
      <w:pPr>
        <w:spacing w:after="0" w:line="159" w:lineRule="exact"/>
        <w:rPr>
          <w:rFonts w:ascii="Times New Roman" w:cs="Times New Roman" w:eastAsia="Times New Roman" w:hAnsi="Times New Roman"/>
          <w:sz w:val="16"/>
          <w:szCs w:val="16"/>
          <w:color w:val="111111"/>
        </w:rPr>
      </w:pPr>
    </w:p>
    <w:p>
      <w:pPr>
        <w:ind w:left="280" w:hanging="280"/>
        <w:spacing w:after="0"/>
        <w:tabs>
          <w:tab w:leader="none" w:pos="280" w:val="left"/>
        </w:tabs>
        <w:numPr>
          <w:ilvl w:val="0"/>
          <w:numId w:val="105"/>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111111"/>
        </w:rPr>
        <w:t>FORECASTS; ORDERS; FEES; PAYMENT</w:t>
      </w:r>
    </w:p>
    <w:p>
      <w:pPr>
        <w:spacing w:after="0" w:line="124" w:lineRule="exact"/>
        <w:rPr>
          <w:sz w:val="20"/>
          <w:szCs w:val="20"/>
          <w:color w:val="auto"/>
        </w:rPr>
      </w:pPr>
    </w:p>
    <w:p>
      <w:pPr>
        <w:jc w:val="both"/>
        <w:ind w:firstLine="513"/>
        <w:spacing w:after="0" w:line="317" w:lineRule="auto"/>
        <w:rPr>
          <w:sz w:val="20"/>
          <w:szCs w:val="20"/>
          <w:color w:val="auto"/>
        </w:rPr>
      </w:pPr>
      <w:r>
        <w:rPr>
          <w:rFonts w:ascii="Times New Roman" w:cs="Times New Roman" w:eastAsia="Times New Roman" w:hAnsi="Times New Roman"/>
          <w:sz w:val="14"/>
          <w:szCs w:val="14"/>
          <w:b w:val="1"/>
          <w:bCs w:val="1"/>
          <w:color w:val="111111"/>
        </w:rPr>
        <w:t xml:space="preserve">3.1. </w:t>
      </w:r>
      <w:r>
        <w:rPr>
          <w:rFonts w:ascii="Times New Roman" w:cs="Times New Roman" w:eastAsia="Times New Roman" w:hAnsi="Times New Roman"/>
          <w:sz w:val="14"/>
          <w:szCs w:val="14"/>
          <w:b w:val="1"/>
          <w:bCs w:val="1"/>
          <w:u w:val="single" w:color="auto"/>
          <w:color w:val="000000"/>
        </w:rPr>
        <w:t>Forecast.</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111111"/>
        </w:rPr>
        <w:t>Enphase shall provide Supplier, on a monthly basis, a rolling twelve (12) month forecast indicating Enphase's monthly Product requirements.</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111111"/>
        </w:rPr>
        <w:t>The first ninety (90) days of the forecast shall be in weekly time buckets and will constitute Enphase's written purchase order for all Work to be completed within the first ninety (90) day period. Such purchase orders will be issued in accordance with Section 3.2 below. The remainder of the forecast is non-binding.</w:t>
      </w:r>
    </w:p>
    <w:p>
      <w:pPr>
        <w:spacing w:after="0" w:line="9"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3.2. </w:t>
      </w:r>
      <w:r>
        <w:rPr>
          <w:rFonts w:ascii="Times New Roman" w:cs="Times New Roman" w:eastAsia="Times New Roman" w:hAnsi="Times New Roman"/>
          <w:sz w:val="16"/>
          <w:szCs w:val="16"/>
          <w:b w:val="1"/>
          <w:bCs w:val="1"/>
          <w:u w:val="single" w:color="auto"/>
          <w:color w:val="000000"/>
        </w:rPr>
        <w:t>Purchase Orders; Precedence.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Enphase may use its standard purchase order form for any notice provided for hereunder; provided that all purchase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orders must reference this Agreement and the Specifications (if applicable). The Parties agree that the terms and conditions contained in this Agreement shall prevail over any terms and conditions of any such purchase order, acknowledgment form or other instrument, unless specifically agreed in writing by both Parties.</w:t>
      </w:r>
    </w:p>
    <w:p>
      <w:pPr>
        <w:spacing w:after="0" w:line="55" w:lineRule="exact"/>
        <w:rPr>
          <w:sz w:val="20"/>
          <w:szCs w:val="20"/>
          <w:color w:val="auto"/>
        </w:rPr>
      </w:pPr>
    </w:p>
    <w:p>
      <w:pPr>
        <w:jc w:val="both"/>
        <w:ind w:left="20" w:firstLine="513"/>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3.3. </w:t>
      </w:r>
      <w:r>
        <w:rPr>
          <w:rFonts w:ascii="Times New Roman" w:cs="Times New Roman" w:eastAsia="Times New Roman" w:hAnsi="Times New Roman"/>
          <w:sz w:val="16"/>
          <w:szCs w:val="16"/>
          <w:b w:val="1"/>
          <w:bCs w:val="1"/>
          <w:u w:val="single" w:color="auto"/>
          <w:color w:val="000000"/>
        </w:rPr>
        <w:t>Purchase Order Acceptance.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Purchase orders shall normally be deemed accepted by Supplier unless the Supplier notifies Enphase of Supplier’s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objections to any purchase order within three</w:t>
      </w:r>
    </w:p>
    <w:p>
      <w:pPr>
        <w:ind w:left="240" w:hanging="228"/>
        <w:spacing w:after="0"/>
        <w:tabs>
          <w:tab w:leader="none" w:pos="240" w:val="left"/>
        </w:tabs>
        <w:numPr>
          <w:ilvl w:val="0"/>
          <w:numId w:val="106"/>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days of receipt of such purchase order.</w:t>
      </w:r>
    </w:p>
    <w:p>
      <w:pPr>
        <w:spacing w:after="0" w:line="82" w:lineRule="exact"/>
        <w:rPr>
          <w:rFonts w:ascii="Times New Roman" w:cs="Times New Roman" w:eastAsia="Times New Roman" w:hAnsi="Times New Roman"/>
          <w:sz w:val="16"/>
          <w:szCs w:val="16"/>
          <w:color w:val="111111"/>
        </w:rPr>
      </w:pPr>
    </w:p>
    <w:p>
      <w:pPr>
        <w:ind w:left="540"/>
        <w:spacing w:after="0"/>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b w:val="1"/>
          <w:bCs w:val="1"/>
          <w:color w:val="111111"/>
        </w:rPr>
        <w:t xml:space="preserve">3.4.  </w:t>
      </w:r>
      <w:r>
        <w:rPr>
          <w:rFonts w:ascii="Times New Roman" w:cs="Times New Roman" w:eastAsia="Times New Roman" w:hAnsi="Times New Roman"/>
          <w:sz w:val="16"/>
          <w:szCs w:val="16"/>
          <w:b w:val="1"/>
          <w:bCs w:val="1"/>
          <w:u w:val="single" w:color="auto"/>
          <w:color w:val="000000"/>
        </w:rPr>
        <w:t>Fees; Changes; Taxes.</w:t>
      </w:r>
    </w:p>
    <w:p>
      <w:pPr>
        <w:spacing w:after="0" w:line="115" w:lineRule="exact"/>
        <w:rPr>
          <w:rFonts w:ascii="Times New Roman" w:cs="Times New Roman" w:eastAsia="Times New Roman" w:hAnsi="Times New Roman"/>
          <w:sz w:val="16"/>
          <w:szCs w:val="16"/>
          <w:color w:val="111111"/>
        </w:rPr>
      </w:pPr>
    </w:p>
    <w:p>
      <w:pPr>
        <w:ind w:left="-20" w:firstLine="325"/>
        <w:spacing w:after="0" w:line="273" w:lineRule="auto"/>
        <w:tabs>
          <w:tab w:leader="none" w:pos="627" w:val="left"/>
        </w:tabs>
        <w:numPr>
          <w:ilvl w:val="1"/>
          <w:numId w:val="106"/>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 xml:space="preserve">The fees will be agreed by the Parties and will be indicated on the purchase orders issued by Enphase and accepted by Supplier. The initial fees shall be as set forth on the Fee List attached hereto and incorporated herein as Exhibit C (the </w:t>
      </w:r>
      <w:r>
        <w:rPr>
          <w:rFonts w:ascii="Times New Roman" w:cs="Times New Roman" w:eastAsia="Times New Roman" w:hAnsi="Times New Roman"/>
          <w:sz w:val="16"/>
          <w:szCs w:val="16"/>
          <w:b w:val="1"/>
          <w:bCs w:val="1"/>
          <w:color w:val="111111"/>
        </w:rPr>
        <w:t>"Fee List").</w:t>
      </w:r>
      <w:r>
        <w:rPr>
          <w:rFonts w:ascii="Times New Roman" w:cs="Times New Roman" w:eastAsia="Times New Roman" w:hAnsi="Times New Roman"/>
          <w:sz w:val="16"/>
          <w:szCs w:val="16"/>
          <w:color w:val="111111"/>
        </w:rPr>
        <w:t xml:space="preserve"> If a Fee</w:t>
      </w:r>
    </w:p>
    <w:p>
      <w:pPr>
        <w:sectPr>
          <w:pgSz w:w="11900" w:h="16838" w:orient="portrait"/>
          <w:cols w:equalWidth="0" w:num="1">
            <w:col w:w="10460"/>
          </w:cols>
          <w:pgMar w:left="1040" w:top="1394" w:right="399" w:bottom="1440" w:gutter="0" w:footer="0" w:header="0"/>
        </w:sectPr>
      </w:pPr>
    </w:p>
    <w:bookmarkStart w:id="172" w:name="page173"/>
    <w:bookmarkEnd w:id="172"/>
    <w:p>
      <w:pPr>
        <w:spacing w:after="0" w:line="273" w:lineRule="auto"/>
        <w:rPr>
          <w:sz w:val="20"/>
          <w:szCs w:val="20"/>
          <w:color w:val="auto"/>
        </w:rPr>
      </w:pPr>
      <w:r>
        <w:rPr>
          <w:rFonts w:ascii="Times New Roman" w:cs="Times New Roman" w:eastAsia="Times New Roman" w:hAnsi="Times New Roman"/>
          <w:sz w:val="16"/>
          <w:szCs w:val="16"/>
          <w:color w:val="111111"/>
        </w:rPr>
        <w:t>List is not attached or completed, then the initial fees shall be as set forth in purchase orders issued by Enphase and accepted by Supplier in accordance with the terms of this Agreement.</w:t>
      </w:r>
    </w:p>
    <w:p>
      <w:pPr>
        <w:spacing w:after="0" w:line="38" w:lineRule="exact"/>
        <w:rPr>
          <w:sz w:val="20"/>
          <w:szCs w:val="20"/>
          <w:color w:val="auto"/>
        </w:rPr>
      </w:pPr>
    </w:p>
    <w:p>
      <w:pPr>
        <w:jc w:val="both"/>
        <w:ind w:left="40" w:firstLine="475"/>
        <w:spacing w:after="0" w:line="257" w:lineRule="auto"/>
        <w:tabs>
          <w:tab w:leader="none" w:pos="882" w:val="left"/>
        </w:tabs>
        <w:numPr>
          <w:ilvl w:val="1"/>
          <w:numId w:val="107"/>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All costs and fees will be evaluated quarterly during the ]QBR. The Parties shall agree to such costs, including but not limited to any BOM costs for a subsequent quarter during the aforementioned review. Any changes and timing of changes shall be agreed by the Parties, such agreement not to be unreasonably withheld or delayed. By way of example only, the fees may be increased if the market price of fuels, Materials, equipment, labor and other production costs, increase beyond normal variations in pricing or currency exchange rates as demonstrated by Supplier, to the satisfaction of Enphase.</w:t>
      </w:r>
    </w:p>
    <w:p>
      <w:pPr>
        <w:spacing w:after="0" w:line="28" w:lineRule="exact"/>
        <w:rPr>
          <w:rFonts w:ascii="Times New Roman" w:cs="Times New Roman" w:eastAsia="Times New Roman" w:hAnsi="Times New Roman"/>
          <w:sz w:val="16"/>
          <w:szCs w:val="16"/>
          <w:color w:val="111111"/>
        </w:rPr>
      </w:pPr>
    </w:p>
    <w:p>
      <w:pPr>
        <w:ind w:left="40" w:firstLine="518"/>
        <w:spacing w:after="0" w:line="273" w:lineRule="auto"/>
        <w:tabs>
          <w:tab w:leader="none" w:pos="874" w:val="left"/>
        </w:tabs>
        <w:numPr>
          <w:ilvl w:val="2"/>
          <w:numId w:val="107"/>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All fees are exclusive of federal, state and local excise, sales, use, VAT, and similar transfer taxes, and any duties, and the Supplier shall be responsible for all such items.</w:t>
      </w:r>
    </w:p>
    <w:p>
      <w:pPr>
        <w:spacing w:after="0" w:line="48" w:lineRule="exact"/>
        <w:rPr>
          <w:rFonts w:ascii="Times New Roman" w:cs="Times New Roman" w:eastAsia="Times New Roman" w:hAnsi="Times New Roman"/>
          <w:sz w:val="16"/>
          <w:szCs w:val="16"/>
          <w:color w:val="111111"/>
        </w:rPr>
      </w:pPr>
    </w:p>
    <w:p>
      <w:pPr>
        <w:ind w:left="40" w:firstLine="518"/>
        <w:spacing w:after="0" w:line="273" w:lineRule="auto"/>
        <w:tabs>
          <w:tab w:leader="none" w:pos="904" w:val="left"/>
        </w:tabs>
        <w:numPr>
          <w:ilvl w:val="2"/>
          <w:numId w:val="107"/>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Undisputed invoices will be paid by the Customer within [*] days from the date of receipt by Enphase of the shipment made by the Supplier of Products under a relevant purchase order.</w:t>
      </w:r>
    </w:p>
    <w:p>
      <w:pPr>
        <w:spacing w:after="0" w:line="152" w:lineRule="exact"/>
        <w:rPr>
          <w:rFonts w:ascii="Times New Roman" w:cs="Times New Roman" w:eastAsia="Times New Roman" w:hAnsi="Times New Roman"/>
          <w:sz w:val="16"/>
          <w:szCs w:val="16"/>
          <w:color w:val="111111"/>
        </w:rPr>
      </w:pPr>
    </w:p>
    <w:p>
      <w:pPr>
        <w:ind w:left="280" w:hanging="271"/>
        <w:spacing w:after="0"/>
        <w:tabs>
          <w:tab w:leader="none" w:pos="280" w:val="left"/>
        </w:tabs>
        <w:numPr>
          <w:ilvl w:val="0"/>
          <w:numId w:val="108"/>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111111"/>
        </w:rPr>
        <w:t>MATERIALS PROCUREMENT; ENPHASE’S RESPONSIBILITY FOR MATERIALS</w:t>
      </w:r>
    </w:p>
    <w:p>
      <w:pPr>
        <w:spacing w:after="0" w:line="92" w:lineRule="exact"/>
        <w:rPr>
          <w:sz w:val="20"/>
          <w:szCs w:val="20"/>
          <w:color w:val="auto"/>
        </w:rPr>
      </w:pPr>
    </w:p>
    <w:p>
      <w:pPr>
        <w:jc w:val="both"/>
        <w:ind w:left="20" w:firstLine="506"/>
        <w:spacing w:after="0" w:line="300" w:lineRule="auto"/>
        <w:rPr>
          <w:sz w:val="20"/>
          <w:szCs w:val="20"/>
          <w:color w:val="auto"/>
        </w:rPr>
      </w:pPr>
      <w:r>
        <w:rPr>
          <w:rFonts w:ascii="Times New Roman" w:cs="Times New Roman" w:eastAsia="Times New Roman" w:hAnsi="Times New Roman"/>
          <w:sz w:val="14"/>
          <w:szCs w:val="14"/>
          <w:b w:val="1"/>
          <w:bCs w:val="1"/>
          <w:color w:val="111111"/>
        </w:rPr>
        <w:t xml:space="preserve">4.1. </w:t>
      </w:r>
      <w:r>
        <w:rPr>
          <w:rFonts w:ascii="Times New Roman" w:cs="Times New Roman" w:eastAsia="Times New Roman" w:hAnsi="Times New Roman"/>
          <w:sz w:val="14"/>
          <w:szCs w:val="14"/>
          <w:b w:val="1"/>
          <w:bCs w:val="1"/>
          <w:u w:val="single" w:color="auto"/>
          <w:color w:val="000000"/>
        </w:rPr>
        <w:t>Authorization to Procure Materials, Inventory and Special Inventory.</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0E0E0E"/>
        </w:rPr>
        <w:t>Enphase's purchase orders and forecast will constitute authorization for</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0E0E0E"/>
        </w:rPr>
        <w:t>Supplier to procure: (a) Inventory to manufacture the Products covered by such purchase orders based on the Lead Time and (b) certain Special Inventory based on Enphase's purchase orders and forecast as follows: Long Lead-Time Materials as required based on the Lead Time when such purchase orders are placed and Minimum Order Inventory as required by the third party supplier. Supplier will only purchase Economic Order Inventory with the prior approval of Enphase. Supplier will provide to Enphase each quarter a list of all Long Lead Time Materials (greater than 8 weeks) and the total quantity on order for each long lead time part.</w:t>
      </w:r>
    </w:p>
    <w:p>
      <w:pPr>
        <w:spacing w:after="0" w:line="34" w:lineRule="exact"/>
        <w:rPr>
          <w:sz w:val="20"/>
          <w:szCs w:val="20"/>
          <w:color w:val="auto"/>
        </w:rPr>
      </w:pPr>
    </w:p>
    <w:p>
      <w:pPr>
        <w:jc w:val="both"/>
        <w:ind w:left="40" w:firstLine="502"/>
        <w:spacing w:after="0" w:line="252" w:lineRule="auto"/>
        <w:rPr>
          <w:sz w:val="20"/>
          <w:szCs w:val="20"/>
          <w:color w:val="auto"/>
        </w:rPr>
      </w:pPr>
      <w:r>
        <w:rPr>
          <w:rFonts w:ascii="Times New Roman" w:cs="Times New Roman" w:eastAsia="Times New Roman" w:hAnsi="Times New Roman"/>
          <w:sz w:val="16"/>
          <w:szCs w:val="16"/>
          <w:b w:val="1"/>
          <w:bCs w:val="1"/>
          <w:color w:val="111111"/>
        </w:rPr>
        <w:t xml:space="preserve">4.2. </w:t>
      </w:r>
      <w:r>
        <w:rPr>
          <w:rFonts w:ascii="Times New Roman" w:cs="Times New Roman" w:eastAsia="Times New Roman" w:hAnsi="Times New Roman"/>
          <w:sz w:val="16"/>
          <w:szCs w:val="16"/>
          <w:b w:val="1"/>
          <w:bCs w:val="1"/>
          <w:u w:val="single" w:color="auto"/>
          <w:color w:val="000000"/>
        </w:rPr>
        <w:t>Preferred Supplier.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Enphase shall provide to Supplier and maintain an Approved Vendor List (or AVL). Supplier shall purchase from vendors on a</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current AVL the Materials required to manufacture the Product. Enphase shall give Supplier an opportunity to be included on AVL's for Materials that Supplier can supply, and if Supplier is competitive with other approved vendors as determined by Enphase, Supplier shall be included on such AVL's. If Enphase determines that the Supplier is on an AVL and its prices and quality are competitive with other vendors, Enphase will raise no objection to Supplier sourcing Materials from itself. Notwithstanding anything else contained in the Agreement, unless otherwise agreed by Enphase in writing, the Supplier shall be bound to: (i) follow any Enphase approved splits to an AVL; and (ii) to the extent applicable and instructed by Enphase, purchase Materials only from those vendors listed in a current AVL. For the purposes of this Section 4.2 only, the term "Supplier" includes any companies affiliated with Supplier including the Supplier’s subsidiaries. For Supplier sourced material, Supplier must either: (i) provide a reasonable annual cost reduction based upon comparison to similar commodities; or (ii) provide proof of competitive bidding on the Supplier sourced parts on an annual basis.</w:t>
      </w:r>
    </w:p>
    <w:p>
      <w:pPr>
        <w:sectPr>
          <w:pgSz w:w="11900" w:h="16838" w:orient="portrait"/>
          <w:cols w:equalWidth="0" w:num="1">
            <w:col w:w="10480"/>
          </w:cols>
          <w:pgMar w:left="1020" w:top="1256" w:right="399" w:bottom="1440" w:gutter="0" w:footer="0" w:header="0"/>
        </w:sectPr>
      </w:pPr>
    </w:p>
    <w:bookmarkStart w:id="173" w:name="page174"/>
    <w:bookmarkEnd w:id="173"/>
    <w:p>
      <w:pPr>
        <w:jc w:val="both"/>
        <w:ind w:left="20" w:firstLine="506"/>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4.3. </w:t>
      </w:r>
      <w:r>
        <w:rPr>
          <w:rFonts w:ascii="Times New Roman" w:cs="Times New Roman" w:eastAsia="Times New Roman" w:hAnsi="Times New Roman"/>
          <w:sz w:val="16"/>
          <w:szCs w:val="16"/>
          <w:b w:val="1"/>
          <w:bCs w:val="1"/>
          <w:u w:val="single" w:color="auto"/>
          <w:color w:val="000000"/>
        </w:rPr>
        <w:t>Enphase Responsibility for Inventory and Special Inventory.</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Enphase is responsible under the conditions provided in this Agreement for all</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Materials, Inventory and Special Inventory purchased by Supplier under this Section 4, to the extent that such Materials, Inventory and Special Inventory have been purchased: (i) at Enphase’s request; or (ii) solely for performing the Work. Notwithstanding the foregoing, the Supplier shall implement industry standard practices, for the storage and safety of such Materials, Inventory or Special Inventory. The Supplier shall maintain the minimum quantities of Materials, Inventory and Special Inventory as outlined in Exhibit F to this Agreement, in order to ensure timely fulfillment of purchase orders issued by Enphase.</w:t>
      </w:r>
    </w:p>
    <w:p>
      <w:pPr>
        <w:spacing w:after="0" w:line="52" w:lineRule="exact"/>
        <w:rPr>
          <w:sz w:val="20"/>
          <w:szCs w:val="20"/>
          <w:color w:val="auto"/>
        </w:rPr>
      </w:pPr>
    </w:p>
    <w:p>
      <w:pPr>
        <w:jc w:val="both"/>
        <w:ind w:left="20" w:firstLine="502"/>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4.4. </w:t>
      </w:r>
      <w:r>
        <w:rPr>
          <w:rFonts w:ascii="Times New Roman" w:cs="Times New Roman" w:eastAsia="Times New Roman" w:hAnsi="Times New Roman"/>
          <w:sz w:val="16"/>
          <w:szCs w:val="16"/>
          <w:b w:val="1"/>
          <w:bCs w:val="1"/>
          <w:u w:val="single" w:color="auto"/>
          <w:color w:val="000000"/>
        </w:rPr>
        <w:t>Materials Warranties.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Supplier shall use its best efforts to obtain and pass through to Enphase the following warranties with regard to the Materials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 xml:space="preserve">(other than the Enphase Controlled Materials) for a period of at least [*] years: i) conformance of the Materials with the vendor's specifications and with the Specifications; (ii) that the Materials will be free from defects in workmanship; (iii) that the Materials will comply with Environmental Regulations and all applicable Laws; and (iv) that the Materials will not infringe the intellectual property rights of third-parties. Supplier shall promptly </w:t>
      </w:r>
      <w:r>
        <w:rPr>
          <w:rFonts w:ascii="Times New Roman" w:cs="Times New Roman" w:eastAsia="Times New Roman" w:hAnsi="Times New Roman"/>
          <w:sz w:val="16"/>
          <w:szCs w:val="16"/>
          <w:color w:val="222222"/>
        </w:rPr>
        <w:t>inform</w:t>
      </w:r>
      <w:r>
        <w:rPr>
          <w:rFonts w:ascii="Times New Roman" w:cs="Times New Roman" w:eastAsia="Times New Roman" w:hAnsi="Times New Roman"/>
          <w:sz w:val="16"/>
          <w:szCs w:val="16"/>
          <w:color w:val="0E0E0E"/>
        </w:rPr>
        <w:t xml:space="preserve"> Enphase if it </w:t>
      </w:r>
      <w:r>
        <w:rPr>
          <w:rFonts w:ascii="Times New Roman" w:cs="Times New Roman" w:eastAsia="Times New Roman" w:hAnsi="Times New Roman"/>
          <w:sz w:val="16"/>
          <w:szCs w:val="16"/>
          <w:color w:val="222222"/>
        </w:rPr>
        <w:t>is</w:t>
      </w:r>
      <w:r>
        <w:rPr>
          <w:rFonts w:ascii="Times New Roman" w:cs="Times New Roman" w:eastAsia="Times New Roman" w:hAnsi="Times New Roman"/>
          <w:sz w:val="16"/>
          <w:szCs w:val="16"/>
          <w:color w:val="0E0E0E"/>
        </w:rPr>
        <w:t xml:space="preserve"> not able to obtain and pass through the foregoing warranties with regard to any Materials.</w:t>
      </w:r>
    </w:p>
    <w:p>
      <w:pPr>
        <w:spacing w:after="0" w:line="20" w:lineRule="exact"/>
        <w:rPr>
          <w:sz w:val="20"/>
          <w:szCs w:val="20"/>
          <w:color w:val="auto"/>
        </w:rPr>
      </w:pPr>
    </w:p>
    <w:p>
      <w:pPr>
        <w:ind w:left="300" w:hanging="280"/>
        <w:spacing w:after="0"/>
        <w:tabs>
          <w:tab w:leader="none" w:pos="300" w:val="left"/>
        </w:tabs>
        <w:numPr>
          <w:ilvl w:val="0"/>
          <w:numId w:val="109"/>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0E0E0E"/>
        </w:rPr>
        <w:t>SHIPMENTS, SCHEDULE CHANGE, CANCELLATION, STORAGE</w:t>
      </w:r>
    </w:p>
    <w:p>
      <w:pPr>
        <w:spacing w:after="0" w:line="60" w:lineRule="exact"/>
        <w:rPr>
          <w:sz w:val="20"/>
          <w:szCs w:val="20"/>
          <w:color w:val="auto"/>
        </w:rPr>
      </w:pPr>
    </w:p>
    <w:p>
      <w:pPr>
        <w:jc w:val="both"/>
        <w:ind w:left="20" w:firstLine="502"/>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5.1. </w:t>
      </w:r>
      <w:r>
        <w:rPr>
          <w:rFonts w:ascii="Times New Roman" w:cs="Times New Roman" w:eastAsia="Times New Roman" w:hAnsi="Times New Roman"/>
          <w:sz w:val="16"/>
          <w:szCs w:val="16"/>
          <w:b w:val="1"/>
          <w:bCs w:val="1"/>
          <w:u w:val="single" w:color="auto"/>
          <w:color w:val="000000"/>
        </w:rPr>
        <w:t>Shipments.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All Products delivered pursuant to the terms of this Agreement shall be suitably packed for shipment in accordance with the Specifications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and marked for shipment to Enphase's destination specified in the applicable purchase order. Shipments will be made DDP (lncoterms 2000) by the Supplier and will be received by Enphase at locations specified by Enphase in the purchase order, at which time risk of loss and title will pass to Enphase. The Supplier and Enphase shall mutually agree on the cost of such shipments during the QBR. The costs for shipments as a result of any new Products or additional Work requested by Enphase, shall be mutually agreed to between the Parties, as and when applicable.</w:t>
      </w:r>
    </w:p>
    <w:p>
      <w:pPr>
        <w:spacing w:after="0" w:line="52"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111111"/>
        </w:rPr>
        <w:t>5.2.</w:t>
      </w:r>
      <w:r>
        <w:rPr>
          <w:sz w:val="20"/>
          <w:szCs w:val="20"/>
          <w:color w:val="auto"/>
        </w:rPr>
        <w:tab/>
      </w:r>
      <w:r>
        <w:rPr>
          <w:rFonts w:ascii="Times New Roman" w:cs="Times New Roman" w:eastAsia="Times New Roman" w:hAnsi="Times New Roman"/>
          <w:sz w:val="14"/>
          <w:szCs w:val="14"/>
          <w:b w:val="1"/>
          <w:bCs w:val="1"/>
          <w:u w:val="single" w:color="auto"/>
          <w:color w:val="auto"/>
        </w:rPr>
        <w:t>Quantity Increases and Shipment Schedule Changes.</w:t>
      </w:r>
    </w:p>
    <w:p>
      <w:pPr>
        <w:spacing w:after="0" w:line="104" w:lineRule="exact"/>
        <w:rPr>
          <w:sz w:val="20"/>
          <w:szCs w:val="20"/>
          <w:color w:val="auto"/>
        </w:rPr>
      </w:pPr>
    </w:p>
    <w:p>
      <w:pPr>
        <w:ind w:firstLine="504"/>
        <w:spacing w:after="0" w:line="273" w:lineRule="auto"/>
        <w:tabs>
          <w:tab w:leader="none" w:pos="870" w:val="left"/>
        </w:tabs>
        <w:numPr>
          <w:ilvl w:val="0"/>
          <w:numId w:val="110"/>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Supplier will use reasonable commercial efforts to meet any quantity increases as requested by Enphase at no additional cost to Enphase apart from the applicable fees, provided that such quantity increases are subject to availability of Materials.</w:t>
      </w:r>
    </w:p>
    <w:p>
      <w:pPr>
        <w:spacing w:after="0" w:line="48" w:lineRule="exact"/>
        <w:rPr>
          <w:rFonts w:ascii="Times New Roman" w:cs="Times New Roman" w:eastAsia="Times New Roman" w:hAnsi="Times New Roman"/>
          <w:sz w:val="16"/>
          <w:szCs w:val="16"/>
          <w:color w:val="111111"/>
        </w:rPr>
      </w:pPr>
    </w:p>
    <w:p>
      <w:pPr>
        <w:ind w:right="20" w:firstLine="504"/>
        <w:spacing w:after="0" w:line="273" w:lineRule="auto"/>
        <w:tabs>
          <w:tab w:leader="none" w:pos="845" w:val="left"/>
        </w:tabs>
        <w:numPr>
          <w:ilvl w:val="0"/>
          <w:numId w:val="110"/>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For purposes of calculating the amount of Inventory and Special Inventory subject to subsection (b), the "Lead Time" shall be calculated as the Lead Time at the time of procurement of the Inventory and Special Inventory.</w:t>
      </w:r>
    </w:p>
    <w:p>
      <w:pPr>
        <w:spacing w:after="0" w:line="57"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5.3. </w:t>
      </w:r>
      <w:r>
        <w:rPr>
          <w:rFonts w:ascii="Times New Roman" w:cs="Times New Roman" w:eastAsia="Times New Roman" w:hAnsi="Times New Roman"/>
          <w:sz w:val="16"/>
          <w:szCs w:val="16"/>
          <w:b w:val="1"/>
          <w:bCs w:val="1"/>
          <w:u w:val="single" w:color="auto"/>
          <w:color w:val="000000"/>
        </w:rPr>
        <w:t>Mitigation of Inventory and Special Inventory.</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Prior to invoicing Enphase for the amounts due pursuant to Sections 5.1 or 5.2, Supplier will use its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best efforts for a period of thirty (30) days, to return unused Inventory and Special Inventory and to cancel pending orders for such items, and to otherwise mitigate the amounts payable by Enphase. Enphase shall pay amounts due under this Section 5 within sixty</w:t>
      </w:r>
    </w:p>
    <w:p>
      <w:pPr>
        <w:ind w:firstLine="5"/>
        <w:spacing w:after="0" w:line="258" w:lineRule="auto"/>
        <w:tabs>
          <w:tab w:leader="none" w:pos="299" w:val="left"/>
        </w:tabs>
        <w:numPr>
          <w:ilvl w:val="0"/>
          <w:numId w:val="111"/>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of receipt of an invoice. Supplier will ship the Inventory and Special Inventory paid for by Enphase under this Section 5.3 to Enphase promptly upon said payment by Enphase. In the event Enphase does not pay within sixty (60) days from the date of expiry of the</w:t>
      </w:r>
    </w:p>
    <w:p>
      <w:pPr>
        <w:sectPr>
          <w:pgSz w:w="11900" w:h="16838" w:orient="portrait"/>
          <w:cols w:equalWidth="0" w:num="1">
            <w:col w:w="10460"/>
          </w:cols>
          <w:pgMar w:left="1040" w:top="1222" w:right="399" w:bottom="1440" w:gutter="0" w:footer="0" w:header="0"/>
        </w:sectPr>
      </w:pPr>
    </w:p>
    <w:bookmarkStart w:id="174" w:name="page175"/>
    <w:bookmarkEnd w:id="174"/>
    <w:p>
      <w:pPr>
        <w:jc w:val="both"/>
        <w:spacing w:after="0" w:line="261" w:lineRule="auto"/>
        <w:rPr>
          <w:sz w:val="20"/>
          <w:szCs w:val="20"/>
          <w:color w:val="auto"/>
        </w:rPr>
      </w:pPr>
      <w:r>
        <w:rPr>
          <w:rFonts w:ascii="Times New Roman" w:cs="Times New Roman" w:eastAsia="Times New Roman" w:hAnsi="Times New Roman"/>
          <w:sz w:val="16"/>
          <w:szCs w:val="16"/>
          <w:color w:val="111111"/>
        </w:rPr>
        <w:t>aforementioned payment term, Supplier will be entitled to dispose of such Inventory and Special Inventory in a commercially reasonable manner and credit to Enphase any monies received from third-parties</w:t>
      </w:r>
      <w:r>
        <w:rPr>
          <w:rFonts w:ascii="Times New Roman" w:cs="Times New Roman" w:eastAsia="Times New Roman" w:hAnsi="Times New Roman"/>
          <w:sz w:val="16"/>
          <w:szCs w:val="16"/>
          <w:color w:val="383838"/>
        </w:rPr>
        <w:t>. The Supplier will make available to Enphase on a quarterly basis, a report containing details of any excess or obsolete</w:t>
      </w:r>
      <w:r>
        <w:rPr>
          <w:rFonts w:ascii="Times New Roman" w:cs="Times New Roman" w:eastAsia="Times New Roman" w:hAnsi="Times New Roman"/>
          <w:sz w:val="16"/>
          <w:szCs w:val="16"/>
          <w:color w:val="111111"/>
        </w:rPr>
        <w:t xml:space="preserve"> </w:t>
      </w:r>
      <w:r>
        <w:rPr>
          <w:rFonts w:ascii="Times New Roman" w:cs="Times New Roman" w:eastAsia="Times New Roman" w:hAnsi="Times New Roman"/>
          <w:sz w:val="16"/>
          <w:szCs w:val="16"/>
          <w:color w:val="383838"/>
        </w:rPr>
        <w:t>Inventory held by the Supplier. The Parties will mutually agree on a course of action to deal with such Inventory.</w:t>
      </w:r>
    </w:p>
    <w:p>
      <w:pPr>
        <w:spacing w:after="0" w:line="56"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6"/>
          <w:szCs w:val="16"/>
          <w:b w:val="1"/>
          <w:bCs w:val="1"/>
          <w:color w:val="111111"/>
        </w:rPr>
        <w:t xml:space="preserve">5.4. </w:t>
      </w:r>
      <w:r>
        <w:rPr>
          <w:rFonts w:ascii="Times New Roman" w:cs="Times New Roman" w:eastAsia="Times New Roman" w:hAnsi="Times New Roman"/>
          <w:sz w:val="16"/>
          <w:szCs w:val="16"/>
          <w:b w:val="1"/>
          <w:bCs w:val="1"/>
          <w:u w:val="single" w:color="auto"/>
          <w:color w:val="000000"/>
        </w:rPr>
        <w:t>Delivery performance.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00000"/>
        </w:rPr>
        <w:t>Time is of the essence in Supplier’s performance under this Agreement.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On time delivery shall be measured and reported to</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Enphase on a monthly basis. Orders shall be considered on time if they are shipped from one week earlier than the scheduled shipment date up to one day after the scheduled shipment date. If Supplier cannot meet the on-time delivery requirement for any order due to Supplier's failure to make a timely shipment, then Supplier will ship that Order at Supplier’s' own expense via air transportation or other expedient means acceptable to Enphase, at the earliest, to minimize the delay in delivery. Notwithstanding anything else contained in this Agreement, if a shipment of Products is delayed by more than thirty (30) days Enphase shall have the right to terminate this Agreement with no further liability to the Supplier except for payments to be made for shipments already delivered.</w:t>
      </w:r>
    </w:p>
    <w:p>
      <w:pPr>
        <w:spacing w:after="0" w:line="264" w:lineRule="exact"/>
        <w:rPr>
          <w:sz w:val="20"/>
          <w:szCs w:val="20"/>
          <w:color w:val="auto"/>
        </w:rPr>
      </w:pPr>
    </w:p>
    <w:p>
      <w:pPr>
        <w:ind w:left="280" w:hanging="272"/>
        <w:spacing w:after="0"/>
        <w:tabs>
          <w:tab w:leader="none" w:pos="280" w:val="left"/>
        </w:tabs>
        <w:numPr>
          <w:ilvl w:val="0"/>
          <w:numId w:val="112"/>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111111"/>
        </w:rPr>
        <w:t>PRODUCT ACCEPTANCE AND EXPRESS LIMITED WARRANTY</w:t>
      </w:r>
    </w:p>
    <w:p>
      <w:pPr>
        <w:spacing w:after="0" w:line="113"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6"/>
          <w:szCs w:val="16"/>
          <w:b w:val="1"/>
          <w:bCs w:val="1"/>
          <w:color w:val="111111"/>
        </w:rPr>
        <w:t xml:space="preserve">6.1. </w:t>
      </w:r>
      <w:r>
        <w:rPr>
          <w:rFonts w:ascii="Times New Roman" w:cs="Times New Roman" w:eastAsia="Times New Roman" w:hAnsi="Times New Roman"/>
          <w:sz w:val="16"/>
          <w:szCs w:val="16"/>
          <w:b w:val="1"/>
          <w:bCs w:val="1"/>
          <w:u w:val="single" w:color="auto"/>
          <w:color w:val="000000"/>
        </w:rPr>
        <w:t>Product Acceptance.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The Products delivered by Supplier will be accepted upon delivery provided that they meet the criteria, in accordance with section</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5.1 of this Agreement. If Products do not comply with the terms of the PO or the express limited warranty set forth in Section 6.2 below, Enphase has the right to reject such Products during said period. Products not rejected during said period will be deemed accepted. Enphase may return defective Products, freight collect, after obtaining a return material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111111"/>
        </w:rPr>
        <w:t>authorization number from Supplier to be displayed on the shipping container and completing a failure report. Rejected Products will be promptly repaired or replaced, at Enphase's option, and returned freight pre-paid, at the Supplier’s expense. In the event Enphase chooses not to accept a repaired or replacement Product, then Supplier will refund the price paid by Enphase for such Product, net fifteen (15) days from Enphase’s written request for refund.</w:t>
      </w:r>
    </w:p>
    <w:p>
      <w:pPr>
        <w:spacing w:after="0" w:line="56"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6.2. </w:t>
      </w:r>
      <w:r>
        <w:rPr>
          <w:rFonts w:ascii="Times New Roman" w:cs="Times New Roman" w:eastAsia="Times New Roman" w:hAnsi="Times New Roman"/>
          <w:sz w:val="16"/>
          <w:szCs w:val="16"/>
          <w:b w:val="1"/>
          <w:bCs w:val="1"/>
          <w:u w:val="single" w:color="auto"/>
          <w:color w:val="000000"/>
        </w:rPr>
        <w:t>Express Warranty.</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This Section 6.2 sets forth the Supplier's Product warranty and Enphase's remedies with respect to a breach by Supplier of such</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Product warranty.</w:t>
      </w:r>
    </w:p>
    <w:p>
      <w:pPr>
        <w:spacing w:after="0" w:line="47" w:lineRule="exact"/>
        <w:rPr>
          <w:sz w:val="20"/>
          <w:szCs w:val="20"/>
          <w:color w:val="auto"/>
        </w:rPr>
      </w:pPr>
    </w:p>
    <w:p>
      <w:pPr>
        <w:jc w:val="both"/>
        <w:ind w:firstLine="518"/>
        <w:spacing w:after="0" w:line="257" w:lineRule="auto"/>
        <w:tabs>
          <w:tab w:leader="none" w:pos="927" w:val="left"/>
        </w:tabs>
        <w:numPr>
          <w:ilvl w:val="0"/>
          <w:numId w:val="11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Supplier warrants that the Products will have been manufactured in accordance with the applicable Specifications and will be free from defects in materials and workmanship for a period of [*] from the date of delivery of the Product. In addition, Supplier warrants that (A) Production Materials shall be used in compliance with Environmental Regulations, (B) Supplier will not manufacture Products using Materials from vendors that are not on the Approved Vendor List, unless otherwise agreed in writing by Enphase.</w:t>
      </w:r>
    </w:p>
    <w:p>
      <w:pPr>
        <w:sectPr>
          <w:pgSz w:w="11900" w:h="16838" w:orient="portrait"/>
          <w:cols w:equalWidth="0" w:num="1">
            <w:col w:w="10460"/>
          </w:cols>
          <w:pgMar w:left="1040" w:top="1150" w:right="399" w:bottom="1440" w:gutter="0" w:footer="0" w:header="0"/>
        </w:sectPr>
      </w:pPr>
    </w:p>
    <w:bookmarkStart w:id="175" w:name="page176"/>
    <w:bookmarkEnd w:id="175"/>
    <w:p>
      <w:pPr>
        <w:ind w:firstLine="511"/>
        <w:spacing w:after="0" w:line="273" w:lineRule="auto"/>
        <w:tabs>
          <w:tab w:leader="none" w:pos="889" w:val="left"/>
        </w:tabs>
        <w:numPr>
          <w:ilvl w:val="0"/>
          <w:numId w:val="114"/>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0E0E0E"/>
        </w:rPr>
        <w:t>Upon any failure of a Product to comply with this express limited warranty, Supplier will, at Enphase’s option, either refund the amount paid for such Products by Enphase, or promptly repair or replace such unit and return it to Enphase freight prepaid.</w:t>
      </w:r>
    </w:p>
    <w:p>
      <w:pPr>
        <w:spacing w:after="0" w:line="57" w:lineRule="exact"/>
        <w:rPr>
          <w:sz w:val="20"/>
          <w:szCs w:val="20"/>
          <w:color w:val="auto"/>
        </w:rPr>
      </w:pPr>
    </w:p>
    <w:p>
      <w:pPr>
        <w:jc w:val="both"/>
        <w:ind w:firstLine="504"/>
        <w:spacing w:after="0" w:line="287" w:lineRule="auto"/>
        <w:rPr>
          <w:sz w:val="20"/>
          <w:szCs w:val="20"/>
          <w:color w:val="auto"/>
        </w:rPr>
      </w:pPr>
      <w:r>
        <w:rPr>
          <w:rFonts w:ascii="Times New Roman" w:cs="Times New Roman" w:eastAsia="Times New Roman" w:hAnsi="Times New Roman"/>
          <w:sz w:val="14"/>
          <w:szCs w:val="14"/>
          <w:b w:val="1"/>
          <w:bCs w:val="1"/>
          <w:color w:val="111111"/>
        </w:rPr>
        <w:t xml:space="preserve">6.3. </w:t>
      </w:r>
      <w:r>
        <w:rPr>
          <w:rFonts w:ascii="Times New Roman" w:cs="Times New Roman" w:eastAsia="Times New Roman" w:hAnsi="Times New Roman"/>
          <w:sz w:val="14"/>
          <w:szCs w:val="14"/>
          <w:b w:val="1"/>
          <w:bCs w:val="1"/>
          <w:u w:val="single" w:color="auto"/>
          <w:color w:val="000000"/>
        </w:rPr>
        <w:t>General Warranties.</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111111"/>
        </w:rPr>
        <w:t>As on the Effective Date of this Agreement, each Party represents and warrants that: (a) it is a corporation duly incorporated,</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111111"/>
        </w:rPr>
        <w:t>validly existing and in good standing under the laws of the state or country in which it was incorporated; (b) it has all necessary corporate power and authority to enter into this Agreement and that the execution, delivery and the consummation of the transactions contemplated thereby have each been authorized by all necessary corporate action and do not violate any judgment, order, or decree; (c) the execution, delivery, performance and consummation of the transactions contemplated by this Agreement do not and will not constitute a material default under any contract by which it or any of its material assets are bound. The Supplier further represents and warrants that: (i) it will comply with its obligations under Section 10.9 of this Agreement; (ii) all information provided by the Supplier in any proposal, offer or other document prior to execution of this Agreement in relation to the subject matter of this Agreement, to the best of Supplier’s knowledge, is true, accurate and complete;</w:t>
      </w:r>
    </w:p>
    <w:p>
      <w:pPr>
        <w:spacing w:after="0" w:line="3" w:lineRule="exact"/>
        <w:rPr>
          <w:sz w:val="20"/>
          <w:szCs w:val="20"/>
          <w:color w:val="auto"/>
        </w:rPr>
      </w:pPr>
    </w:p>
    <w:p>
      <w:pPr>
        <w:jc w:val="both"/>
        <w:ind w:firstLine="8"/>
        <w:spacing w:after="0" w:line="250" w:lineRule="auto"/>
        <w:tabs>
          <w:tab w:leader="none" w:pos="274" w:val="left"/>
        </w:tabs>
        <w:numPr>
          <w:ilvl w:val="0"/>
          <w:numId w:val="115"/>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no claim, litigation, proceeding, arbitration, investigation, or material controversy is pending, has been threatened, or is contemplated which would have a material adverse effect on the Supplier’s ability to enter into the Agreement or perform the Work and/or manufacture, test or assemble the Products or fulfil any or all its obligations under this Agreement; (iv) it shall perform the Work with promptness, diligence and in a workmanlike and professional manner, in accordance with the terms of the Agreement and with the practices and professional standards used in well-managed operations performing services similar to the Work; (iv) it has the required personnel who are duly qualified, and are suitably trained, educated, experienced, and skilled to perform the Work and shall only deploy such trained, experienced and skilled personnel to provide the Work; (v) that it has obtained and will maintain for the term of this Agreement: (a) ISO 9001:2015 certifaction, (b) ISO 14001:2015 certification, and (c) ISO 45001:2018 certification, or the latest industry standard equivalent of these certifications, as applicable; and (vi) it is in compliance with, and will continue to be in compliance with all applicable Laws.</w:t>
      </w:r>
    </w:p>
    <w:p>
      <w:pPr>
        <w:spacing w:after="0" w:line="98" w:lineRule="exact"/>
        <w:rPr>
          <w:sz w:val="20"/>
          <w:szCs w:val="20"/>
          <w:color w:val="auto"/>
        </w:rPr>
      </w:pPr>
    </w:p>
    <w:p>
      <w:pPr>
        <w:ind w:left="280" w:hanging="268"/>
        <w:spacing w:after="0"/>
        <w:tabs>
          <w:tab w:leader="none" w:pos="280" w:val="left"/>
        </w:tabs>
        <w:numPr>
          <w:ilvl w:val="0"/>
          <w:numId w:val="116"/>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0E0E0E"/>
        </w:rPr>
        <w:t>INTELLECTUAL PROPERTY LICENSES</w:t>
      </w:r>
    </w:p>
    <w:p>
      <w:pPr>
        <w:spacing w:after="0" w:line="102" w:lineRule="exact"/>
        <w:rPr>
          <w:sz w:val="20"/>
          <w:szCs w:val="20"/>
          <w:color w:val="auto"/>
        </w:rPr>
      </w:pPr>
    </w:p>
    <w:p>
      <w:pPr>
        <w:jc w:val="both"/>
        <w:ind w:left="20" w:firstLine="509"/>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7.1. </w:t>
      </w:r>
      <w:r>
        <w:rPr>
          <w:rFonts w:ascii="Times New Roman" w:cs="Times New Roman" w:eastAsia="Times New Roman" w:hAnsi="Times New Roman"/>
          <w:sz w:val="16"/>
          <w:szCs w:val="16"/>
          <w:b w:val="1"/>
          <w:bCs w:val="1"/>
          <w:u w:val="single" w:color="auto"/>
          <w:color w:val="000000"/>
        </w:rPr>
        <w:t>Licenses.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Enphase hereby grants Supplier a non-exclusive, limited, revocable, non- transferable, non-sublicensable right and license (unless permitted by</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Enphase) during the term of this</w:t>
      </w:r>
    </w:p>
    <w:p>
      <w:pPr>
        <w:spacing w:after="0" w:line="15" w:lineRule="exact"/>
        <w:rPr>
          <w:sz w:val="20"/>
          <w:szCs w:val="20"/>
          <w:color w:val="auto"/>
        </w:rPr>
      </w:pPr>
    </w:p>
    <w:p>
      <w:pPr>
        <w:jc w:val="both"/>
        <w:ind w:left="20"/>
        <w:spacing w:after="0" w:line="300" w:lineRule="auto"/>
        <w:rPr>
          <w:sz w:val="20"/>
          <w:szCs w:val="20"/>
          <w:color w:val="auto"/>
        </w:rPr>
      </w:pPr>
      <w:r>
        <w:rPr>
          <w:rFonts w:ascii="Times New Roman" w:cs="Times New Roman" w:eastAsia="Times New Roman" w:hAnsi="Times New Roman"/>
          <w:sz w:val="14"/>
          <w:szCs w:val="14"/>
          <w:color w:val="0E0E0E"/>
        </w:rPr>
        <w:t>Agreement to use Enphase's patents, trade secrets and other intellectual property solely as necessary to perform Supplier's obligations under this Agreement. For the avoidance of doubt, any such intellectual property will be considered the Confidential Information of Enphase. If and to the extent the Products contains Supplier’s intellectual property, the Supplier grants to Enphase an unrestricted, perpetual, irrevocable, worldwide, sub-licensable, royalty-free license to such Supplier intellectual property to use, copy, modify, revise, distribute, publicly display, publicly perform, import, manufacture, have made, sell, offer to sell (whether directly or through channels of distribution), to the extent they are needed for Enphase to exercise its rights in the Products. Any such license shall include</w:t>
      </w:r>
    </w:p>
    <w:p>
      <w:pPr>
        <w:sectPr>
          <w:pgSz w:w="11900" w:h="16838" w:orient="portrait"/>
          <w:cols w:equalWidth="0" w:num="1">
            <w:col w:w="10460"/>
          </w:cols>
          <w:pgMar w:left="1040" w:top="1235" w:right="399" w:bottom="1440" w:gutter="0" w:footer="0" w:header="0"/>
        </w:sectPr>
      </w:pPr>
    </w:p>
    <w:bookmarkStart w:id="176" w:name="page177"/>
    <w:bookmarkEnd w:id="176"/>
    <w:p>
      <w:pPr>
        <w:ind w:left="20"/>
        <w:spacing w:after="0"/>
        <w:rPr>
          <w:sz w:val="20"/>
          <w:szCs w:val="20"/>
          <w:color w:val="auto"/>
        </w:rPr>
      </w:pPr>
      <w:r>
        <w:rPr>
          <w:rFonts w:ascii="Times New Roman" w:cs="Times New Roman" w:eastAsia="Times New Roman" w:hAnsi="Times New Roman"/>
          <w:sz w:val="16"/>
          <w:szCs w:val="16"/>
          <w:color w:val="0E0E0E"/>
        </w:rPr>
        <w:t>Enphase's right to grant an unrestricted, royalty-free license to its Subsidiaries or other affiliates for the purposes stated herein.</w:t>
      </w:r>
    </w:p>
    <w:p>
      <w:pPr>
        <w:spacing w:after="0" w:line="90" w:lineRule="exact"/>
        <w:rPr>
          <w:sz w:val="20"/>
          <w:szCs w:val="20"/>
          <w:color w:val="auto"/>
        </w:rPr>
      </w:pPr>
    </w:p>
    <w:p>
      <w:pPr>
        <w:ind w:left="20" w:right="100" w:firstLine="509"/>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7.2. </w:t>
      </w:r>
      <w:r>
        <w:rPr>
          <w:rFonts w:ascii="Times New Roman" w:cs="Times New Roman" w:eastAsia="Times New Roman" w:hAnsi="Times New Roman"/>
          <w:sz w:val="16"/>
          <w:szCs w:val="16"/>
          <w:b w:val="1"/>
          <w:bCs w:val="1"/>
          <w:u w:val="single" w:color="auto"/>
          <w:color w:val="000000"/>
        </w:rPr>
        <w:t>No Other Licenses.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Except as otherwise specifically provided in this Agreement, each Party acknowledges and agrees that no licenses or rights under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any of the intellectual property rights of the other Party are given or intended to be given to such other Party.</w:t>
      </w:r>
    </w:p>
    <w:p>
      <w:pPr>
        <w:spacing w:after="0" w:line="45" w:lineRule="exact"/>
        <w:rPr>
          <w:sz w:val="20"/>
          <w:szCs w:val="20"/>
          <w:color w:val="auto"/>
        </w:rPr>
      </w:pPr>
    </w:p>
    <w:p>
      <w:pPr>
        <w:ind w:left="280" w:hanging="268"/>
        <w:spacing w:after="0"/>
        <w:tabs>
          <w:tab w:leader="none" w:pos="280" w:val="left"/>
        </w:tabs>
        <w:numPr>
          <w:ilvl w:val="0"/>
          <w:numId w:val="117"/>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0E0E0E"/>
        </w:rPr>
        <w:t>TERM AND TERMINATION</w:t>
      </w:r>
    </w:p>
    <w:p>
      <w:pPr>
        <w:spacing w:after="0" w:line="113" w:lineRule="exact"/>
        <w:rPr>
          <w:sz w:val="20"/>
          <w:szCs w:val="20"/>
          <w:color w:val="auto"/>
        </w:rPr>
      </w:pPr>
    </w:p>
    <w:p>
      <w:pPr>
        <w:jc w:val="both"/>
        <w:ind w:right="100" w:firstLine="518"/>
        <w:spacing w:after="0" w:line="258" w:lineRule="auto"/>
        <w:rPr>
          <w:sz w:val="20"/>
          <w:szCs w:val="20"/>
          <w:color w:val="auto"/>
        </w:rPr>
      </w:pPr>
      <w:r>
        <w:rPr>
          <w:rFonts w:ascii="Times New Roman" w:cs="Times New Roman" w:eastAsia="Times New Roman" w:hAnsi="Times New Roman"/>
          <w:sz w:val="16"/>
          <w:szCs w:val="16"/>
          <w:b w:val="1"/>
          <w:bCs w:val="1"/>
          <w:color w:val="111111"/>
        </w:rPr>
        <w:t xml:space="preserve">8.1. </w:t>
      </w:r>
      <w:r>
        <w:rPr>
          <w:rFonts w:ascii="Times New Roman" w:cs="Times New Roman" w:eastAsia="Times New Roman" w:hAnsi="Times New Roman"/>
          <w:sz w:val="16"/>
          <w:szCs w:val="16"/>
          <w:b w:val="1"/>
          <w:bCs w:val="1"/>
          <w:u w:val="single" w:color="auto"/>
          <w:color w:val="000000"/>
        </w:rPr>
        <w:t>Term.</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The term of this Agreement shall commence on the Effective Date and shall continue until two (2) years from the Effective Date unless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terminated earlier as provided in Section 8.2 (Termination) or 10.8 (Force Majeure). After the expiration of the initial term hereunder (unless this Agreement has been terminated), this Agreement shall be automatically renewed for separate but successive one-year terms unless either Party provides written notice to the other Party that it does not intend to renew this Agreement ninety (90) days or more prior to the end of any term.</w:t>
      </w:r>
    </w:p>
    <w:p>
      <w:pPr>
        <w:spacing w:after="0" w:line="47"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6"/>
          <w:szCs w:val="16"/>
          <w:b w:val="1"/>
          <w:bCs w:val="1"/>
          <w:color w:val="111111"/>
        </w:rPr>
        <w:t xml:space="preserve">8.2. </w:t>
      </w:r>
      <w:r>
        <w:rPr>
          <w:rFonts w:ascii="Times New Roman" w:cs="Times New Roman" w:eastAsia="Times New Roman" w:hAnsi="Times New Roman"/>
          <w:sz w:val="16"/>
          <w:szCs w:val="16"/>
          <w:b w:val="1"/>
          <w:bCs w:val="1"/>
          <w:u w:val="single" w:color="auto"/>
          <w:color w:val="000000"/>
        </w:rPr>
        <w:t>Termination</w:t>
      </w:r>
      <w:r>
        <w:rPr>
          <w:rFonts w:ascii="Times New Roman" w:cs="Times New Roman" w:eastAsia="Times New Roman" w:hAnsi="Times New Roman"/>
          <w:sz w:val="16"/>
          <w:szCs w:val="16"/>
          <w:b w:val="1"/>
          <w:bCs w:val="1"/>
          <w:color w:val="0E0E0E"/>
        </w:rPr>
        <w: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This Agreement may be terminated: (a) by Enphase for convenience upon thirty (30) days written notice to the Supplier; (b) by either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Party if the other Party defaults in any payment to the terminating Party and such default continues without a cure for a period of sixty (60) days after the delivery of written notice thereof by the terminating Party to the other Party; (c) by a Party if the other Party defaults in the performance of any other material term or condition of this Agreement and such default continues unremedied for a period of thirty (30) days after the delivery of written notice thereof by the terminating Party to the other Party (d) pursuant to Section 10.8 (Force Majeure); or (e) by a Party if the other Party becomes insolvent, unable to pay debts when due, or the subject of bankruptcy proceedings not terminated within thirty (30) days of any filing; or makes a general assignment for the benefit of creditors; or if a receiver is appointed for substantially all of its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-794385</wp:posOffset>
            </wp:positionV>
            <wp:extent cx="33655"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33655" cy="13335"/>
                    </a:xfrm>
                    <a:prstGeom prst="rect">
                      <a:avLst/>
                    </a:prstGeom>
                    <a:noFill/>
                  </pic:spPr>
                </pic:pic>
              </a:graphicData>
            </a:graphic>
          </wp:anchor>
        </w:drawing>
      </w:r>
    </w:p>
    <w:p>
      <w:pPr>
        <w:spacing w:after="0" w:line="44" w:lineRule="exact"/>
        <w:rPr>
          <w:sz w:val="20"/>
          <w:szCs w:val="20"/>
          <w:color w:val="auto"/>
        </w:rPr>
      </w:pPr>
    </w:p>
    <w:p>
      <w:pPr>
        <w:jc w:val="both"/>
        <w:ind w:left="20" w:firstLine="513"/>
        <w:spacing w:after="0" w:line="252" w:lineRule="auto"/>
        <w:rPr>
          <w:sz w:val="20"/>
          <w:szCs w:val="20"/>
          <w:color w:val="auto"/>
        </w:rPr>
      </w:pPr>
      <w:r>
        <w:rPr>
          <w:rFonts w:ascii="Times New Roman" w:cs="Times New Roman" w:eastAsia="Times New Roman" w:hAnsi="Times New Roman"/>
          <w:sz w:val="16"/>
          <w:szCs w:val="16"/>
          <w:b w:val="1"/>
          <w:bCs w:val="1"/>
          <w:color w:val="111111"/>
        </w:rPr>
        <w:t xml:space="preserve">8.3. </w:t>
      </w:r>
      <w:r>
        <w:rPr>
          <w:rFonts w:ascii="Times New Roman" w:cs="Times New Roman" w:eastAsia="Times New Roman" w:hAnsi="Times New Roman"/>
          <w:sz w:val="16"/>
          <w:szCs w:val="16"/>
          <w:b w:val="1"/>
          <w:bCs w:val="1"/>
          <w:u w:val="single" w:color="auto"/>
          <w:color w:val="000000"/>
        </w:rPr>
        <w:t>Effect of Expiration or Termination.</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Expiration or termination of this Agreement under any of the foregoing provisions: (a) shall not affect the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E0E0E"/>
        </w:rPr>
        <w:t xml:space="preserve">undisputed amounts due under this Agreement by either Party that exist as of the date of expiration or termination, and (b) as of such date the provisions of Sections 5.3, and 5.4 shall apply with respect to payment and shipment to Enphase of finished Products, Inventory, and Special Inventory in existence as of such date, and (c) shall not affect Supplier's express limited warranty in Section 6.2 above. </w:t>
      </w:r>
      <w:r>
        <w:rPr>
          <w:rFonts w:ascii="Times New Roman" w:cs="Times New Roman" w:eastAsia="Times New Roman" w:hAnsi="Times New Roman"/>
          <w:sz w:val="16"/>
          <w:szCs w:val="16"/>
          <w:color w:val="000000"/>
        </w:rPr>
        <w:t>Upon termination of this Agreement in its entirety, for any reason, Supplier agrees to: (i)</w:t>
      </w:r>
      <w:r>
        <w:rPr>
          <w:rFonts w:ascii="Times New Roman" w:cs="Times New Roman" w:eastAsia="Times New Roman" w:hAnsi="Times New Roman"/>
          <w:sz w:val="16"/>
          <w:szCs w:val="16"/>
          <w:color w:val="0E0E0E"/>
        </w:rPr>
        <w:t xml:space="preserve"> </w:t>
      </w:r>
      <w:r>
        <w:rPr>
          <w:rFonts w:ascii="Times New Roman" w:cs="Times New Roman" w:eastAsia="Times New Roman" w:hAnsi="Times New Roman"/>
          <w:sz w:val="16"/>
          <w:szCs w:val="16"/>
          <w:color w:val="000000"/>
        </w:rPr>
        <w:t xml:space="preserve">return to Enphase all copies of any Confidential Information received from Enphase; and (ii) return to Enphase, or Enphase’s designee, all Enphase Controlled Equipment used to perform the Work; </w:t>
      </w:r>
      <w:r>
        <w:rPr>
          <w:rFonts w:ascii="Times New Roman" w:cs="Times New Roman" w:eastAsia="Times New Roman" w:hAnsi="Times New Roman"/>
          <w:sz w:val="16"/>
          <w:szCs w:val="16"/>
          <w:color w:val="0E0E0E"/>
        </w:rPr>
        <w:t>Termination of this Agreement, settling of accounts in the manner set forth in the foregoing sentence shall be the exclusive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0E0E0E"/>
        </w:rPr>
        <w:t>remedy of the Parties for breach of this Agreement, except for breaches of Section 6, 9.1, 10.1 or a Party’s indemnification obligations under this Agreement. Sections 1, 5.4, 6.2, 6.3, 7, 8, 9, and 10 shall be the only terms that shall survive any termination or expiration of this Agreement.</w:t>
      </w:r>
    </w:p>
    <w:p>
      <w:pPr>
        <w:spacing w:after="0" w:line="200" w:lineRule="exact"/>
        <w:rPr>
          <w:sz w:val="20"/>
          <w:szCs w:val="20"/>
          <w:color w:val="auto"/>
        </w:rPr>
      </w:pPr>
    </w:p>
    <w:p>
      <w:pPr>
        <w:spacing w:after="0" w:line="207" w:lineRule="exact"/>
        <w:rPr>
          <w:sz w:val="20"/>
          <w:szCs w:val="20"/>
          <w:color w:val="auto"/>
        </w:rPr>
      </w:pPr>
    </w:p>
    <w:p>
      <w:pPr>
        <w:ind w:left="280" w:hanging="265"/>
        <w:spacing w:after="0"/>
        <w:tabs>
          <w:tab w:leader="none" w:pos="280" w:val="left"/>
        </w:tabs>
        <w:numPr>
          <w:ilvl w:val="0"/>
          <w:numId w:val="118"/>
        </w:numPr>
        <w:rPr>
          <w:rFonts w:ascii="Times New Roman" w:cs="Times New Roman" w:eastAsia="Times New Roman" w:hAnsi="Times New Roman"/>
          <w:sz w:val="16"/>
          <w:szCs w:val="16"/>
          <w:b w:val="1"/>
          <w:bCs w:val="1"/>
          <w:color w:val="111111"/>
        </w:rPr>
      </w:pPr>
      <w:r>
        <w:rPr>
          <w:rFonts w:ascii="Times New Roman" w:cs="Times New Roman" w:eastAsia="Times New Roman" w:hAnsi="Times New Roman"/>
          <w:sz w:val="16"/>
          <w:szCs w:val="16"/>
          <w:b w:val="1"/>
          <w:bCs w:val="1"/>
          <w:color w:val="0E0E0E"/>
        </w:rPr>
        <w:t>INDEMNIFICATION; LIABILITY LIMITATION</w:t>
      </w:r>
    </w:p>
    <w:p>
      <w:pPr>
        <w:sectPr>
          <w:pgSz w:w="11900" w:h="16838" w:orient="portrait"/>
          <w:cols w:equalWidth="0" w:num="1">
            <w:col w:w="10460"/>
          </w:cols>
          <w:pgMar w:left="1040" w:top="1203" w:right="399" w:bottom="1440" w:gutter="0" w:footer="0" w:header="0"/>
        </w:sectPr>
      </w:pPr>
    </w:p>
    <w:bookmarkStart w:id="177" w:name="page178"/>
    <w:bookmarkEnd w:id="177"/>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9.1. </w:t>
      </w:r>
      <w:r>
        <w:rPr>
          <w:rFonts w:ascii="Times New Roman" w:cs="Times New Roman" w:eastAsia="Times New Roman" w:hAnsi="Times New Roman"/>
          <w:sz w:val="16"/>
          <w:szCs w:val="16"/>
          <w:b w:val="1"/>
          <w:bCs w:val="1"/>
          <w:u w:val="single" w:color="auto"/>
          <w:color w:val="000000"/>
        </w:rPr>
        <w:t>Indemnification by Supplier.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Supplier agrees to defend, indemnify and hold harmless, Enphase and all directors, officers, employees, and agents (each,</w:t>
      </w:r>
      <w:r>
        <w:rPr>
          <w:rFonts w:ascii="Times New Roman" w:cs="Times New Roman" w:eastAsia="Times New Roman" w:hAnsi="Times New Roman"/>
          <w:sz w:val="16"/>
          <w:szCs w:val="16"/>
          <w:b w:val="1"/>
          <w:bCs w:val="1"/>
          <w:color w:val="111111"/>
        </w:rPr>
        <w:t xml:space="preserve"> an "Enphase lndemnitee") </w:t>
      </w:r>
      <w:r>
        <w:rPr>
          <w:rFonts w:ascii="Times New Roman" w:cs="Times New Roman" w:eastAsia="Times New Roman" w:hAnsi="Times New Roman"/>
          <w:sz w:val="16"/>
          <w:szCs w:val="16"/>
          <w:color w:val="111111"/>
        </w:rPr>
        <w:t>from and against all claims, actions, losses, expenses, damages or other liabilities, including reasonable attorneys' fees (collectively,</w:t>
      </w:r>
      <w:r>
        <w:rPr>
          <w:rFonts w:ascii="Times New Roman" w:cs="Times New Roman" w:eastAsia="Times New Roman" w:hAnsi="Times New Roman"/>
          <w:sz w:val="16"/>
          <w:szCs w:val="16"/>
          <w:b w:val="1"/>
          <w:bCs w:val="1"/>
          <w:color w:val="111111"/>
        </w:rPr>
        <w:t xml:space="preserve"> "Damages") </w:t>
      </w:r>
      <w:r>
        <w:rPr>
          <w:rFonts w:ascii="Times New Roman" w:cs="Times New Roman" w:eastAsia="Times New Roman" w:hAnsi="Times New Roman"/>
          <w:sz w:val="16"/>
          <w:szCs w:val="16"/>
          <w:color w:val="111111"/>
        </w:rPr>
        <w:t>incurred by or assessed against any of the foregoing:</w:t>
      </w:r>
    </w:p>
    <w:p>
      <w:pPr>
        <w:spacing w:after="0" w:line="57" w:lineRule="exact"/>
        <w:rPr>
          <w:sz w:val="20"/>
          <w:szCs w:val="20"/>
          <w:color w:val="auto"/>
        </w:rPr>
      </w:pPr>
    </w:p>
    <w:p>
      <w:pPr>
        <w:jc w:val="both"/>
        <w:ind w:firstLine="518"/>
        <w:spacing w:after="0" w:line="261" w:lineRule="auto"/>
        <w:tabs>
          <w:tab w:leader="none" w:pos="852" w:val="left"/>
        </w:tabs>
        <w:numPr>
          <w:ilvl w:val="0"/>
          <w:numId w:val="119"/>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any actual or threatened injury or damage to any person or property caused, or alleged to be caused, by a Product sold by Supplier to Enphase hereunder, but solely to the extent such injury or damage has been caused by the breach by Supplier of its express limited warranties related to Supplier's workmanship and manufacture in accordance with the Specifications only as further set forth in Section 6.2;</w:t>
      </w:r>
    </w:p>
    <w:p>
      <w:pPr>
        <w:spacing w:after="0" w:line="57" w:lineRule="exact"/>
        <w:rPr>
          <w:rFonts w:ascii="Times New Roman" w:cs="Times New Roman" w:eastAsia="Times New Roman" w:hAnsi="Times New Roman"/>
          <w:sz w:val="16"/>
          <w:szCs w:val="16"/>
          <w:color w:val="111111"/>
        </w:rPr>
      </w:pPr>
    </w:p>
    <w:p>
      <w:pPr>
        <w:jc w:val="both"/>
        <w:ind w:left="20" w:firstLine="501"/>
        <w:spacing w:after="0" w:line="261" w:lineRule="auto"/>
        <w:tabs>
          <w:tab w:leader="none" w:pos="890" w:val="left"/>
        </w:tabs>
        <w:numPr>
          <w:ilvl w:val="0"/>
          <w:numId w:val="119"/>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any infringement of the intellectual property rights of any third-party but solely to the extent that such infringement is caused by a process that Supplier uses to manufacture, assemble and/or test the Products; provided that, Supplier shall not have any obligation to indemnify Enphase if such claim would not have arisen but for Supplier's manufacture, assembly or test of the Product in accordance with the Specifications; or</w:t>
      </w:r>
    </w:p>
    <w:p>
      <w:pPr>
        <w:spacing w:after="0" w:line="57" w:lineRule="exact"/>
        <w:rPr>
          <w:rFonts w:ascii="Times New Roman" w:cs="Times New Roman" w:eastAsia="Times New Roman" w:hAnsi="Times New Roman"/>
          <w:sz w:val="16"/>
          <w:szCs w:val="16"/>
          <w:color w:val="111111"/>
        </w:rPr>
      </w:pPr>
    </w:p>
    <w:p>
      <w:pPr>
        <w:ind w:left="20" w:firstLine="501"/>
        <w:spacing w:after="0" w:line="273" w:lineRule="auto"/>
        <w:tabs>
          <w:tab w:leader="none" w:pos="854" w:val="left"/>
        </w:tabs>
        <w:numPr>
          <w:ilvl w:val="0"/>
          <w:numId w:val="119"/>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noncompliance with any Environmental Regulations but solely to the extent that such non- compliance is caused by a process or Production Materials that Supplier uses to manufacture the Products.</w:t>
      </w:r>
    </w:p>
    <w:p>
      <w:pPr>
        <w:spacing w:after="0" w:line="46" w:lineRule="exact"/>
        <w:rPr>
          <w:sz w:val="20"/>
          <w:szCs w:val="20"/>
          <w:color w:val="auto"/>
        </w:rPr>
      </w:pPr>
    </w:p>
    <w:p>
      <w:pPr>
        <w:ind w:left="20" w:firstLine="512"/>
        <w:spacing w:after="0" w:line="257" w:lineRule="auto"/>
        <w:rPr>
          <w:sz w:val="20"/>
          <w:szCs w:val="20"/>
          <w:color w:val="auto"/>
        </w:rPr>
      </w:pPr>
      <w:r>
        <w:rPr>
          <w:rFonts w:ascii="Times New Roman" w:cs="Times New Roman" w:eastAsia="Times New Roman" w:hAnsi="Times New Roman"/>
          <w:sz w:val="16"/>
          <w:szCs w:val="16"/>
          <w:b w:val="1"/>
          <w:bCs w:val="1"/>
          <w:color w:val="111111"/>
        </w:rPr>
        <w:t xml:space="preserve">9.2. </w:t>
      </w:r>
      <w:r>
        <w:rPr>
          <w:rFonts w:ascii="Times New Roman" w:cs="Times New Roman" w:eastAsia="Times New Roman" w:hAnsi="Times New Roman"/>
          <w:sz w:val="16"/>
          <w:szCs w:val="16"/>
          <w:b w:val="1"/>
          <w:bCs w:val="1"/>
          <w:u w:val="single" w:color="auto"/>
          <w:color w:val="000000"/>
        </w:rPr>
        <w:t>Sale of Products Enjoined.</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Should the use of any Products be enjoined for a cause stated in Section 9.l (b) or 9.1 (c) above, or in the event the Supplier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desires to minimize its liabilities under this Section 9, in addition to its indemnification obligations set forth in this Section 9, the Supplier shall either:</w:t>
      </w:r>
    </w:p>
    <w:p>
      <w:pPr>
        <w:spacing w:after="0" w:line="2" w:lineRule="exact"/>
        <w:rPr>
          <w:sz w:val="20"/>
          <w:szCs w:val="20"/>
          <w:color w:val="auto"/>
        </w:rPr>
      </w:pPr>
    </w:p>
    <w:p>
      <w:pPr>
        <w:jc w:val="both"/>
        <w:ind w:left="20" w:hanging="1"/>
        <w:spacing w:after="0" w:line="251" w:lineRule="auto"/>
        <w:tabs>
          <w:tab w:leader="none" w:pos="237" w:val="left"/>
        </w:tabs>
        <w:numPr>
          <w:ilvl w:val="0"/>
          <w:numId w:val="120"/>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substitute a fully equivalent Product or process (as applicable) not subject to such injunction, modify such Product or process (as applicable) so that it no longer is subject to such injunction; or (b) obtain the right to continue using the enjoined process or Product (as applicable). In the event that any of the foregoing remedies cannot be effected on commercially reasonable terms, then, all accepted purchase orders and the current forecast will be considered cancelled and Enphase shall have no obligation to purchase all Products, Inventory and Special Inventory as provided in Sections 5.3 hereof. Any changes to any Products or process must be made in accordance with Section 2.2 above.</w:t>
      </w:r>
    </w:p>
    <w:p>
      <w:pPr>
        <w:spacing w:after="0" w:line="64" w:lineRule="exact"/>
        <w:rPr>
          <w:sz w:val="20"/>
          <w:szCs w:val="20"/>
          <w:color w:val="auto"/>
        </w:rPr>
      </w:pPr>
    </w:p>
    <w:p>
      <w:pPr>
        <w:jc w:val="both"/>
        <w:ind w:left="20" w:firstLine="516"/>
        <w:spacing w:after="0" w:line="257" w:lineRule="auto"/>
        <w:rPr>
          <w:sz w:val="20"/>
          <w:szCs w:val="20"/>
          <w:color w:val="auto"/>
        </w:rPr>
      </w:pPr>
      <w:r>
        <w:rPr>
          <w:rFonts w:ascii="Times New Roman" w:cs="Times New Roman" w:eastAsia="Times New Roman" w:hAnsi="Times New Roman"/>
          <w:sz w:val="16"/>
          <w:szCs w:val="16"/>
          <w:b w:val="1"/>
          <w:bCs w:val="1"/>
          <w:color w:val="111111"/>
        </w:rPr>
        <w:t xml:space="preserve">9.3. </w:t>
      </w:r>
      <w:r>
        <w:rPr>
          <w:rFonts w:ascii="Times New Roman" w:cs="Times New Roman" w:eastAsia="Times New Roman" w:hAnsi="Times New Roman"/>
          <w:sz w:val="16"/>
          <w:szCs w:val="16"/>
          <w:b w:val="1"/>
          <w:bCs w:val="1"/>
          <w:u w:val="single" w:color="auto"/>
          <w:color w:val="000000"/>
        </w:rPr>
        <w:t>No Other Liability.</w:t>
      </w:r>
      <w:r>
        <w:rPr>
          <w:rFonts w:ascii="Times New Roman" w:cs="Times New Roman" w:eastAsia="Times New Roman" w:hAnsi="Times New Roman"/>
          <w:sz w:val="16"/>
          <w:szCs w:val="16"/>
          <w:b w:val="1"/>
          <w:bCs w:val="1"/>
          <w:color w:val="111111"/>
        </w:rPr>
        <w:t xml:space="preserve"> EXCEPT WITH REGARD TO THE SUPPLIER’S INDEMNIFICATION OBLIGATIONS UNDER THIS AGREEMENT, OR BREACH OF SECTION</w:t>
      </w:r>
    </w:p>
    <w:p>
      <w:pPr>
        <w:spacing w:after="0" w:line="2"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6"/>
          <w:szCs w:val="16"/>
          <w:b w:val="1"/>
          <w:bCs w:val="1"/>
          <w:color w:val="111111"/>
        </w:rPr>
        <w:t>10.1 BELOW, IN NO EVENT SHALL EITHER PARTY BE LIABLE TO THE OTHER FOR ANY OR ANY INCIDENTAL, CONSEQUENTIAL, SPECIAL OR PUNITIVE DAMAGES OF ANY KIND OR NATURE ARISING OUT OF THIS AGREEMENT OR THE SALE OF PRODUCTS, WHETHER SUCH LIABILITY IS ASSERTED ON THE BASIS OF CONTRACT, TORT (INCLUDING THE POSSIBILITY OF NEGLIGENCE OR STRICT LIABILITY), OR OTHERWISE, EVEN IF THE PARTY HAS BEEN WARNED OF THE POSSIBILITY OF ANY SUCH LOSS OR DAMAGE, AND EVEN IF ANY OF THE LIMITED REMEDIES IN THIS AGREEMENT FAIL OF THEIR ESSENTIAL PURPOSE.</w:t>
      </w:r>
    </w:p>
    <w:p>
      <w:pPr>
        <w:sectPr>
          <w:pgSz w:w="11900" w:h="16838" w:orient="portrait"/>
          <w:cols w:equalWidth="0" w:num="1">
            <w:col w:w="10460"/>
          </w:cols>
          <w:pgMar w:left="1040" w:top="1201" w:right="399" w:bottom="1440" w:gutter="0" w:footer="0" w:header="0"/>
        </w:sectPr>
      </w:pPr>
    </w:p>
    <w:bookmarkStart w:id="178" w:name="page179"/>
    <w:bookmarkEnd w:id="178"/>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111111"/>
        </w:rPr>
        <w:t>10.</w:t>
      </w:r>
      <w:r>
        <w:rPr>
          <w:sz w:val="20"/>
          <w:szCs w:val="20"/>
          <w:color w:val="auto"/>
        </w:rPr>
        <w:tab/>
      </w:r>
      <w:r>
        <w:rPr>
          <w:rFonts w:ascii="Times New Roman" w:cs="Times New Roman" w:eastAsia="Times New Roman" w:hAnsi="Times New Roman"/>
          <w:sz w:val="14"/>
          <w:szCs w:val="14"/>
          <w:b w:val="1"/>
          <w:bCs w:val="1"/>
          <w:color w:val="111111"/>
        </w:rPr>
        <w:t>MISCELLANEOUS</w:t>
      </w:r>
    </w:p>
    <w:p>
      <w:pPr>
        <w:spacing w:after="0" w:line="92"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111111"/>
        </w:rPr>
        <w:t>10.1.</w:t>
      </w:r>
      <w:r>
        <w:rPr>
          <w:sz w:val="20"/>
          <w:szCs w:val="20"/>
          <w:color w:val="auto"/>
        </w:rPr>
        <w:tab/>
      </w:r>
      <w:r>
        <w:rPr>
          <w:rFonts w:ascii="Times New Roman" w:cs="Times New Roman" w:eastAsia="Times New Roman" w:hAnsi="Times New Roman"/>
          <w:sz w:val="14"/>
          <w:szCs w:val="14"/>
          <w:b w:val="1"/>
          <w:bCs w:val="1"/>
          <w:u w:val="single" w:color="auto"/>
          <w:color w:val="auto"/>
        </w:rPr>
        <w:t>Confidentiality.</w:t>
      </w:r>
    </w:p>
    <w:p>
      <w:pPr>
        <w:spacing w:after="0" w:line="115" w:lineRule="exact"/>
        <w:rPr>
          <w:sz w:val="20"/>
          <w:szCs w:val="20"/>
          <w:color w:val="auto"/>
        </w:rPr>
      </w:pPr>
    </w:p>
    <w:p>
      <w:pPr>
        <w:jc w:val="both"/>
        <w:ind w:firstLine="511"/>
        <w:spacing w:after="0" w:line="261" w:lineRule="auto"/>
        <w:tabs>
          <w:tab w:leader="none" w:pos="793" w:val="left"/>
        </w:tabs>
        <w:numPr>
          <w:ilvl w:val="0"/>
          <w:numId w:val="121"/>
        </w:numPr>
        <w:rPr>
          <w:rFonts w:ascii="Times New Roman" w:cs="Times New Roman" w:eastAsia="Times New Roman" w:hAnsi="Times New Roman"/>
          <w:sz w:val="13"/>
          <w:szCs w:val="13"/>
          <w:color w:val="111111"/>
        </w:rPr>
      </w:pPr>
      <w:r>
        <w:rPr>
          <w:rFonts w:ascii="Times New Roman" w:cs="Times New Roman" w:eastAsia="Times New Roman" w:hAnsi="Times New Roman"/>
          <w:sz w:val="16"/>
          <w:szCs w:val="16"/>
          <w:color w:val="111111"/>
        </w:rPr>
        <w:t>Each Party shall not use any and all Confidential Information of the disclosing Party for any purposes or activities other than those specifically authorized in this Agreement</w:t>
      </w:r>
      <w:r>
        <w:rPr>
          <w:rFonts w:ascii="Times New Roman" w:cs="Times New Roman" w:eastAsia="Times New Roman" w:hAnsi="Times New Roman"/>
          <w:sz w:val="16"/>
          <w:szCs w:val="16"/>
          <w:color w:val="3C3C3C"/>
        </w:rPr>
        <w:t>.</w:t>
      </w:r>
      <w:r>
        <w:rPr>
          <w:rFonts w:ascii="Times New Roman" w:cs="Times New Roman" w:eastAsia="Times New Roman" w:hAnsi="Times New Roman"/>
          <w:sz w:val="16"/>
          <w:szCs w:val="16"/>
          <w:color w:val="111111"/>
        </w:rPr>
        <w:t xml:space="preserve"> Except as otherwise specifically permitted herein or pursuant to written permission of the Party to this Agreement owning the Confidential Information, no Party shall disclose or facilitate disclosure of Confidential Information of the</w:t>
      </w:r>
    </w:p>
    <w:p>
      <w:pPr>
        <w:spacing w:after="0" w:line="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111111"/>
        </w:rPr>
        <w:t>disclosing Party to anyone without the prior written consent of the disclosing Party, except to its employees, consultants, parent company, and subsidiaries of its parent company who need to know such information for carrying out the activities contemplated by this Agreement and who have agreed in writing to confidentiality terms that are no less restrictive than the requirements of this Section</w:t>
      </w:r>
      <w:r>
        <w:rPr>
          <w:rFonts w:ascii="Times New Roman" w:cs="Times New Roman" w:eastAsia="Times New Roman" w:hAnsi="Times New Roman"/>
          <w:sz w:val="14"/>
          <w:szCs w:val="14"/>
          <w:color w:val="3C3C3C"/>
        </w:rPr>
        <w:t>.</w:t>
      </w:r>
      <w:r>
        <w:rPr>
          <w:rFonts w:ascii="Times New Roman" w:cs="Times New Roman" w:eastAsia="Times New Roman" w:hAnsi="Times New Roman"/>
          <w:sz w:val="14"/>
          <w:szCs w:val="14"/>
          <w:color w:val="111111"/>
        </w:rPr>
        <w:t xml:space="preserve"> Notwithstanding the foregoing, the receiving Party may disclose Confidential Information of the disclosing Party pursuant to a subpoena or other court process only (i) after having given the disclosing Party prompt notice of the receiving Party's receipt of such subpoena or other process and (ii) after the receiving Party has given the disclosing Party a reasonable opportunity to oppose such subpoena or other process or to obtain a protective order. Confidential Information of the disclosing Party in the custody or control of the receiving Party shall be promptly returned or destroyed upon the earlier of(i) the disclosing Party's written request or (ii) termination of this Agreement. Confidential Information disclosed pursuant to this Agreement shall be maintained confidential for a period of [*] years after the termination of this Agreement. The existence and terms of this Agreement shall be confidential in perpetuity</w:t>
      </w:r>
      <w:r>
        <w:rPr>
          <w:rFonts w:ascii="Times New Roman" w:cs="Times New Roman" w:eastAsia="Times New Roman" w:hAnsi="Times New Roman"/>
          <w:sz w:val="14"/>
          <w:szCs w:val="14"/>
          <w:color w:val="3C3C3C"/>
        </w:rPr>
        <w:t>.</w:t>
      </w:r>
    </w:p>
    <w:p>
      <w:pPr>
        <w:spacing w:after="0" w:line="40" w:lineRule="exact"/>
        <w:rPr>
          <w:sz w:val="20"/>
          <w:szCs w:val="20"/>
          <w:color w:val="auto"/>
        </w:rPr>
      </w:pPr>
    </w:p>
    <w:p>
      <w:pPr>
        <w:jc w:val="both"/>
        <w:ind w:firstLine="517"/>
        <w:spacing w:after="0" w:line="261" w:lineRule="auto"/>
        <w:tabs>
          <w:tab w:leader="none" w:pos="810" w:val="left"/>
        </w:tabs>
        <w:numPr>
          <w:ilvl w:val="0"/>
          <w:numId w:val="122"/>
        </w:numPr>
        <w:rPr>
          <w:rFonts w:ascii="Times New Roman" w:cs="Times New Roman" w:eastAsia="Times New Roman" w:hAnsi="Times New Roman"/>
          <w:sz w:val="13"/>
          <w:szCs w:val="13"/>
          <w:color w:val="111111"/>
        </w:rPr>
      </w:pPr>
      <w:r>
        <w:rPr>
          <w:rFonts w:ascii="Times New Roman" w:cs="Times New Roman" w:eastAsia="Times New Roman" w:hAnsi="Times New Roman"/>
          <w:sz w:val="16"/>
          <w:szCs w:val="16"/>
          <w:color w:val="111111"/>
        </w:rPr>
        <w:t>Notwithstanding anything contained in this Section 10.1, a receiving Party may disclose the existence and terms of this Agreement if such information is required by Law to be disclosed under applicable Law, including without limitation pursuant to the rules and regulations promulgated by the United States Securities and Exchange Commission, provided that the disclosing party shall request the reduction of confidential terms in any such disclosure.</w:t>
      </w:r>
    </w:p>
    <w:p>
      <w:pPr>
        <w:spacing w:after="0" w:line="172" w:lineRule="exact"/>
        <w:rPr>
          <w:sz w:val="20"/>
          <w:szCs w:val="20"/>
          <w:color w:val="auto"/>
        </w:rPr>
      </w:pPr>
    </w:p>
    <w:p>
      <w:pPr>
        <w:jc w:val="both"/>
        <w:ind w:right="580" w:firstLine="516"/>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10.2. </w:t>
      </w:r>
      <w:r>
        <w:rPr>
          <w:rFonts w:ascii="Times New Roman" w:cs="Times New Roman" w:eastAsia="Times New Roman" w:hAnsi="Times New Roman"/>
          <w:sz w:val="16"/>
          <w:szCs w:val="16"/>
          <w:b w:val="1"/>
          <w:bCs w:val="1"/>
          <w:u w:val="single" w:color="auto"/>
          <w:color w:val="000000"/>
        </w:rPr>
        <w:t>Use of Name is Prohibited.</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The existence and terms of this Agreement are Confidential Information and protected pursuant to Section 10.1</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above. Supplier may not use Enphase's name or identity or any other Confidential Information in any advertising, promotion or other public announcement without the express prior written consent of Enphase.</w:t>
      </w:r>
    </w:p>
    <w:p>
      <w:pPr>
        <w:spacing w:after="0" w:line="172" w:lineRule="exact"/>
        <w:rPr>
          <w:sz w:val="20"/>
          <w:szCs w:val="20"/>
          <w:color w:val="auto"/>
        </w:rPr>
      </w:pPr>
    </w:p>
    <w:p>
      <w:pPr>
        <w:jc w:val="both"/>
        <w:ind w:firstLine="513"/>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10.3. </w:t>
      </w:r>
      <w:r>
        <w:rPr>
          <w:rFonts w:ascii="Times New Roman" w:cs="Times New Roman" w:eastAsia="Times New Roman" w:hAnsi="Times New Roman"/>
          <w:sz w:val="16"/>
          <w:szCs w:val="16"/>
          <w:b w:val="1"/>
          <w:bCs w:val="1"/>
          <w:u w:val="single" w:color="auto"/>
          <w:color w:val="000000"/>
        </w:rPr>
        <w:t>Entire Agreement; Severability.</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This Agreement constitutes the entire agreement between the Parties with respect to the transactions contemplated</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hereby and supersedes all prior agreements and understandings between the Parties relating to such transactions. If the scope of any of the provisions of this Agreement is too broad in any respect whatsoever to permit enforcement to its full extent, then such provisions shall be enforced to the maximum extent permitted by Law, and the Parties hereto consent and agree that such scope may be judicially modified accordingly and that the whole of such provisions of this Agreement shall not thereby fail, but that the scope of such provisions shall be curtailed only to the extent necessary to conform to Law.</w:t>
      </w:r>
    </w:p>
    <w:p>
      <w:pPr>
        <w:sectPr>
          <w:pgSz w:w="11900" w:h="16838" w:orient="portrait"/>
          <w:cols w:equalWidth="0" w:num="1">
            <w:col w:w="10460"/>
          </w:cols>
          <w:pgMar w:left="1040" w:top="1243" w:right="399" w:bottom="1440" w:gutter="0" w:footer="0" w:header="0"/>
        </w:sectPr>
      </w:pPr>
    </w:p>
    <w:bookmarkStart w:id="179" w:name="page180"/>
    <w:bookmarkEnd w:id="179"/>
    <w:p>
      <w:pPr>
        <w:jc w:val="both"/>
        <w:ind w:firstLine="516"/>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10.4. </w:t>
      </w:r>
      <w:r>
        <w:rPr>
          <w:rFonts w:ascii="Times New Roman" w:cs="Times New Roman" w:eastAsia="Times New Roman" w:hAnsi="Times New Roman"/>
          <w:sz w:val="16"/>
          <w:szCs w:val="16"/>
          <w:b w:val="1"/>
          <w:bCs w:val="1"/>
          <w:u w:val="single" w:color="auto"/>
          <w:color w:val="000000"/>
        </w:rPr>
        <w:t>Amendments; Waiver.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This Agreement may be amended only by written consent of both Parties. The failure by either Party to enforce any provision</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of this Agreement will not constitute a waiver of future enforcement of that or any other provision. Neither Party will be deemed to have waived any rights or remedies hereunder unless such waiver is in writing and signed by a duly authorized representative of the Party against which such waiver is asserted.</w:t>
      </w:r>
    </w:p>
    <w:p>
      <w:pPr>
        <w:spacing w:after="0" w:line="66" w:lineRule="exact"/>
        <w:rPr>
          <w:sz w:val="20"/>
          <w:szCs w:val="20"/>
          <w:color w:val="auto"/>
        </w:rPr>
      </w:pPr>
    </w:p>
    <w:p>
      <w:pPr>
        <w:jc w:val="both"/>
        <w:ind w:firstLine="516"/>
        <w:spacing w:after="0" w:line="254" w:lineRule="auto"/>
        <w:rPr>
          <w:sz w:val="20"/>
          <w:szCs w:val="20"/>
          <w:color w:val="auto"/>
        </w:rPr>
      </w:pPr>
      <w:r>
        <w:rPr>
          <w:rFonts w:ascii="Times New Roman" w:cs="Times New Roman" w:eastAsia="Times New Roman" w:hAnsi="Times New Roman"/>
          <w:sz w:val="16"/>
          <w:szCs w:val="16"/>
          <w:b w:val="1"/>
          <w:bCs w:val="1"/>
          <w:color w:val="111111"/>
        </w:rPr>
        <w:t xml:space="preserve">10.5. </w:t>
      </w:r>
      <w:r>
        <w:rPr>
          <w:rFonts w:ascii="Times New Roman" w:cs="Times New Roman" w:eastAsia="Times New Roman" w:hAnsi="Times New Roman"/>
          <w:sz w:val="16"/>
          <w:szCs w:val="16"/>
          <w:b w:val="1"/>
          <w:bCs w:val="1"/>
          <w:u w:val="single" w:color="auto"/>
          <w:color w:val="000000"/>
        </w:rPr>
        <w:t>Independent Contractor.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Neither Party shall, for any purpose, be deemed to be an agent of the other Party and the relationship between the Parties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shall only be that of independent contractors</w:t>
      </w:r>
      <w:r>
        <w:rPr>
          <w:rFonts w:ascii="Times New Roman" w:cs="Times New Roman" w:eastAsia="Times New Roman" w:hAnsi="Times New Roman"/>
          <w:sz w:val="16"/>
          <w:szCs w:val="16"/>
          <w:color w:val="3C3C3C"/>
        </w:rPr>
        <w:t>.</w:t>
      </w:r>
      <w:r>
        <w:rPr>
          <w:rFonts w:ascii="Times New Roman" w:cs="Times New Roman" w:eastAsia="Times New Roman" w:hAnsi="Times New Roman"/>
          <w:sz w:val="16"/>
          <w:szCs w:val="16"/>
          <w:color w:val="111111"/>
        </w:rPr>
        <w:t xml:space="preserve"> Neither Party shall have any right or authority to assume or create any obligations or to make any representations or warranties on behalf of any other Party, whether express or implied, or to bind the other Party in any respect whatsoever. </w:t>
      </w:r>
      <w:r>
        <w:rPr>
          <w:rFonts w:ascii="Times New Roman" w:cs="Times New Roman" w:eastAsia="Times New Roman" w:hAnsi="Times New Roman"/>
          <w:sz w:val="16"/>
          <w:szCs w:val="16"/>
          <w:color w:val="000000"/>
        </w:rPr>
        <w:t>For the avoidance of doubt, any personnel</w:t>
      </w:r>
      <w:r>
        <w:rPr>
          <w:rFonts w:ascii="Times New Roman" w:cs="Times New Roman" w:eastAsia="Times New Roman" w:hAnsi="Times New Roman"/>
          <w:sz w:val="16"/>
          <w:szCs w:val="16"/>
          <w:color w:val="111111"/>
        </w:rPr>
        <w:t xml:space="preserve"> </w:t>
      </w:r>
      <w:r>
        <w:rPr>
          <w:rFonts w:ascii="Times New Roman" w:cs="Times New Roman" w:eastAsia="Times New Roman" w:hAnsi="Times New Roman"/>
          <w:sz w:val="16"/>
          <w:szCs w:val="16"/>
          <w:color w:val="000000"/>
        </w:rPr>
        <w:t>deployed by the Supplier for performing the Work (“Supplier Personnel”) shall continue to be employees of the Supplier at all times, and shall not, for any purpose, be considered employees of the and shall not be entitled to any employee benefits from the Supplier including, but not limited to, holiday, vacation, or sick pay, social security, unemployment or disability insurance,</w:t>
      </w:r>
    </w:p>
    <w:p>
      <w:pPr>
        <w:spacing w:after="0" w:line="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employees' compensation insurance, health and welfare benefits, profit sharing, or any employee stock option or stock purchase plans. Enphase shall not be liable to pay any amounts of any nature whatsoever to such resources of the Supplier. The Supplier shall indemnify Enphase in the event any Supplier Personnel make claims against Enphase in relation to any of the foregoing Enphase employee benefits or if any Supplier Personnel are later reclassified by any court of competent jurisdiction to be common law employees of Enphase.</w:t>
      </w:r>
    </w:p>
    <w:p>
      <w:pPr>
        <w:spacing w:after="0" w:line="69" w:lineRule="exact"/>
        <w:rPr>
          <w:sz w:val="20"/>
          <w:szCs w:val="20"/>
          <w:color w:val="auto"/>
        </w:rPr>
      </w:pPr>
    </w:p>
    <w:p>
      <w:pPr>
        <w:jc w:val="both"/>
        <w:ind w:left="20" w:firstLine="513"/>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10.6. </w:t>
      </w:r>
      <w:r>
        <w:rPr>
          <w:rFonts w:ascii="Times New Roman" w:cs="Times New Roman" w:eastAsia="Times New Roman" w:hAnsi="Times New Roman"/>
          <w:sz w:val="16"/>
          <w:szCs w:val="16"/>
          <w:b w:val="1"/>
          <w:bCs w:val="1"/>
          <w:u w:val="single" w:color="auto"/>
          <w:color w:val="000000"/>
        </w:rPr>
        <w:t>Expenses.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Each Party shall pay their own expenses in connection with the negotiation of this Agreement. All fees and expenses incurred in connection</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with the resolution of Disputes shall be allocated as further provided in Section 10.17 below.</w:t>
      </w:r>
    </w:p>
    <w:p>
      <w:pPr>
        <w:spacing w:after="0" w:line="56" w:lineRule="exact"/>
        <w:rPr>
          <w:sz w:val="20"/>
          <w:szCs w:val="20"/>
          <w:color w:val="auto"/>
        </w:rPr>
      </w:pPr>
    </w:p>
    <w:p>
      <w:pPr>
        <w:jc w:val="both"/>
        <w:ind w:left="20" w:firstLine="509"/>
        <w:spacing w:after="0" w:line="291" w:lineRule="auto"/>
        <w:rPr>
          <w:sz w:val="20"/>
          <w:szCs w:val="20"/>
          <w:color w:val="auto"/>
        </w:rPr>
      </w:pPr>
      <w:r>
        <w:rPr>
          <w:rFonts w:ascii="Times New Roman" w:cs="Times New Roman" w:eastAsia="Times New Roman" w:hAnsi="Times New Roman"/>
          <w:sz w:val="14"/>
          <w:szCs w:val="14"/>
          <w:b w:val="1"/>
          <w:bCs w:val="1"/>
          <w:color w:val="111111"/>
        </w:rPr>
        <w:t xml:space="preserve">10.7. </w:t>
      </w:r>
      <w:r>
        <w:rPr>
          <w:rFonts w:ascii="Times New Roman" w:cs="Times New Roman" w:eastAsia="Times New Roman" w:hAnsi="Times New Roman"/>
          <w:sz w:val="14"/>
          <w:szCs w:val="14"/>
          <w:b w:val="1"/>
          <w:bCs w:val="1"/>
          <w:u w:val="single" w:color="auto"/>
          <w:color w:val="000000"/>
        </w:rPr>
        <w:t>Insurance.</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111111"/>
        </w:rPr>
        <w:t>Supplier shall procure and/or maintain at its own expense the following insurance and willusecommercially reasonable effortstodosowithin</w:t>
      </w:r>
      <w:r>
        <w:rPr>
          <w:rFonts w:ascii="Times New Roman" w:cs="Times New Roman" w:eastAsia="Times New Roman" w:hAnsi="Times New Roman"/>
          <w:sz w:val="14"/>
          <w:szCs w:val="14"/>
          <w:b w:val="1"/>
          <w:bCs w:val="1"/>
          <w:color w:val="111111"/>
        </w:rPr>
        <w:t xml:space="preserve"> </w:t>
      </w:r>
      <w:r>
        <w:rPr>
          <w:rFonts w:ascii="Times New Roman" w:cs="Times New Roman" w:eastAsia="Times New Roman" w:hAnsi="Times New Roman"/>
          <w:sz w:val="14"/>
          <w:szCs w:val="14"/>
          <w:color w:val="111111"/>
        </w:rPr>
        <w:t>sixty (60) days of the Effective Date: (i) commercial general liability insurance (including coverage for bodily injury, personal injury, property damage, contractual liability, products and completed operations) in an amount not less than [*] per occurrence; (ii) umbrella excess liability insurance in an amount not less than [*]; and</w:t>
      </w:r>
    </w:p>
    <w:p>
      <w:pPr>
        <w:spacing w:after="0" w:line="1" w:lineRule="exact"/>
        <w:rPr>
          <w:sz w:val="20"/>
          <w:szCs w:val="20"/>
          <w:color w:val="auto"/>
        </w:rPr>
      </w:pPr>
    </w:p>
    <w:p>
      <w:pPr>
        <w:jc w:val="both"/>
        <w:ind w:left="20" w:hanging="5"/>
        <w:spacing w:after="0" w:line="250" w:lineRule="auto"/>
        <w:tabs>
          <w:tab w:leader="none" w:pos="310" w:val="left"/>
        </w:tabs>
        <w:numPr>
          <w:ilvl w:val="0"/>
          <w:numId w:val="123"/>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an errors and omissions insurance policy which covers Supplier's obligations hereunder in an amount not less than [*]. Such insurance shall be written by an insurance company with a Best's rating of at least A-VIII who is licensed to do business in all states of the United States. Supplier shall furnish certificates of insurance and such other appropriate documentation (including evidence of renewal of insurance) evidencing all insurance coverage</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s set forth in this Section 10.6. Such certificates of insurance and other documentation shall name Enphase and its officers, directors and employees as additional insured</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 xml:space="preserve"> Such certificates of insurance and other documentation shall contain a broad form naming Enphase and its officers</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 xml:space="preserve"> directors and employees as an additional insured. Supplier will provide Enphase with at least thirty (30) days prior written notice of any cancellation or material alteration of the insurance coverage set forth in this Section 10.6</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 xml:space="preserve"> Failure by Enphase to receive or request the aforementioned</w:t>
      </w:r>
    </w:p>
    <w:p>
      <w:pPr>
        <w:sectPr>
          <w:pgSz w:w="11900" w:h="16838" w:orient="portrait"/>
          <w:cols w:equalWidth="0" w:num="1">
            <w:col w:w="10460"/>
          </w:cols>
          <w:pgMar w:left="1040" w:top="1233" w:right="399" w:bottom="1440" w:gutter="0" w:footer="0" w:header="0"/>
        </w:sectPr>
      </w:pPr>
    </w:p>
    <w:bookmarkStart w:id="180" w:name="page181"/>
    <w:bookmarkEnd w:id="180"/>
    <w:p>
      <w:pPr>
        <w:ind w:left="160"/>
        <w:spacing w:after="0"/>
        <w:rPr>
          <w:sz w:val="20"/>
          <w:szCs w:val="20"/>
          <w:color w:val="auto"/>
        </w:rPr>
      </w:pPr>
      <w:r>
        <w:rPr>
          <w:rFonts w:ascii="Times New Roman" w:cs="Times New Roman" w:eastAsia="Times New Roman" w:hAnsi="Times New Roman"/>
          <w:sz w:val="16"/>
          <w:szCs w:val="16"/>
          <w:color w:val="111111"/>
        </w:rPr>
        <w:t>certificates of insurance and other documentation shall not represent a waiver of the requirements for insurance coverage setforth in this Section 10</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7</w:t>
      </w:r>
    </w:p>
    <w:p>
      <w:pPr>
        <w:spacing w:after="0" w:line="90" w:lineRule="exact"/>
        <w:rPr>
          <w:sz w:val="20"/>
          <w:szCs w:val="20"/>
          <w:color w:val="auto"/>
        </w:rPr>
      </w:pPr>
    </w:p>
    <w:p>
      <w:pPr>
        <w:jc w:val="both"/>
        <w:ind w:left="120" w:firstLine="516"/>
        <w:spacing w:after="0" w:line="253" w:lineRule="auto"/>
        <w:rPr>
          <w:sz w:val="20"/>
          <w:szCs w:val="20"/>
          <w:color w:val="auto"/>
        </w:rPr>
      </w:pPr>
      <w:r>
        <w:rPr>
          <w:rFonts w:ascii="Times New Roman" w:cs="Times New Roman" w:eastAsia="Times New Roman" w:hAnsi="Times New Roman"/>
          <w:sz w:val="16"/>
          <w:szCs w:val="16"/>
          <w:b w:val="1"/>
          <w:bCs w:val="1"/>
          <w:color w:val="111111"/>
        </w:rPr>
        <w:t xml:space="preserve">10.8. </w:t>
      </w:r>
      <w:r>
        <w:rPr>
          <w:rFonts w:ascii="Times New Roman" w:cs="Times New Roman" w:eastAsia="Times New Roman" w:hAnsi="Times New Roman"/>
          <w:sz w:val="16"/>
          <w:szCs w:val="16"/>
          <w:b w:val="1"/>
          <w:bCs w:val="1"/>
          <w:u w:val="single" w:color="auto"/>
          <w:color w:val="000000"/>
        </w:rPr>
        <w:t>Force Majeure.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In the event that either Party is prevented from performing or is unable to perform any of its obligations under this Agreement (other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 xml:space="preserve">than a payment obligation) due to any act of God, acts or decrees of governmental or military bodies, fire, casualty, flood, earthquake, war, strike, lockout, epidemic, destruction of production facilities, riot, insurrection, Materials unavailability, or any other cause beyond the reasonable control of the Party invoking this section (collectively, a </w:t>
      </w:r>
      <w:r>
        <w:rPr>
          <w:rFonts w:ascii="Times New Roman" w:cs="Times New Roman" w:eastAsia="Times New Roman" w:hAnsi="Times New Roman"/>
          <w:sz w:val="16"/>
          <w:szCs w:val="16"/>
          <w:b w:val="1"/>
          <w:bCs w:val="1"/>
          <w:color w:val="111111"/>
        </w:rPr>
        <w:t>"Force Majeure"),</w:t>
      </w:r>
      <w:r>
        <w:rPr>
          <w:rFonts w:ascii="Times New Roman" w:cs="Times New Roman" w:eastAsia="Times New Roman" w:hAnsi="Times New Roman"/>
          <w:sz w:val="16"/>
          <w:szCs w:val="16"/>
          <w:color w:val="111111"/>
        </w:rPr>
        <w:t xml:space="preserve"> and if such Party shall have used its commercially reasonable efforts to mitigate its effects, such Party shall give prompt written notice to the other Party, its performance shall be excused </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 xml:space="preserve"> and the time for the performance shall be extended for the period of delay or inability to perform due to such occurrences. Regardless of the excuse of Force Majeure, if such Party is not able to perform within ninety (90) days after such event, the other Party may terminate the Agreement.</w:t>
      </w:r>
    </w:p>
    <w:p>
      <w:pPr>
        <w:spacing w:after="0" w:line="64"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6"/>
          <w:szCs w:val="16"/>
          <w:b w:val="1"/>
          <w:bCs w:val="1"/>
          <w:color w:val="111111"/>
        </w:rPr>
        <w:t>10.9.</w:t>
      </w:r>
      <w:r>
        <w:rPr>
          <w:sz w:val="20"/>
          <w:szCs w:val="20"/>
          <w:color w:val="auto"/>
        </w:rPr>
        <w:tab/>
      </w:r>
      <w:r>
        <w:rPr>
          <w:rFonts w:ascii="Times New Roman" w:cs="Times New Roman" w:eastAsia="Times New Roman" w:hAnsi="Times New Roman"/>
          <w:sz w:val="14"/>
          <w:szCs w:val="14"/>
          <w:b w:val="1"/>
          <w:bCs w:val="1"/>
          <w:u w:val="single" w:color="auto"/>
          <w:color w:val="auto"/>
        </w:rPr>
        <w:t>Disaster Recovery and Business Continuity.</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111111"/>
        </w:rPr>
        <w:t>The Supplier agrees that it will throughout the duration of this Agreement implement, maintain and keep under regular review a business continuity plan for the Work it performs for Enphase, so far as is reasonably practicable, adherence to which will enable it to continue to operate in accordance with the Supplier’s obligations under this Agreement and in accordance with any regulatory requirements. The aforementioned business continuity plan shall be presented by the Supplier to Enphase, for Enphase’s approval at the beginning of each year during the term of this Agreement, starting with the Effective Date. The Supplier shall amend the business continuity plan as reasonably requested by Enphase, so as to secure Enphase’s approval on such plan. For the avoidance of doubt, the Supplier will not have satisfied its obligations under this Section 10.9, if it has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111"/>
        </w:rPr>
        <w:t>not secured Enphase’s written approval on a business continuity plan.</w:t>
      </w:r>
    </w:p>
    <w:p>
      <w:pPr>
        <w:spacing w:after="0" w:line="90"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111111"/>
        </w:rPr>
        <w:t>10.10.</w:t>
      </w:r>
      <w:r>
        <w:rPr>
          <w:sz w:val="20"/>
          <w:szCs w:val="20"/>
          <w:color w:val="auto"/>
        </w:rPr>
        <w:tab/>
      </w:r>
      <w:r>
        <w:rPr>
          <w:rFonts w:ascii="Times New Roman" w:cs="Times New Roman" w:eastAsia="Times New Roman" w:hAnsi="Times New Roman"/>
          <w:sz w:val="14"/>
          <w:szCs w:val="14"/>
          <w:b w:val="1"/>
          <w:bCs w:val="1"/>
          <w:u w:val="single" w:color="auto"/>
          <w:color w:val="111111"/>
        </w:rPr>
        <w:t>Anti-Corruption and Anti Bribery.</w:t>
      </w:r>
    </w:p>
    <w:p>
      <w:pPr>
        <w:spacing w:after="0" w:line="126" w:lineRule="exact"/>
        <w:rPr>
          <w:sz w:val="20"/>
          <w:szCs w:val="20"/>
          <w:color w:val="auto"/>
        </w:rPr>
      </w:pPr>
    </w:p>
    <w:p>
      <w:pPr>
        <w:jc w:val="both"/>
        <w:ind w:left="100" w:firstLine="535"/>
        <w:spacing w:after="0" w:line="289" w:lineRule="auto"/>
        <w:tabs>
          <w:tab w:leader="none" w:pos="875" w:val="left"/>
        </w:tabs>
        <w:numPr>
          <w:ilvl w:val="1"/>
          <w:numId w:val="124"/>
        </w:numPr>
        <w:rPr>
          <w:rFonts w:ascii="Times New Roman" w:cs="Times New Roman" w:eastAsia="Times New Roman" w:hAnsi="Times New Roman"/>
          <w:sz w:val="14"/>
          <w:szCs w:val="14"/>
          <w:color w:val="111111"/>
        </w:rPr>
      </w:pPr>
      <w:r>
        <w:rPr>
          <w:rFonts w:ascii="Times New Roman" w:cs="Times New Roman" w:eastAsia="Times New Roman" w:hAnsi="Times New Roman"/>
          <w:sz w:val="14"/>
          <w:szCs w:val="14"/>
          <w:color w:val="111111"/>
        </w:rPr>
        <w:t>Vendor and each of its shareholders, beneficial owners, affiliates, officers, directors, employees and agents involved in providing services under this Agreement, will comply with the U.S. Foreign Corrupt Practices Act, the UK Bribery Act and the anti-corruption laws of any other applicable jurisdiction. In carrying out its responsibilities under this Agreement, neither Vendor nor any of its shareholders, beneficial owners, affiliates, officers, directors, employees or agents will offer, promise or give anything of value, directly or indirectly, to (i) any Government Official in order to influence official action or otherwise obtain an improper advantage,</w:t>
      </w:r>
    </w:p>
    <w:p>
      <w:pPr>
        <w:jc w:val="both"/>
        <w:ind w:left="100" w:hanging="1"/>
        <w:spacing w:after="0" w:line="247" w:lineRule="auto"/>
        <w:tabs>
          <w:tab w:leader="none" w:pos="337" w:val="left"/>
        </w:tabs>
        <w:numPr>
          <w:ilvl w:val="0"/>
          <w:numId w:val="125"/>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any other person with the knowledge that all or any portion of the money or thing of value will be offered or given to a Government Official in order to influence official action or otherwise obtain an improper advantage, or (iii) any other person in order to induce them to perform their work duties disloyally or otherwise improperly. For the purposes of this Section 10.10, a person shall be deemed to have “knowledge” with respect to conduct, circumstances or results if such person is aware of</w:t>
      </w:r>
    </w:p>
    <w:p>
      <w:pPr>
        <w:spacing w:after="0" w:line="2" w:lineRule="exact"/>
        <w:rPr>
          <w:sz w:val="20"/>
          <w:szCs w:val="20"/>
          <w:color w:val="auto"/>
        </w:rPr>
      </w:pPr>
    </w:p>
    <w:p>
      <w:pPr>
        <w:ind w:left="440" w:hanging="341"/>
        <w:spacing w:after="0"/>
        <w:tabs>
          <w:tab w:leader="none" w:pos="440" w:val="left"/>
        </w:tabs>
        <w:numPr>
          <w:ilvl w:val="0"/>
          <w:numId w:val="126"/>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the existence of or (2) a high probability of the existence of such conduct, circumstances or results.</w:t>
      </w:r>
    </w:p>
    <w:p>
      <w:pPr>
        <w:spacing w:after="0" w:line="73" w:lineRule="exact"/>
        <w:rPr>
          <w:rFonts w:ascii="Times New Roman" w:cs="Times New Roman" w:eastAsia="Times New Roman" w:hAnsi="Times New Roman"/>
          <w:sz w:val="16"/>
          <w:szCs w:val="16"/>
          <w:color w:val="111111"/>
        </w:rPr>
      </w:pPr>
    </w:p>
    <w:p>
      <w:pPr>
        <w:ind w:left="1060" w:hanging="297"/>
        <w:spacing w:after="0"/>
        <w:tabs>
          <w:tab w:leader="none" w:pos="1060" w:val="left"/>
        </w:tabs>
        <w:numPr>
          <w:ilvl w:val="1"/>
          <w:numId w:val="126"/>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For the purposes of this Agreement:</w:t>
      </w:r>
    </w:p>
    <w:p>
      <w:pPr>
        <w:sectPr>
          <w:pgSz w:w="11900" w:h="16838" w:orient="portrait"/>
          <w:cols w:equalWidth="0" w:num="1">
            <w:col w:w="10600"/>
          </w:cols>
          <w:pgMar w:left="900" w:top="1256" w:right="399" w:bottom="1440" w:gutter="0" w:footer="0" w:header="0"/>
        </w:sectPr>
      </w:pPr>
    </w:p>
    <w:bookmarkStart w:id="181" w:name="page182"/>
    <w:bookmarkEnd w:id="181"/>
    <w:p>
      <w:pPr>
        <w:jc w:val="both"/>
        <w:ind w:left="280" w:firstLine="648"/>
        <w:spacing w:after="0" w:line="300" w:lineRule="auto"/>
        <w:tabs>
          <w:tab w:leader="none" w:pos="1268" w:val="left"/>
        </w:tabs>
        <w:numPr>
          <w:ilvl w:val="0"/>
          <w:numId w:val="127"/>
        </w:numPr>
        <w:rPr>
          <w:rFonts w:ascii="Times New Roman" w:cs="Times New Roman" w:eastAsia="Times New Roman" w:hAnsi="Times New Roman"/>
          <w:sz w:val="14"/>
          <w:szCs w:val="14"/>
          <w:color w:val="111111"/>
        </w:rPr>
      </w:pPr>
      <w:r>
        <w:rPr>
          <w:rFonts w:ascii="Times New Roman" w:cs="Times New Roman" w:eastAsia="Times New Roman" w:hAnsi="Times New Roman"/>
          <w:sz w:val="14"/>
          <w:szCs w:val="14"/>
          <w:color w:val="111111"/>
        </w:rPr>
        <w:t>“Government Official” means any public or elected official or officer, employee (regardless of rank), or person acting on behalf of a national, provincial, or local government, including a department, agency, instrumentality, state-owned or state–controlled company, public international organization (such as the United Nations or World Bank), or any other Government Entity, or any political party, party official or any candidate for political office. Officers, employees (regardless of rank), or persons acting on behalf of an entity that is financed in large measure through public appropriations, is widely perceived to be performing government functions, or has its key officers and directors appointed by a government should also be considered Government Officials.</w:t>
      </w:r>
    </w:p>
    <w:p>
      <w:pPr>
        <w:spacing w:after="0" w:line="139" w:lineRule="exact"/>
        <w:rPr>
          <w:rFonts w:ascii="Times New Roman" w:cs="Times New Roman" w:eastAsia="Times New Roman" w:hAnsi="Times New Roman"/>
          <w:sz w:val="14"/>
          <w:szCs w:val="14"/>
          <w:color w:val="111111"/>
        </w:rPr>
      </w:pPr>
    </w:p>
    <w:p>
      <w:pPr>
        <w:jc w:val="both"/>
        <w:ind w:left="280" w:firstLine="648"/>
        <w:spacing w:after="0" w:line="255" w:lineRule="auto"/>
        <w:tabs>
          <w:tab w:leader="none" w:pos="1201" w:val="left"/>
        </w:tabs>
        <w:numPr>
          <w:ilvl w:val="0"/>
          <w:numId w:val="127"/>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"Government Entity" means a national government, political subdivision thereof, or local jurisdiction therein; an instrumentality, board, commission, court or agency, whether civilian or military, or any of the above, however constituted; a government-owned or government-controlled association, organization, business or enterprise, including any state-owned enterprise, such as any state-owned broadcaster, state-owned airlines, tourism boards, state-owned (or part-owned) banks or an entity that provides a service to its citizens (e.g., a postal office); public international organizations (including organizations whose members are countries, or territories, governments of countries or territories); and any a political party.</w:t>
      </w:r>
    </w:p>
    <w:p>
      <w:pPr>
        <w:spacing w:after="0" w:line="60" w:lineRule="exact"/>
        <w:rPr>
          <w:sz w:val="20"/>
          <w:szCs w:val="20"/>
          <w:color w:val="auto"/>
        </w:rPr>
      </w:pPr>
    </w:p>
    <w:p>
      <w:pPr>
        <w:jc w:val="both"/>
        <w:ind w:firstLine="513"/>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10.11. </w:t>
      </w:r>
      <w:r>
        <w:rPr>
          <w:rFonts w:ascii="Times New Roman" w:cs="Times New Roman" w:eastAsia="Times New Roman" w:hAnsi="Times New Roman"/>
          <w:sz w:val="16"/>
          <w:szCs w:val="16"/>
          <w:b w:val="1"/>
          <w:bCs w:val="1"/>
          <w:u w:val="single" w:color="auto"/>
          <w:color w:val="111111"/>
        </w:rPr>
        <w:t>Successors, Assignment.</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This Agreement shall be binding upon and inure to the benefit of the Party hereto and their respective successors, assigns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and legal representatives</w:t>
      </w:r>
      <w:r>
        <w:rPr>
          <w:rFonts w:ascii="Times New Roman" w:cs="Times New Roman" w:eastAsia="Times New Roman" w:hAnsi="Times New Roman"/>
          <w:sz w:val="16"/>
          <w:szCs w:val="16"/>
          <w:color w:val="333333"/>
        </w:rPr>
        <w:t>.</w:t>
      </w:r>
      <w:r>
        <w:rPr>
          <w:rFonts w:ascii="Times New Roman" w:cs="Times New Roman" w:eastAsia="Times New Roman" w:hAnsi="Times New Roman"/>
          <w:sz w:val="16"/>
          <w:szCs w:val="16"/>
          <w:color w:val="111111"/>
        </w:rPr>
        <w:t xml:space="preserve"> Neither Party shall have the right to assign or otherwise transfer its rights or obligations under this Agreement except with the prior written consent of the other Party, not to be unreasonably withheld.</w:t>
      </w:r>
    </w:p>
    <w:p>
      <w:pPr>
        <w:spacing w:after="0" w:line="55" w:lineRule="exact"/>
        <w:rPr>
          <w:sz w:val="20"/>
          <w:szCs w:val="20"/>
          <w:color w:val="auto"/>
        </w:rPr>
      </w:pPr>
    </w:p>
    <w:p>
      <w:pPr>
        <w:jc w:val="both"/>
        <w:ind w:firstLine="513"/>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10.12. </w:t>
      </w:r>
      <w:r>
        <w:rPr>
          <w:rFonts w:ascii="Times New Roman" w:cs="Times New Roman" w:eastAsia="Times New Roman" w:hAnsi="Times New Roman"/>
          <w:sz w:val="16"/>
          <w:szCs w:val="16"/>
          <w:b w:val="1"/>
          <w:bCs w:val="1"/>
          <w:u w:val="single" w:color="auto"/>
          <w:color w:val="111111"/>
        </w:rPr>
        <w:t>Audits and Inventory count reports.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Supplier will keep complete and accurate records of all matters relating to its performance under this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Agreement, including Inventory count. In particular, the Supplier shall conduct an internal audit on a quarterly basis, on the Inventory maintained by the Supplier. The Supplier shall, at Enphase’s request, provide a report detailing the findings of the aforementioned internal audit to Enphase. All financial records relating to this Agreement will be maintained according to local regulation. Supplier will retain all such records for at least five years from the date of creation or longer if required by applicable Law or by a specific term of this Agreement. Supplier agrees that Enphase may,</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111111"/>
        </w:rPr>
        <w:t>upon reasonable advance notice and at Enphase’s expense, audit and inspect such items in order to verify Supplier’s compliance with this Agreement, including Supplier’s documents, records, facilities and Enphase Owned Equipment (each, an “Audit”). If an Audit reveals any overcharges, Supplier will pay to Enphase, within 30 days of Supplier’s receipt of notice thereof from Enphase, (1) the amount of such overcharges, including interest thereon as provided in this section; and (2) Enphase’s reasonable cost of conducting such Audit. Interest will accrue on any overcharges at the lesser of (1) the prime rate of interest published in the Wall Street Journal, as same will be published on the day on which the Audit is completed (or, if the prime rate of interest is not published on such date, the next business Day thereafter on which the prime rate of interest is so published), plus two percent; or (2)</w:t>
      </w:r>
    </w:p>
    <w:p>
      <w:pPr>
        <w:sectPr>
          <w:pgSz w:w="11900" w:h="16838" w:orient="portrait"/>
          <w:cols w:equalWidth="0" w:num="1">
            <w:col w:w="10480"/>
          </w:cols>
          <w:pgMar w:left="1020" w:top="1341" w:right="399" w:bottom="1440" w:gutter="0" w:footer="0" w:header="0"/>
        </w:sectPr>
      </w:pPr>
    </w:p>
    <w:bookmarkStart w:id="182" w:name="page183"/>
    <w:bookmarkEnd w:id="182"/>
    <w:p>
      <w:pPr>
        <w:ind w:left="20"/>
        <w:spacing w:after="0"/>
        <w:rPr>
          <w:sz w:val="20"/>
          <w:szCs w:val="20"/>
          <w:color w:val="auto"/>
        </w:rPr>
      </w:pPr>
      <w:r>
        <w:rPr>
          <w:rFonts w:ascii="Times New Roman" w:cs="Times New Roman" w:eastAsia="Times New Roman" w:hAnsi="Times New Roman"/>
          <w:sz w:val="16"/>
          <w:szCs w:val="16"/>
          <w:color w:val="111111"/>
        </w:rPr>
        <w:t>the highest amount allowed by Law. Such interest will accrue from the time such overcharge was paid by Enphase until Supplier repays such overcharge.</w:t>
      </w:r>
    </w:p>
    <w:p>
      <w:pPr>
        <w:spacing w:after="0" w:line="90" w:lineRule="exact"/>
        <w:rPr>
          <w:sz w:val="20"/>
          <w:szCs w:val="20"/>
          <w:color w:val="auto"/>
        </w:rPr>
      </w:pPr>
    </w:p>
    <w:p>
      <w:pPr>
        <w:ind w:left="40" w:right="20" w:firstLine="513"/>
        <w:spacing w:after="0" w:line="257" w:lineRule="auto"/>
        <w:rPr>
          <w:sz w:val="20"/>
          <w:szCs w:val="20"/>
          <w:color w:val="auto"/>
        </w:rPr>
      </w:pPr>
      <w:r>
        <w:rPr>
          <w:rFonts w:ascii="Times New Roman" w:cs="Times New Roman" w:eastAsia="Times New Roman" w:hAnsi="Times New Roman"/>
          <w:sz w:val="16"/>
          <w:szCs w:val="16"/>
          <w:b w:val="1"/>
          <w:bCs w:val="1"/>
          <w:color w:val="111111"/>
        </w:rPr>
        <w:t xml:space="preserve">10.13. </w:t>
      </w:r>
      <w:r>
        <w:rPr>
          <w:rFonts w:ascii="Times New Roman" w:cs="Times New Roman" w:eastAsia="Times New Roman" w:hAnsi="Times New Roman"/>
          <w:sz w:val="16"/>
          <w:szCs w:val="16"/>
          <w:b w:val="1"/>
          <w:bCs w:val="1"/>
          <w:u w:val="single" w:color="auto"/>
          <w:color w:val="111111"/>
        </w:rPr>
        <w:t>Notices.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All notices required or permitted under this Agreement will be in writing and will be deemed received (a) when delivered personally; (b)</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111"/>
        </w:rPr>
        <w:t>when sent by confirmed facsimile; (c) five (5) days after having been sent by registered or certified mail, return receipt requested, postage prepaid; or (d) one</w:t>
      </w:r>
    </w:p>
    <w:p>
      <w:pPr>
        <w:spacing w:after="0" w:line="2" w:lineRule="exact"/>
        <w:rPr>
          <w:sz w:val="20"/>
          <w:szCs w:val="20"/>
          <w:color w:val="auto"/>
        </w:rPr>
      </w:pPr>
    </w:p>
    <w:p>
      <w:pPr>
        <w:ind w:left="40" w:hanging="9"/>
        <w:spacing w:after="0" w:line="258" w:lineRule="auto"/>
        <w:tabs>
          <w:tab w:leader="none" w:pos="285" w:val="left"/>
        </w:tabs>
        <w:numPr>
          <w:ilvl w:val="0"/>
          <w:numId w:val="128"/>
        </w:numPr>
        <w:rPr>
          <w:rFonts w:ascii="Times New Roman" w:cs="Times New Roman" w:eastAsia="Times New Roman" w:hAnsi="Times New Roman"/>
          <w:sz w:val="16"/>
          <w:szCs w:val="16"/>
          <w:color w:val="111111"/>
        </w:rPr>
      </w:pPr>
      <w:r>
        <w:rPr>
          <w:rFonts w:ascii="Times New Roman" w:cs="Times New Roman" w:eastAsia="Times New Roman" w:hAnsi="Times New Roman"/>
          <w:sz w:val="16"/>
          <w:szCs w:val="16"/>
          <w:color w:val="111111"/>
        </w:rPr>
        <w:t>day after deposit with a commercial overnight carrier. All communications will be sent to the addresses set forth above or to such other address as may be designated by a Party by giving written notice to the other Party pursuant to this section.</w:t>
      </w:r>
    </w:p>
    <w:p>
      <w:pPr>
        <w:spacing w:after="0" w:line="58" w:lineRule="exact"/>
        <w:rPr>
          <w:sz w:val="20"/>
          <w:szCs w:val="20"/>
          <w:color w:val="auto"/>
        </w:rPr>
      </w:pPr>
    </w:p>
    <w:p>
      <w:pPr>
        <w:jc w:val="both"/>
        <w:ind w:firstLine="502"/>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10.14. </w:t>
      </w:r>
      <w:r>
        <w:rPr>
          <w:rFonts w:ascii="Times New Roman" w:cs="Times New Roman" w:eastAsia="Times New Roman" w:hAnsi="Times New Roman"/>
          <w:sz w:val="16"/>
          <w:szCs w:val="16"/>
          <w:b w:val="1"/>
          <w:bCs w:val="1"/>
          <w:u w:val="single" w:color="auto"/>
          <w:color w:val="111111"/>
        </w:rPr>
        <w:t>Even-Handed Construction.</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C0C0C"/>
        </w:rPr>
        <w:t>The terms and conditions as set forth in this Agreement have been arrived at after mutual negotiation, and it is the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C0C0C"/>
        </w:rPr>
        <w:t>intention of the Party that its terms and conditions not be construed against any Party merely because it was prepared by one of the Party.</w:t>
      </w:r>
    </w:p>
    <w:p>
      <w:pPr>
        <w:spacing w:after="0" w:line="45" w:lineRule="exact"/>
        <w:rPr>
          <w:sz w:val="20"/>
          <w:szCs w:val="20"/>
          <w:color w:val="auto"/>
        </w:rPr>
      </w:pPr>
    </w:p>
    <w:p>
      <w:pPr>
        <w:jc w:val="both"/>
        <w:ind w:firstLine="502"/>
        <w:spacing w:after="0" w:line="254" w:lineRule="auto"/>
        <w:rPr>
          <w:sz w:val="20"/>
          <w:szCs w:val="20"/>
          <w:color w:val="auto"/>
        </w:rPr>
      </w:pPr>
      <w:r>
        <w:rPr>
          <w:rFonts w:ascii="Times New Roman" w:cs="Times New Roman" w:eastAsia="Times New Roman" w:hAnsi="Times New Roman"/>
          <w:sz w:val="16"/>
          <w:szCs w:val="16"/>
          <w:b w:val="1"/>
          <w:bCs w:val="1"/>
          <w:color w:val="111111"/>
        </w:rPr>
        <w:t xml:space="preserve">10.15. </w:t>
      </w:r>
      <w:r>
        <w:rPr>
          <w:rFonts w:ascii="Times New Roman" w:cs="Times New Roman" w:eastAsia="Times New Roman" w:hAnsi="Times New Roman"/>
          <w:sz w:val="16"/>
          <w:szCs w:val="16"/>
          <w:b w:val="1"/>
          <w:bCs w:val="1"/>
          <w:u w:val="single" w:color="auto"/>
          <w:color w:val="111111"/>
        </w:rPr>
        <w:t>Compliance with Laws.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C0C0C"/>
        </w:rPr>
        <w:t>Supplier represents and warrants that the Products are and will be produced and delivered in accordance with all applicable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C0C0C"/>
        </w:rPr>
        <w:t>Laws. Further, Supplier has implemented and maintains a comprehensive program for assuring environmental compliance in its operations according to recognized practices, such as ISO 14000 or comparable criteria. Both Parties will adhere to all applicable Laws and regulations governing such Party’s conduct in connection with this Agreement, including, any laws or regulations of the U.S. Department of Commerce Bureau of Industry and Security, and will not export or re-export any technical data or products received from a Party, or the direct product of such technical data, to any proscribed country listed in the U.S. Export Administration regulations unless properly authorized by the U.S. government.</w:t>
      </w:r>
    </w:p>
    <w:p>
      <w:pPr>
        <w:spacing w:after="0" w:line="62" w:lineRule="exact"/>
        <w:rPr>
          <w:sz w:val="20"/>
          <w:szCs w:val="20"/>
          <w:color w:val="auto"/>
        </w:rPr>
      </w:pPr>
    </w:p>
    <w:p>
      <w:pPr>
        <w:jc w:val="both"/>
        <w:ind w:firstLine="502"/>
        <w:spacing w:after="0" w:line="275" w:lineRule="auto"/>
        <w:rPr>
          <w:sz w:val="20"/>
          <w:szCs w:val="20"/>
          <w:color w:val="auto"/>
        </w:rPr>
      </w:pPr>
      <w:r>
        <w:rPr>
          <w:rFonts w:ascii="Times New Roman" w:cs="Times New Roman" w:eastAsia="Times New Roman" w:hAnsi="Times New Roman"/>
          <w:sz w:val="16"/>
          <w:szCs w:val="16"/>
          <w:b w:val="1"/>
          <w:bCs w:val="1"/>
          <w:color w:val="111111"/>
        </w:rPr>
        <w:t xml:space="preserve">10.16. </w:t>
      </w:r>
      <w:r>
        <w:rPr>
          <w:rFonts w:ascii="Times New Roman" w:cs="Times New Roman" w:eastAsia="Times New Roman" w:hAnsi="Times New Roman"/>
          <w:sz w:val="16"/>
          <w:szCs w:val="16"/>
          <w:b w:val="1"/>
          <w:bCs w:val="1"/>
          <w:u w:val="single" w:color="auto"/>
          <w:color w:val="111111"/>
        </w:rPr>
        <w:t>Controlling Language.</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C0C0C"/>
        </w:rPr>
        <w:t>This Agreement is in English only, which language shall be controlling in all respects. All documents exchanged under this</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0C0C0C"/>
        </w:rPr>
        <w:t>Agreement shall be in English.</w:t>
      </w:r>
    </w:p>
    <w:p>
      <w:pPr>
        <w:spacing w:after="0" w:line="56" w:lineRule="exact"/>
        <w:rPr>
          <w:sz w:val="20"/>
          <w:szCs w:val="20"/>
          <w:color w:val="auto"/>
        </w:rPr>
      </w:pPr>
    </w:p>
    <w:p>
      <w:pPr>
        <w:jc w:val="both"/>
        <w:ind w:firstLine="502"/>
        <w:spacing w:after="0" w:line="255" w:lineRule="auto"/>
        <w:rPr>
          <w:sz w:val="20"/>
          <w:szCs w:val="20"/>
          <w:color w:val="auto"/>
        </w:rPr>
      </w:pPr>
      <w:r>
        <w:rPr>
          <w:rFonts w:ascii="Times New Roman" w:cs="Times New Roman" w:eastAsia="Times New Roman" w:hAnsi="Times New Roman"/>
          <w:sz w:val="16"/>
          <w:szCs w:val="16"/>
          <w:b w:val="1"/>
          <w:bCs w:val="1"/>
          <w:color w:val="111111"/>
        </w:rPr>
        <w:t xml:space="preserve">10.17. </w:t>
      </w:r>
      <w:r>
        <w:rPr>
          <w:rFonts w:ascii="Times New Roman" w:cs="Times New Roman" w:eastAsia="Times New Roman" w:hAnsi="Times New Roman"/>
          <w:sz w:val="16"/>
          <w:szCs w:val="16"/>
          <w:b w:val="1"/>
          <w:bCs w:val="1"/>
          <w:u w:val="single" w:color="auto"/>
          <w:color w:val="111111"/>
        </w:rPr>
        <w:t>Controlling Law.</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516"/>
        </w:rPr>
        <w:t>This Agreement shall be governed and construed in all respects in accordance with the domestic Laws and regulations of the State of</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516"/>
        </w:rPr>
        <w:t>California, without regard to its conflicts of laws provisions. The courts in Santa Clara County, California will have jurisdiction over any disputes between the Parties, arising from this Agreement (</w:t>
      </w:r>
      <w:r>
        <w:rPr>
          <w:rFonts w:ascii="Times New Roman" w:cs="Times New Roman" w:eastAsia="Times New Roman" w:hAnsi="Times New Roman"/>
          <w:sz w:val="16"/>
          <w:szCs w:val="16"/>
          <w:b w:val="1"/>
          <w:bCs w:val="1"/>
          <w:color w:val="111516"/>
        </w:rPr>
        <w:t>“Disputes</w:t>
      </w:r>
      <w:r>
        <w:rPr>
          <w:rFonts w:ascii="Times New Roman" w:cs="Times New Roman" w:eastAsia="Times New Roman" w:hAnsi="Times New Roman"/>
          <w:sz w:val="16"/>
          <w:szCs w:val="16"/>
          <w:color w:val="111516"/>
        </w:rPr>
        <w:t>”). The Party specifically agree that the 1980 United Nations Convention on Contracts for the International Sale of Goods, as may be amended from time to time, shall not apply to this Agreement. The Party further acknowledge and confirm that the selection of the governing law is a material term of this Agreement.</w:t>
      </w:r>
    </w:p>
    <w:p>
      <w:pPr>
        <w:spacing w:after="0" w:line="62" w:lineRule="exact"/>
        <w:rPr>
          <w:sz w:val="20"/>
          <w:szCs w:val="20"/>
          <w:color w:val="auto"/>
        </w:rPr>
      </w:pPr>
    </w:p>
    <w:p>
      <w:pPr>
        <w:jc w:val="both"/>
        <w:ind w:firstLine="502"/>
        <w:spacing w:after="0" w:line="262" w:lineRule="auto"/>
        <w:rPr>
          <w:sz w:val="20"/>
          <w:szCs w:val="20"/>
          <w:color w:val="auto"/>
        </w:rPr>
      </w:pPr>
      <w:r>
        <w:rPr>
          <w:rFonts w:ascii="Times New Roman" w:cs="Times New Roman" w:eastAsia="Times New Roman" w:hAnsi="Times New Roman"/>
          <w:sz w:val="16"/>
          <w:szCs w:val="16"/>
          <w:b w:val="1"/>
          <w:bCs w:val="1"/>
          <w:color w:val="111111"/>
        </w:rPr>
        <w:t xml:space="preserve">10.18. </w:t>
      </w:r>
      <w:r>
        <w:rPr>
          <w:rFonts w:ascii="Times New Roman" w:cs="Times New Roman" w:eastAsia="Times New Roman" w:hAnsi="Times New Roman"/>
          <w:sz w:val="16"/>
          <w:szCs w:val="16"/>
          <w:b w:val="1"/>
          <w:bCs w:val="1"/>
          <w:u w:val="single" w:color="auto"/>
          <w:color w:val="111111"/>
        </w:rPr>
        <w:t>No Waiver.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516"/>
        </w:rPr>
        <w:t>No failure or delay on the part of any Party in exercising any right hereunder, irrespective of the length of time for which such failure or</w:t>
      </w:r>
      <w:r>
        <w:rPr>
          <w:rFonts w:ascii="Times New Roman" w:cs="Times New Roman" w:eastAsia="Times New Roman" w:hAnsi="Times New Roman"/>
          <w:sz w:val="16"/>
          <w:szCs w:val="16"/>
          <w:b w:val="1"/>
          <w:bCs w:val="1"/>
          <w:color w:val="111111"/>
        </w:rPr>
        <w:t xml:space="preserve"> </w:t>
      </w:r>
      <w:r>
        <w:rPr>
          <w:rFonts w:ascii="Times New Roman" w:cs="Times New Roman" w:eastAsia="Times New Roman" w:hAnsi="Times New Roman"/>
          <w:sz w:val="16"/>
          <w:szCs w:val="16"/>
          <w:color w:val="111516"/>
        </w:rPr>
        <w:t>delay shall continue, will operate as a waiver of, or impair, any such right. No single or partial exercise of any right hereunder shall preclude any other or further exercise thereof or the exercise of any other right. No waiver of any right hereunder will be effective unless given in a signed writing.</w:t>
      </w:r>
    </w:p>
    <w:p>
      <w:pPr>
        <w:spacing w:after="0" w:line="34"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6"/>
          <w:szCs w:val="16"/>
          <w:b w:val="1"/>
          <w:bCs w:val="1"/>
          <w:color w:val="111111"/>
        </w:rPr>
        <w:t>10.19.</w:t>
      </w:r>
      <w:r>
        <w:rPr>
          <w:sz w:val="20"/>
          <w:szCs w:val="20"/>
          <w:color w:val="auto"/>
        </w:rPr>
        <w:tab/>
      </w:r>
      <w:r>
        <w:rPr>
          <w:rFonts w:ascii="Times New Roman" w:cs="Times New Roman" w:eastAsia="Times New Roman" w:hAnsi="Times New Roman"/>
          <w:sz w:val="14"/>
          <w:szCs w:val="14"/>
          <w:b w:val="1"/>
          <w:bCs w:val="1"/>
          <w:u w:val="single" w:color="auto"/>
          <w:color w:val="111111"/>
        </w:rPr>
        <w:t xml:space="preserve">Counterparts. </w:t>
      </w:r>
      <w:r>
        <w:rPr>
          <w:rFonts w:ascii="Times New Roman" w:cs="Times New Roman" w:eastAsia="Times New Roman" w:hAnsi="Times New Roman"/>
          <w:sz w:val="14"/>
          <w:szCs w:val="14"/>
          <w:color w:val="111516"/>
        </w:rPr>
        <w:t>This Agreement may be executed in counterparts</w:t>
      </w:r>
      <w:r>
        <w:rPr>
          <w:rFonts w:ascii="Times New Roman" w:cs="Times New Roman" w:eastAsia="Times New Roman" w:hAnsi="Times New Roman"/>
          <w:sz w:val="14"/>
          <w:szCs w:val="14"/>
          <w:color w:val="3E4242"/>
        </w:rPr>
        <w:t>.</w:t>
      </w:r>
    </w:p>
    <w:p>
      <w:pPr>
        <w:sectPr>
          <w:pgSz w:w="11900" w:h="16838" w:orient="portrait"/>
          <w:cols w:equalWidth="0" w:num="1">
            <w:col w:w="10500"/>
          </w:cols>
          <w:pgMar w:left="1000" w:top="1203" w:right="399" w:bottom="1440" w:gutter="0" w:footer="0" w:header="0"/>
        </w:sectPr>
      </w:pPr>
    </w:p>
    <w:bookmarkStart w:id="183" w:name="page184"/>
    <w:bookmarkEnd w:id="183"/>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111516"/>
        </w:rPr>
        <w:t>IN WITNESS WHEREOF</w:t>
      </w:r>
      <w:r>
        <w:rPr>
          <w:rFonts w:ascii="Times New Roman" w:cs="Times New Roman" w:eastAsia="Times New Roman" w:hAnsi="Times New Roman"/>
          <w:sz w:val="14"/>
          <w:szCs w:val="14"/>
          <w:color w:val="111516"/>
        </w:rPr>
        <w:t>, the Party have caused this Agreement to be duly executed by their duly authorized representatives as of the Effective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ENPHASE ENERGY INC.</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SALCOMP MANUFACTURING INDIA</w:t>
            </w:r>
          </w:p>
        </w:tc>
      </w:tr>
      <w:tr>
        <w:trPr>
          <w:trHeight w:val="180"/>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gridSpan w:val="4"/>
          </w:tcPr>
          <w:p>
            <w:pPr>
              <w:ind w:left="360"/>
              <w:spacing w:after="0" w:line="181" w:lineRule="exact"/>
              <w:rPr>
                <w:sz w:val="20"/>
                <w:szCs w:val="20"/>
                <w:color w:val="auto"/>
              </w:rPr>
            </w:pPr>
            <w:r>
              <w:rPr>
                <w:rFonts w:ascii="Times New Roman" w:cs="Times New Roman" w:eastAsia="Times New Roman" w:hAnsi="Times New Roman"/>
                <w:sz w:val="16"/>
                <w:szCs w:val="16"/>
                <w:b w:val="1"/>
                <w:bCs w:val="1"/>
                <w:color w:val="auto"/>
              </w:rPr>
              <w:t>PRIVATE LTD.</w:t>
            </w:r>
          </w:p>
        </w:tc>
      </w:tr>
      <w:tr>
        <w:trPr>
          <w:trHeight w:val="169"/>
        </w:trPr>
        <w:tc>
          <w:tcPr>
            <w:tcW w:w="192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By:/S/ Jeff McNeil</w:t>
            </w:r>
          </w:p>
        </w:tc>
        <w:tc>
          <w:tcPr>
            <w:tcW w:w="3240" w:type="dxa"/>
            <w:vAlign w:val="bottom"/>
            <w:gridSpan w:val="8"/>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By:/S/ Vincent Hsiao</w:t>
            </w:r>
          </w:p>
        </w:tc>
      </w:tr>
      <w:tr>
        <w:trPr>
          <w:trHeight w:val="20"/>
        </w:trPr>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1920" w:type="dxa"/>
            <w:vAlign w:val="bottom"/>
            <w:gridSpan w:val="6"/>
          </w:tcPr>
          <w:p>
            <w:pPr>
              <w:spacing w:after="0" w:line="161" w:lineRule="exact"/>
              <w:rPr>
                <w:sz w:val="20"/>
                <w:szCs w:val="20"/>
                <w:color w:val="auto"/>
              </w:rPr>
            </w:pPr>
            <w:r>
              <w:rPr>
                <w:rFonts w:ascii="Times New Roman" w:cs="Times New Roman" w:eastAsia="Times New Roman" w:hAnsi="Times New Roman"/>
                <w:sz w:val="16"/>
                <w:szCs w:val="16"/>
                <w:color w:val="auto"/>
              </w:rPr>
              <w:t>Name: Jeff McNeil</w:t>
            </w:r>
          </w:p>
        </w:tc>
        <w:tc>
          <w:tcPr>
            <w:tcW w:w="3240" w:type="dxa"/>
            <w:vAlign w:val="bottom"/>
            <w:gridSpan w:val="8"/>
          </w:tcPr>
          <w:p>
            <w:pPr>
              <w:ind w:left="60"/>
              <w:spacing w:after="0" w:line="161" w:lineRule="exact"/>
              <w:rPr>
                <w:sz w:val="20"/>
                <w:szCs w:val="20"/>
                <w:color w:val="auto"/>
              </w:rPr>
            </w:pPr>
            <w:r>
              <w:rPr>
                <w:rFonts w:ascii="Times New Roman" w:cs="Times New Roman" w:eastAsia="Times New Roman" w:hAnsi="Times New Roman"/>
                <w:sz w:val="16"/>
                <w:szCs w:val="16"/>
                <w:color w:val="auto"/>
              </w:rPr>
              <w:t>Name:/S/ Vincent Hsiao</w:t>
            </w:r>
          </w:p>
        </w:tc>
      </w:tr>
      <w:tr>
        <w:trPr>
          <w:trHeight w:val="20"/>
        </w:trPr>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1920" w:type="dxa"/>
            <w:vAlign w:val="bottom"/>
            <w:gridSpan w:val="6"/>
          </w:tcPr>
          <w:p>
            <w:pPr>
              <w:spacing w:after="0" w:line="161" w:lineRule="exact"/>
              <w:rPr>
                <w:sz w:val="20"/>
                <w:szCs w:val="20"/>
                <w:color w:val="auto"/>
              </w:rPr>
            </w:pPr>
            <w:r>
              <w:rPr>
                <w:rFonts w:ascii="Times New Roman" w:cs="Times New Roman" w:eastAsia="Times New Roman" w:hAnsi="Times New Roman"/>
                <w:sz w:val="16"/>
                <w:szCs w:val="16"/>
                <w:color w:val="auto"/>
                <w:w w:val="98"/>
              </w:rPr>
              <w:t>Title: Chief Operating Officer</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6"/>
          </w:tcPr>
          <w:p>
            <w:pPr>
              <w:ind w:left="80"/>
              <w:spacing w:after="0" w:line="161" w:lineRule="exact"/>
              <w:rPr>
                <w:sz w:val="20"/>
                <w:szCs w:val="20"/>
                <w:color w:val="auto"/>
              </w:rPr>
            </w:pPr>
            <w:r>
              <w:rPr>
                <w:rFonts w:ascii="Times New Roman" w:cs="Times New Roman" w:eastAsia="Times New Roman" w:hAnsi="Times New Roman"/>
                <w:sz w:val="16"/>
                <w:szCs w:val="16"/>
                <w:color w:val="auto"/>
              </w:rPr>
              <w:t>Title: Chief Executive Officer</w:t>
            </w:r>
          </w:p>
        </w:tc>
      </w:tr>
      <w:tr>
        <w:trPr>
          <w:trHeight w:val="20"/>
        </w:trPr>
        <w:tc>
          <w:tcPr>
            <w:tcW w:w="34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1860" w:type="dxa"/>
            <w:vAlign w:val="bottom"/>
            <w:gridSpan w:val="5"/>
          </w:tcPr>
          <w:p>
            <w:pPr>
              <w:spacing w:after="0" w:line="161" w:lineRule="exact"/>
              <w:rPr>
                <w:sz w:val="20"/>
                <w:szCs w:val="20"/>
                <w:color w:val="auto"/>
              </w:rPr>
            </w:pPr>
            <w:r>
              <w:rPr>
                <w:rFonts w:ascii="Times New Roman" w:cs="Times New Roman" w:eastAsia="Times New Roman" w:hAnsi="Times New Roman"/>
                <w:sz w:val="16"/>
                <w:szCs w:val="16"/>
                <w:color w:val="auto"/>
              </w:rPr>
              <w:t>Date: October 1, 2019</w:t>
            </w:r>
          </w:p>
        </w:tc>
        <w:tc>
          <w:tcPr>
            <w:tcW w:w="60" w:type="dxa"/>
            <w:vAlign w:val="bottom"/>
          </w:tcPr>
          <w:p>
            <w:pPr>
              <w:spacing w:after="0"/>
              <w:rPr>
                <w:sz w:val="13"/>
                <w:szCs w:val="13"/>
                <w:color w:val="auto"/>
              </w:rPr>
            </w:pPr>
          </w:p>
        </w:tc>
        <w:tc>
          <w:tcPr>
            <w:tcW w:w="3240" w:type="dxa"/>
            <w:vAlign w:val="bottom"/>
            <w:gridSpan w:val="8"/>
          </w:tcPr>
          <w:p>
            <w:pPr>
              <w:ind w:left="240"/>
              <w:spacing w:after="0" w:line="161" w:lineRule="exact"/>
              <w:rPr>
                <w:sz w:val="20"/>
                <w:szCs w:val="20"/>
                <w:color w:val="auto"/>
              </w:rPr>
            </w:pPr>
            <w:r>
              <w:rPr>
                <w:rFonts w:ascii="Times New Roman" w:cs="Times New Roman" w:eastAsia="Times New Roman" w:hAnsi="Times New Roman"/>
                <w:sz w:val="16"/>
                <w:szCs w:val="16"/>
                <w:color w:val="auto"/>
              </w:rPr>
              <w:t>Date:/S/ October 1, 2019</w:t>
            </w: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ectPr>
          <w:pgSz w:w="11900" w:h="16838" w:orient="portrait"/>
          <w:cols w:equalWidth="0" w:num="1">
            <w:col w:w="10159"/>
          </w:cols>
          <w:pgMar w:left="300" w:top="1440" w:right="1440" w:bottom="1440" w:gutter="0" w:footer="0" w:header="0"/>
        </w:sectPr>
      </w:pPr>
    </w:p>
    <w:bookmarkStart w:id="184" w:name="page185"/>
    <w:bookmarkEnd w:id="184"/>
    <w:p>
      <w:pPr>
        <w:spacing w:after="0" w:line="200" w:lineRule="exact"/>
        <w:rPr>
          <w:sz w:val="20"/>
          <w:szCs w:val="20"/>
          <w:color w:val="auto"/>
        </w:rPr>
      </w:pPr>
    </w:p>
    <w:p>
      <w:pPr>
        <w:spacing w:after="0" w:line="26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3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Definition</w:t>
      </w:r>
      <w:r>
        <w:rPr>
          <w:rFonts w:ascii="Times New Roman" w:cs="Times New Roman" w:eastAsia="Times New Roman" w:hAnsi="Times New Roman"/>
          <w:sz w:val="15"/>
          <w:szCs w:val="15"/>
          <w:b w:val="1"/>
          <w:bCs w:val="1"/>
          <w:color w:val="151515"/>
        </w:rPr>
        <w:t>s</w:t>
      </w:r>
    </w:p>
    <w:p>
      <w:pPr>
        <w:sectPr>
          <w:pgSz w:w="11900" w:h="16838" w:orient="portrait"/>
          <w:cols w:equalWidth="0" w:num="1">
            <w:col w:w="10620"/>
          </w:cols>
          <w:pgMar w:left="880" w:top="1440" w:right="39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Approved Vendor List or AVL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shall mean the list of suppliers currently approved to provide the Materials specified in the BOM or a Product.</w:t>
      </w:r>
    </w:p>
    <w:p>
      <w:pPr>
        <w:spacing w:after="0" w:line="200" w:lineRule="exact"/>
        <w:rPr>
          <w:sz w:val="20"/>
          <w:szCs w:val="20"/>
          <w:color w:val="auto"/>
        </w:rPr>
      </w:pPr>
    </w:p>
    <w:p>
      <w:pPr>
        <w:sectPr>
          <w:pgSz w:w="11900" w:h="16838" w:orient="portrait"/>
          <w:cols w:equalWidth="0" w:num="2">
            <w:col w:w="1900" w:space="160"/>
            <w:col w:w="8560"/>
          </w:cols>
          <w:pgMar w:left="880" w:top="1440" w:right="3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Confidential Information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ind w:hanging="1896"/>
        <w:spacing w:after="0" w:line="293" w:lineRule="auto"/>
        <w:rPr>
          <w:sz w:val="20"/>
          <w:szCs w:val="20"/>
          <w:color w:val="auto"/>
        </w:rPr>
      </w:pPr>
      <w:r>
        <w:rPr>
          <w:rFonts w:ascii="Times New Roman" w:cs="Times New Roman" w:eastAsia="Times New Roman" w:hAnsi="Times New Roman"/>
          <w:sz w:val="14"/>
          <w:szCs w:val="14"/>
          <w:color w:val="111111"/>
        </w:rPr>
        <w:t>shall mean (a) the existence and terms of this Agreement and all information concerning the unit number and fees for Products and Inventory/Special Inventory, as well as the Specifications and (b) any other information that is marked "Confidential" or the like or, if delivered verbally, confirmed in writing to be "Confidential" within 30 days of the initial disclosure. Confidential Information does not include information that (i) the receiving Party can prove it already knew at the time of receipt from the disclosing Party; or (ii) has come into the public domain without breach of confidence by the receiving Party; (iii) was received from a third-party without restrictions on its use; (iv) the receiving Party can prove it independently developed without use of or reliance on the disclosing Party's data or information; or (v) the disclosing Party agrees in writing is free of such restrictions</w:t>
      </w:r>
    </w:p>
    <w:p>
      <w:pPr>
        <w:spacing w:after="0" w:line="146" w:lineRule="exact"/>
        <w:rPr>
          <w:sz w:val="20"/>
          <w:szCs w:val="20"/>
          <w:color w:val="auto"/>
        </w:rPr>
      </w:pPr>
    </w:p>
    <w:p>
      <w:pPr>
        <w:sectPr>
          <w:pgSz w:w="11900" w:h="16838" w:orient="portrait"/>
          <w:cols w:equalWidth="0" w:num="2">
            <w:col w:w="3040" w:space="720"/>
            <w:col w:w="6860"/>
          </w:cols>
          <w:pgMar w:left="880" w:top="144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111111"/>
        </w:rPr>
        <w:t>Cost</w:t>
      </w:r>
    </w:p>
    <w:p>
      <w:pPr>
        <w:spacing w:after="0" w:line="20" w:lineRule="exact"/>
        <w:rPr>
          <w:sz w:val="20"/>
          <w:szCs w:val="20"/>
          <w:color w:val="auto"/>
        </w:rPr>
      </w:pPr>
      <w:r>
        <w:rPr>
          <w:sz w:val="20"/>
          <w:szCs w:val="20"/>
          <w:color w:val="auto"/>
        </w:rPr>
        <w:br w:type="column"/>
      </w:r>
    </w:p>
    <w:p>
      <w:pPr>
        <w:ind w:hanging="3254"/>
        <w:spacing w:after="0" w:line="273" w:lineRule="auto"/>
        <w:rPr>
          <w:sz w:val="20"/>
          <w:szCs w:val="20"/>
          <w:color w:val="auto"/>
        </w:rPr>
      </w:pPr>
      <w:r>
        <w:rPr>
          <w:rFonts w:ascii="Times New Roman" w:cs="Times New Roman" w:eastAsia="Times New Roman" w:hAnsi="Times New Roman"/>
          <w:sz w:val="16"/>
          <w:szCs w:val="16"/>
          <w:color w:val="111111"/>
        </w:rPr>
        <w:t>shall mean the cost represented on the bill of materials supporting the most current fees for Products at the time of cancellation, expiration or termination, as applicable.</w:t>
      </w:r>
    </w:p>
    <w:p>
      <w:pPr>
        <w:sectPr>
          <w:pgSz w:w="11900" w:h="16838" w:orient="portrait"/>
          <w:cols w:equalWidth="0" w:num="2">
            <w:col w:w="3040" w:space="720"/>
            <w:col w:w="6860"/>
          </w:cols>
          <w:pgMar w:left="880" w:top="1440" w:right="399" w:bottom="1440" w:gutter="0" w:footer="0" w:header="0"/>
          <w:type w:val="continuous"/>
        </w:sectPr>
      </w:pPr>
    </w:p>
    <w:bookmarkStart w:id="185" w:name="page186"/>
    <w:bookmarkEnd w:id="185"/>
    <w:p>
      <w:pPr>
        <w:ind w:left="1240" w:hanging="3755"/>
        <w:spacing w:after="0" w:line="273" w:lineRule="auto"/>
        <w:tabs>
          <w:tab w:leader="none" w:pos="1220" w:val="left"/>
        </w:tabs>
        <w:rPr>
          <w:sz w:val="20"/>
          <w:szCs w:val="20"/>
          <w:color w:val="auto"/>
        </w:rPr>
      </w:pPr>
      <w:r>
        <w:rPr>
          <w:rFonts w:ascii="Times New Roman" w:cs="Times New Roman" w:eastAsia="Times New Roman" w:hAnsi="Times New Roman"/>
          <w:sz w:val="16"/>
          <w:szCs w:val="16"/>
          <w:color w:val="111111"/>
        </w:rPr>
        <w:t>California RoHS</w:t>
      </w:r>
      <w:r>
        <w:rPr>
          <w:rFonts w:ascii="Times New Roman" w:cs="Times New Roman" w:eastAsia="Times New Roman" w:hAnsi="Times New Roman"/>
          <w:sz w:val="16"/>
          <w:szCs w:val="16"/>
          <w:color w:val="auto"/>
        </w:rPr>
        <w:tab/>
        <w:t>Shall mean the California Electronic Waste Recycling Act of 2003, as amended from time to time, and related interpretive guidance and enforcement policies</w:t>
      </w:r>
    </w:p>
    <w:p>
      <w:pPr>
        <w:spacing w:after="0" w:line="152" w:lineRule="exact"/>
        <w:rPr>
          <w:sz w:val="20"/>
          <w:szCs w:val="20"/>
          <w:color w:val="auto"/>
        </w:rPr>
      </w:pPr>
    </w:p>
    <w:p>
      <w:pPr>
        <w:jc w:val="center"/>
        <w:spacing w:after="0" w:line="193" w:lineRule="exact"/>
        <w:rPr>
          <w:sz w:val="20"/>
          <w:szCs w:val="20"/>
          <w:color w:val="auto"/>
        </w:rPr>
      </w:pPr>
      <w:r>
        <w:rPr>
          <w:rFonts w:ascii="Times New Roman" w:cs="Times New Roman" w:eastAsia="Times New Roman" w:hAnsi="Times New Roman"/>
          <w:sz w:val="16"/>
          <w:szCs w:val="16"/>
          <w:color w:val="111111"/>
        </w:rPr>
        <w:t xml:space="preserve">China RoHS  </w:t>
      </w:r>
      <w:r>
        <w:rPr>
          <w:rFonts w:ascii="Times New Roman" w:cs="Times New Roman" w:eastAsia="Times New Roman" w:hAnsi="Times New Roman"/>
          <w:sz w:val="16"/>
          <w:szCs w:val="16"/>
          <w:color w:val="000000"/>
        </w:rPr>
        <w:t>means the People's Republic of China (</w:t>
      </w:r>
      <w:r>
        <w:rPr>
          <w:rFonts w:ascii="Times New Roman" w:cs="Times New Roman" w:eastAsia="Times New Roman" w:hAnsi="Times New Roman"/>
          <w:sz w:val="16"/>
          <w:szCs w:val="16"/>
          <w:b w:val="1"/>
          <w:bCs w:val="1"/>
          <w:color w:val="000000"/>
        </w:rPr>
        <w:t>PRC</w:t>
      </w:r>
      <w:r>
        <w:rPr>
          <w:rFonts w:ascii="Times New Roman" w:cs="Times New Roman" w:eastAsia="Times New Roman" w:hAnsi="Times New Roman"/>
          <w:sz w:val="16"/>
          <w:szCs w:val="16"/>
          <w:color w:val="000000"/>
        </w:rPr>
        <w:t>)'s</w:t>
      </w:r>
      <w:r>
        <w:rPr>
          <w:rFonts w:ascii="Times New Roman" w:cs="Times New Roman" w:eastAsia="Times New Roman" w:hAnsi="Times New Roman"/>
          <w:sz w:val="16"/>
          <w:szCs w:val="16"/>
          <w:color w:val="111111"/>
        </w:rPr>
        <w:t xml:space="preserve"> </w:t>
      </w:r>
      <w:r>
        <w:rPr>
          <w:rFonts w:ascii="Times New Roman" w:cs="Times New Roman" w:eastAsia="Times New Roman" w:hAnsi="Times New Roman"/>
          <w:sz w:val="16"/>
          <w:szCs w:val="16"/>
          <w:i w:val="1"/>
          <w:iCs w:val="1"/>
          <w:color w:val="000000"/>
        </w:rPr>
        <w:t>Measures for the Administration of the Control of Pollution by Electronic Information Products</w:t>
      </w:r>
      <w:r>
        <w:rPr>
          <w:rFonts w:ascii="Times New Roman" w:cs="Times New Roman" w:eastAsia="Times New Roman" w:hAnsi="Times New Roman"/>
          <w:sz w:val="16"/>
          <w:szCs w:val="16"/>
          <w:color w:val="111111"/>
        </w:rPr>
        <w:t xml:space="preserve"> </w:t>
      </w:r>
      <w:r>
        <w:rPr>
          <w:rFonts w:ascii="Times New Roman" w:cs="Times New Roman" w:eastAsia="Times New Roman" w:hAnsi="Times New Roman"/>
          <w:sz w:val="16"/>
          <w:szCs w:val="16"/>
          <w:color w:val="000000"/>
        </w:rPr>
        <w:t>(</w:t>
      </w:r>
      <w:r>
        <w:rPr>
          <w:rFonts w:ascii="SimSun" w:cs="SimSun" w:eastAsia="SimSun" w:hAnsi="SimSun"/>
          <w:sz w:val="16"/>
          <w:szCs w:val="16"/>
          <w:color w:val="000000"/>
        </w:rPr>
        <w:t>电子 信息产品污染控制管理办法</w:t>
      </w:r>
      <w:r>
        <w:rPr>
          <w:rFonts w:ascii="Times New Roman" w:cs="Times New Roman" w:eastAsia="Times New Roman" w:hAnsi="Times New Roman"/>
          <w:sz w:val="16"/>
          <w:szCs w:val="16"/>
          <w:color w:val="000000"/>
        </w:rPr>
        <w:t xml:space="preserve"> ) promulgated on</w:t>
      </w:r>
    </w:p>
    <w:p>
      <w:pPr>
        <w:spacing w:after="0" w:line="21" w:lineRule="exact"/>
        <w:rPr>
          <w:sz w:val="20"/>
          <w:szCs w:val="20"/>
          <w:color w:val="auto"/>
        </w:rPr>
      </w:pPr>
    </w:p>
    <w:p>
      <w:pPr>
        <w:jc w:val="both"/>
        <w:ind w:left="3760"/>
        <w:spacing w:after="0" w:line="261" w:lineRule="auto"/>
        <w:rPr>
          <w:sz w:val="20"/>
          <w:szCs w:val="20"/>
          <w:color w:val="auto"/>
        </w:rPr>
      </w:pPr>
      <w:r>
        <w:rPr>
          <w:rFonts w:ascii="Times New Roman" w:cs="Times New Roman" w:eastAsia="Times New Roman" w:hAnsi="Times New Roman"/>
          <w:sz w:val="16"/>
          <w:szCs w:val="16"/>
          <w:color w:val="auto"/>
        </w:rPr>
        <w:t xml:space="preserve">February 28, 2006 (including any pre-market certification ("CCC mark") requirements thereunder), the PRC Ministry of Information Industry's Frequently Asked Questions regarding China RoHS, official standards including </w:t>
      </w:r>
      <w:r>
        <w:rPr>
          <w:rFonts w:ascii="Times New Roman" w:cs="Times New Roman" w:eastAsia="Times New Roman" w:hAnsi="Times New Roman"/>
          <w:sz w:val="16"/>
          <w:szCs w:val="16"/>
          <w:i w:val="1"/>
          <w:iCs w:val="1"/>
          <w:color w:val="auto"/>
        </w:rPr>
        <w:t>Marking for Control of Pollution Caused by Electronic</w:t>
      </w:r>
    </w:p>
    <w:p>
      <w:pPr>
        <w:sectPr>
          <w:pgSz w:w="11900" w:h="16838" w:orient="portrait"/>
          <w:cols w:equalWidth="0" w:num="1">
            <w:col w:w="10620"/>
          </w:cols>
          <w:pgMar w:left="880" w:top="1341" w:right="399" w:bottom="1440" w:gutter="0" w:footer="0" w:header="0"/>
        </w:sectPr>
      </w:pPr>
    </w:p>
    <w:bookmarkStart w:id="186" w:name="page187"/>
    <w:bookmarkEnd w:id="186"/>
    <w:p>
      <w:pPr>
        <w:spacing w:after="0" w:line="334" w:lineRule="exact"/>
        <w:rPr>
          <w:sz w:val="20"/>
          <w:szCs w:val="20"/>
          <w:color w:val="auto"/>
        </w:rPr>
      </w:pPr>
    </w:p>
    <w:p>
      <w:pPr>
        <w:jc w:val="both"/>
        <w:ind w:left="3760"/>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Information Products </w:t>
      </w:r>
      <w:r>
        <w:rPr>
          <w:rFonts w:ascii="Times New Roman" w:cs="Times New Roman" w:eastAsia="Times New Roman" w:hAnsi="Times New Roman"/>
          <w:sz w:val="16"/>
          <w:szCs w:val="16"/>
          <w:color w:val="auto"/>
        </w:rPr>
        <w:t>(SJ/T 11364-2006),</w:t>
      </w:r>
      <w:r>
        <w:rPr>
          <w:rFonts w:ascii="Times New Roman" w:cs="Times New Roman" w:eastAsia="Times New Roman" w:hAnsi="Times New Roman"/>
          <w:sz w:val="16"/>
          <w:szCs w:val="16"/>
          <w:i w:val="1"/>
          <w:iCs w:val="1"/>
          <w:color w:val="auto"/>
        </w:rPr>
        <w:t xml:space="preserve"> Requirements for Concentration Limits for Certain Hazardous Substances in Electronic Information Products </w:t>
      </w:r>
      <w:r>
        <w:rPr>
          <w:rFonts w:ascii="Times New Roman" w:cs="Times New Roman" w:eastAsia="Times New Roman" w:hAnsi="Times New Roman"/>
          <w:sz w:val="16"/>
          <w:szCs w:val="16"/>
          <w:color w:val="auto"/>
        </w:rPr>
        <w:t>(SJ/T 11363-2006) and</w:t>
      </w:r>
      <w:r>
        <w:rPr>
          <w:rFonts w:ascii="Times New Roman" w:cs="Times New Roman" w:eastAsia="Times New Roman" w:hAnsi="Times New Roman"/>
          <w:sz w:val="16"/>
          <w:szCs w:val="16"/>
          <w:i w:val="1"/>
          <w:iCs w:val="1"/>
          <w:color w:val="auto"/>
        </w:rPr>
        <w:t xml:space="preserve"> Testing Methods for Hazardous Substances in Electronic Information Products </w:t>
      </w:r>
      <w:r>
        <w:rPr>
          <w:rFonts w:ascii="Times New Roman" w:cs="Times New Roman" w:eastAsia="Times New Roman" w:hAnsi="Times New Roman"/>
          <w:sz w:val="16"/>
          <w:szCs w:val="16"/>
          <w:color w:val="auto"/>
        </w:rPr>
        <w:t>(SJ/T 11365-2006) and the PRC General Administration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Quality Supervision, Inspection and Quarantine's Circular 441 (2006), each as amended from time to time, and related interpretative guidance and enforcement policies.</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111111"/>
        </w:rPr>
        <w:t>Defect</w:t>
      </w:r>
      <w:r>
        <w:rPr>
          <w:rFonts w:ascii="Times New Roman" w:cs="Times New Roman" w:eastAsia="Times New Roman" w:hAnsi="Times New Roman"/>
          <w:sz w:val="14"/>
          <w:szCs w:val="14"/>
          <w:color w:val="auto"/>
        </w:rPr>
        <w:tab/>
        <w:t>Shall mean the failure of a Product to comply with the warranty given in Section 6 and Includes defects of any sub-component or assembly that does not meet</w:t>
      </w:r>
    </w:p>
    <w:p>
      <w:pPr>
        <w:spacing w:after="0" w:line="4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the Specifications for that portion.</w:t>
      </w:r>
    </w:p>
    <w:p>
      <w:pPr>
        <w:sectPr>
          <w:pgSz w:w="11900" w:h="16838" w:orient="portrait"/>
          <w:cols w:equalWidth="0" w:num="1">
            <w:col w:w="10620"/>
          </w:cols>
          <w:pgMar w:left="880" w:top="1440" w:right="39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Enphase Controlled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hanging="1504"/>
        <w:spacing w:after="0" w:line="273" w:lineRule="auto"/>
        <w:rPr>
          <w:sz w:val="20"/>
          <w:szCs w:val="20"/>
          <w:color w:val="auto"/>
        </w:rPr>
      </w:pPr>
      <w:r>
        <w:rPr>
          <w:rFonts w:ascii="Times New Roman" w:cs="Times New Roman" w:eastAsia="Times New Roman" w:hAnsi="Times New Roman"/>
          <w:sz w:val="16"/>
          <w:szCs w:val="16"/>
          <w:color w:val="111111"/>
        </w:rPr>
        <w:t>shall mean those Equipment provided by Enphase or by third party suppliers with whom Enphase has a commercial contractual relationship or non- contractual relationship, as further detailed in Exhibit D.</w:t>
      </w:r>
    </w:p>
    <w:p>
      <w:pPr>
        <w:spacing w:after="0" w:line="154" w:lineRule="exact"/>
        <w:rPr>
          <w:sz w:val="20"/>
          <w:szCs w:val="20"/>
          <w:color w:val="auto"/>
        </w:rPr>
      </w:pPr>
    </w:p>
    <w:p>
      <w:pPr>
        <w:sectPr>
          <w:pgSz w:w="11900" w:h="16838" w:orient="portrait"/>
          <w:cols w:equalWidth="0" w:num="2">
            <w:col w:w="3040" w:space="720"/>
            <w:col w:w="6860"/>
          </w:cols>
          <w:pgMar w:left="880" w:top="1440" w:right="399" w:bottom="1440" w:gutter="0" w:footer="0" w:header="0"/>
          <w:type w:val="continuous"/>
        </w:sectPr>
      </w:pPr>
    </w:p>
    <w:p>
      <w:pPr>
        <w:ind w:left="20"/>
        <w:spacing w:after="0"/>
        <w:tabs>
          <w:tab w:leader="none" w:pos="1420" w:val="left"/>
        </w:tabs>
        <w:rPr>
          <w:sz w:val="20"/>
          <w:szCs w:val="20"/>
          <w:color w:val="auto"/>
        </w:rPr>
      </w:pPr>
      <w:r>
        <w:rPr>
          <w:rFonts w:ascii="Times New Roman" w:cs="Times New Roman" w:eastAsia="Times New Roman" w:hAnsi="Times New Roman"/>
          <w:sz w:val="16"/>
          <w:szCs w:val="16"/>
          <w:color w:val="111111"/>
        </w:rPr>
        <w:t>Enphase Indemnitee</w:t>
      </w:r>
      <w:r>
        <w:rPr>
          <w:sz w:val="20"/>
          <w:szCs w:val="20"/>
          <w:color w:val="auto"/>
        </w:rPr>
        <w:tab/>
      </w:r>
      <w:r>
        <w:rPr>
          <w:rFonts w:ascii="Times New Roman" w:cs="Times New Roman" w:eastAsia="Times New Roman" w:hAnsi="Times New Roman"/>
          <w:sz w:val="14"/>
          <w:szCs w:val="14"/>
          <w:color w:val="111111"/>
        </w:rPr>
        <w:t>shall have the meaning set forth in Section 9.1</w:t>
      </w:r>
    </w:p>
    <w:p>
      <w:pPr>
        <w:spacing w:after="0" w:line="1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color w:val="111111"/>
        </w:rPr>
        <w:t>Equipment</w:t>
      </w:r>
      <w:r>
        <w:rPr>
          <w:sz w:val="20"/>
          <w:szCs w:val="20"/>
          <w:color w:val="auto"/>
        </w:rPr>
        <w:tab/>
      </w:r>
      <w:r>
        <w:rPr>
          <w:rFonts w:ascii="Times New Roman" w:cs="Times New Roman" w:eastAsia="Times New Roman" w:hAnsi="Times New Roman"/>
          <w:sz w:val="14"/>
          <w:szCs w:val="14"/>
          <w:color w:val="111111"/>
        </w:rPr>
        <w:t>shall mean those equipment and fixtures required by the Supplier to carry out the Work, in order to manufacture, assemble, and test the Products.</w:t>
      </w:r>
    </w:p>
    <w:p>
      <w:pPr>
        <w:sectPr>
          <w:pgSz w:w="11900" w:h="16838" w:orient="portrait"/>
          <w:cols w:equalWidth="0" w:num="1">
            <w:col w:w="10620"/>
          </w:cols>
          <w:pgMar w:left="880" w:top="1440" w:right="399" w:bottom="1440" w:gutter="0" w:footer="0" w:header="0"/>
          <w:type w:val="continuous"/>
        </w:sectPr>
      </w:pPr>
    </w:p>
    <w:bookmarkStart w:id="187" w:name="page188"/>
    <w:bookmarkEnd w:id="187"/>
    <w:p>
      <w:pPr>
        <w:ind w:left="20"/>
        <w:spacing w:after="0"/>
        <w:rPr>
          <w:sz w:val="20"/>
          <w:szCs w:val="20"/>
          <w:color w:val="auto"/>
        </w:rPr>
      </w:pPr>
      <w:r>
        <w:rPr>
          <w:rFonts w:ascii="Times New Roman" w:cs="Times New Roman" w:eastAsia="Times New Roman" w:hAnsi="Times New Roman"/>
          <w:sz w:val="14"/>
          <w:szCs w:val="14"/>
          <w:color w:val="111111"/>
        </w:rPr>
        <w:t>Damages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111111"/>
        </w:rPr>
        <w:t>shall have the meaning set forth in Section 9.1</w:t>
      </w:r>
    </w:p>
    <w:p>
      <w:pPr>
        <w:spacing w:after="0" w:line="200" w:lineRule="exact"/>
        <w:rPr>
          <w:sz w:val="20"/>
          <w:szCs w:val="20"/>
          <w:color w:val="auto"/>
        </w:rPr>
      </w:pPr>
    </w:p>
    <w:p>
      <w:pPr>
        <w:sectPr>
          <w:pgSz w:w="11900" w:h="16838" w:orient="portrait"/>
          <w:cols w:equalWidth="0" w:num="2">
            <w:col w:w="580" w:space="160"/>
            <w:col w:w="9880"/>
          </w:cols>
          <w:pgMar w:left="880" w:top="1139" w:right="39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Economic Order Inventory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480" w:hanging="1924"/>
        <w:spacing w:after="0" w:line="273" w:lineRule="auto"/>
        <w:rPr>
          <w:sz w:val="20"/>
          <w:szCs w:val="20"/>
          <w:color w:val="auto"/>
        </w:rPr>
      </w:pPr>
      <w:r>
        <w:rPr>
          <w:rFonts w:ascii="Times New Roman" w:cs="Times New Roman" w:eastAsia="Times New Roman" w:hAnsi="Times New Roman"/>
          <w:sz w:val="16"/>
          <w:szCs w:val="16"/>
          <w:color w:val="111111"/>
        </w:rPr>
        <w:t>shall mean Materials purchased in quantities above the required amount for purchase orders, in order to achieve price targets for such Materials.</w:t>
      </w:r>
    </w:p>
    <w:p>
      <w:pPr>
        <w:spacing w:after="0" w:line="154" w:lineRule="exact"/>
        <w:rPr>
          <w:sz w:val="20"/>
          <w:szCs w:val="20"/>
          <w:color w:val="auto"/>
        </w:rPr>
      </w:pPr>
    </w:p>
    <w:p>
      <w:pPr>
        <w:sectPr>
          <w:pgSz w:w="11900" w:h="16838" w:orient="portrait"/>
          <w:cols w:equalWidth="0" w:num="2">
            <w:col w:w="3040" w:space="720"/>
            <w:col w:w="6860"/>
          </w:cols>
          <w:pgMar w:left="880" w:top="1139"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111111"/>
        </w:rPr>
        <w:t>"Engineering Change Order" (ECO)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111111"/>
        </w:rPr>
        <w:t>shall mean the document that details a change in the Specifications and/or design of a Product.</w:t>
      </w:r>
    </w:p>
    <w:p>
      <w:pPr>
        <w:spacing w:after="0" w:line="200" w:lineRule="exact"/>
        <w:rPr>
          <w:sz w:val="20"/>
          <w:szCs w:val="20"/>
          <w:color w:val="auto"/>
        </w:rPr>
      </w:pPr>
    </w:p>
    <w:p>
      <w:pPr>
        <w:sectPr>
          <w:pgSz w:w="11900" w:h="16838" w:orient="portrait"/>
          <w:cols w:equalWidth="0" w:num="2">
            <w:col w:w="2260" w:space="160"/>
            <w:col w:w="8200"/>
          </w:cols>
          <w:pgMar w:left="880" w:top="1139" w:right="39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111111"/>
        </w:rPr>
        <w:t>Government Official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111111"/>
        </w:rPr>
        <w:t>shall have the meaning given to it in 10.10 (a).</w:t>
      </w:r>
    </w:p>
    <w:p>
      <w:pPr>
        <w:spacing w:after="0" w:line="200" w:lineRule="exact"/>
        <w:rPr>
          <w:sz w:val="20"/>
          <w:szCs w:val="20"/>
          <w:color w:val="auto"/>
        </w:rPr>
      </w:pPr>
    </w:p>
    <w:p>
      <w:pPr>
        <w:sectPr>
          <w:pgSz w:w="11900" w:h="16838" w:orient="portrait"/>
          <w:cols w:equalWidth="0" w:num="2">
            <w:col w:w="1300" w:space="160"/>
            <w:col w:w="9160"/>
          </w:cols>
          <w:pgMar w:left="880" w:top="1139" w:right="39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111111"/>
        </w:rPr>
        <w:t>Government Entity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111111"/>
        </w:rPr>
        <w:t>shall have the meaning given to it in 10.10 (b).</w:t>
      </w:r>
    </w:p>
    <w:p>
      <w:pPr>
        <w:spacing w:after="0" w:line="200" w:lineRule="exact"/>
        <w:rPr>
          <w:sz w:val="20"/>
          <w:szCs w:val="20"/>
          <w:color w:val="auto"/>
        </w:rPr>
      </w:pPr>
    </w:p>
    <w:p>
      <w:pPr>
        <w:sectPr>
          <w:pgSz w:w="11900" w:h="16838" w:orient="portrait"/>
          <w:cols w:equalWidth="0" w:num="2">
            <w:col w:w="1200" w:space="160"/>
            <w:col w:w="9260"/>
          </w:cols>
          <w:pgMar w:left="880" w:top="1139" w:right="3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111"/>
        </w:rPr>
        <w:t>Disputes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shall have the meaning set forth in Section 10.l7.</w:t>
      </w:r>
    </w:p>
    <w:p>
      <w:pPr>
        <w:spacing w:after="0" w:line="223" w:lineRule="exact"/>
        <w:rPr>
          <w:sz w:val="20"/>
          <w:szCs w:val="20"/>
          <w:color w:val="auto"/>
        </w:rPr>
      </w:pPr>
    </w:p>
    <w:p>
      <w:pPr>
        <w:sectPr>
          <w:pgSz w:w="11900" w:h="16838" w:orient="portrait"/>
          <w:cols w:equalWidth="0" w:num="2">
            <w:col w:w="560" w:space="140"/>
            <w:col w:w="9920"/>
          </w:cols>
          <w:pgMar w:left="880" w:top="1139" w:right="3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Environmental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111111"/>
        </w:rPr>
        <w:t>shall mean any hazardous</w:t>
      </w:r>
    </w:p>
    <w:p>
      <w:pPr>
        <w:spacing w:after="0" w:line="20" w:lineRule="exact"/>
        <w:rPr>
          <w:sz w:val="20"/>
          <w:szCs w:val="20"/>
          <w:color w:val="auto"/>
        </w:rPr>
      </w:pPr>
      <w:r>
        <w:rPr>
          <w:sz w:val="20"/>
          <w:szCs w:val="20"/>
          <w:color w:val="auto"/>
        </w:rPr>
        <w:br w:type="column"/>
      </w:r>
    </w:p>
    <w:p>
      <w:pPr>
        <w:ind w:firstLine="49"/>
        <w:spacing w:after="0" w:line="273" w:lineRule="auto"/>
        <w:rPr>
          <w:sz w:val="20"/>
          <w:szCs w:val="20"/>
          <w:color w:val="auto"/>
        </w:rPr>
      </w:pPr>
      <w:r>
        <w:rPr>
          <w:rFonts w:ascii="Times New Roman" w:cs="Times New Roman" w:eastAsia="Times New Roman" w:hAnsi="Times New Roman"/>
          <w:sz w:val="16"/>
          <w:szCs w:val="16"/>
          <w:color w:val="111111"/>
        </w:rPr>
        <w:t>substance content laws and regulations including, without limitation, those related to the EU Directive 2002/95/EC about the Restriction of Use of Hazardous</w:t>
      </w:r>
    </w:p>
    <w:p>
      <w:pPr>
        <w:spacing w:after="0" w:line="200" w:lineRule="exact"/>
        <w:rPr>
          <w:sz w:val="20"/>
          <w:szCs w:val="20"/>
          <w:color w:val="auto"/>
        </w:rPr>
      </w:pPr>
    </w:p>
    <w:p>
      <w:pPr>
        <w:sectPr>
          <w:pgSz w:w="11900" w:h="16838" w:orient="portrait"/>
          <w:cols w:equalWidth="0" w:num="3">
            <w:col w:w="1740" w:space="300"/>
            <w:col w:w="1700" w:space="20"/>
            <w:col w:w="6860"/>
          </w:cols>
          <w:pgMar w:left="880" w:top="1139" w:right="39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left="3760"/>
        <w:spacing w:after="0" w:line="261" w:lineRule="auto"/>
        <w:rPr>
          <w:sz w:val="20"/>
          <w:szCs w:val="20"/>
          <w:color w:val="auto"/>
        </w:rPr>
      </w:pPr>
      <w:r>
        <w:rPr>
          <w:rFonts w:ascii="Times New Roman" w:cs="Times New Roman" w:eastAsia="Times New Roman" w:hAnsi="Times New Roman"/>
          <w:sz w:val="16"/>
          <w:szCs w:val="16"/>
          <w:color w:val="111111"/>
        </w:rPr>
        <w:t xml:space="preserve">Substances (RoHS), the </w:t>
      </w:r>
      <w:r>
        <w:rPr>
          <w:rFonts w:ascii="Times New Roman" w:cs="Times New Roman" w:eastAsia="Times New Roman" w:hAnsi="Times New Roman"/>
          <w:sz w:val="16"/>
          <w:szCs w:val="16"/>
          <w:color w:val="000000"/>
        </w:rPr>
        <w:t>Directive 2012/19/EU of the European Parliament and of the Council of 27 January</w:t>
      </w:r>
      <w:r>
        <w:rPr>
          <w:rFonts w:ascii="Times New Roman" w:cs="Times New Roman" w:eastAsia="Times New Roman" w:hAnsi="Times New Roman"/>
          <w:sz w:val="16"/>
          <w:szCs w:val="16"/>
          <w:color w:val="111111"/>
        </w:rPr>
        <w:t xml:space="preserve"> </w:t>
      </w:r>
      <w:r>
        <w:rPr>
          <w:rFonts w:ascii="Times New Roman" w:cs="Times New Roman" w:eastAsia="Times New Roman" w:hAnsi="Times New Roman"/>
          <w:sz w:val="16"/>
          <w:szCs w:val="16"/>
          <w:color w:val="000000"/>
        </w:rPr>
        <w:t>2003 on Waste Electrical and Electronic Equipment (WEEE), 2003 O.J. (L37) 24 as amended from time to time, and includes the WEEE Requirements</w:t>
      </w:r>
      <w:r>
        <w:rPr>
          <w:rFonts w:ascii="Times New Roman" w:cs="Times New Roman" w:eastAsia="Times New Roman" w:hAnsi="Times New Roman"/>
          <w:sz w:val="16"/>
          <w:szCs w:val="16"/>
          <w:color w:val="111111"/>
        </w:rPr>
        <w:t>.</w:t>
      </w:r>
    </w:p>
    <w:p>
      <w:pPr>
        <w:spacing w:after="0" w:line="153"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6"/>
          <w:szCs w:val="16"/>
          <w:color w:val="111111"/>
        </w:rPr>
        <w:t>Fee List</w:t>
      </w:r>
      <w:r>
        <w:rPr>
          <w:sz w:val="20"/>
          <w:szCs w:val="20"/>
          <w:color w:val="auto"/>
        </w:rPr>
        <w:tab/>
      </w:r>
      <w:r>
        <w:rPr>
          <w:rFonts w:ascii="Times New Roman" w:cs="Times New Roman" w:eastAsia="Times New Roman" w:hAnsi="Times New Roman"/>
          <w:sz w:val="14"/>
          <w:szCs w:val="14"/>
          <w:color w:val="111111"/>
        </w:rPr>
        <w:t>shall have the meaning set forth in Section 3.4 (a).</w:t>
      </w:r>
    </w:p>
    <w:p>
      <w:pPr>
        <w:sectPr>
          <w:pgSz w:w="11900" w:h="16838" w:orient="portrait"/>
          <w:cols w:equalWidth="0" w:num="1">
            <w:col w:w="10620"/>
          </w:cols>
          <w:pgMar w:left="880" w:top="1139" w:right="399" w:bottom="1440" w:gutter="0" w:footer="0" w:header="0"/>
          <w:type w:val="continuous"/>
        </w:sectPr>
      </w:pPr>
    </w:p>
    <w:bookmarkStart w:id="188" w:name="page189"/>
    <w:bookmarkEnd w:id="188"/>
    <w:p>
      <w:pPr>
        <w:ind w:left="20"/>
        <w:spacing w:after="0"/>
        <w:rPr>
          <w:sz w:val="20"/>
          <w:szCs w:val="20"/>
          <w:color w:val="auto"/>
        </w:rPr>
      </w:pPr>
      <w:r>
        <w:rPr>
          <w:rFonts w:ascii="Times New Roman" w:cs="Times New Roman" w:eastAsia="Times New Roman" w:hAnsi="Times New Roman"/>
          <w:sz w:val="14"/>
          <w:szCs w:val="14"/>
          <w:color w:val="111111"/>
        </w:rPr>
        <w:t>Force Majeure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111111"/>
        </w:rPr>
        <w:t>shall have the meaning set forth in Section 10.8.</w:t>
      </w:r>
    </w:p>
    <w:p>
      <w:pPr>
        <w:spacing w:after="0" w:line="200" w:lineRule="exact"/>
        <w:rPr>
          <w:sz w:val="20"/>
          <w:szCs w:val="20"/>
          <w:color w:val="auto"/>
        </w:rPr>
      </w:pPr>
    </w:p>
    <w:p>
      <w:pPr>
        <w:sectPr>
          <w:pgSz w:w="11900" w:h="16838" w:orient="portrait"/>
          <w:cols w:equalWidth="0" w:num="2">
            <w:col w:w="920" w:space="160"/>
            <w:col w:w="9540"/>
          </w:cols>
          <w:pgMar w:left="880" w:top="1139" w:right="39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Inventory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shall mean any Materials that are used to manufacture Products that are ordered pursuant to a purchase order from Enphase.</w:t>
      </w:r>
    </w:p>
    <w:p>
      <w:pPr>
        <w:spacing w:after="0" w:line="200" w:lineRule="exact"/>
        <w:rPr>
          <w:sz w:val="20"/>
          <w:szCs w:val="20"/>
          <w:color w:val="auto"/>
        </w:rPr>
      </w:pPr>
    </w:p>
    <w:p>
      <w:pPr>
        <w:sectPr>
          <w:pgSz w:w="11900" w:h="16838" w:orient="portrait"/>
          <w:cols w:equalWidth="0" w:num="2">
            <w:col w:w="620" w:space="140"/>
            <w:col w:w="9860"/>
          </w:cols>
          <w:pgMar w:left="880" w:top="1139" w:right="3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Lead Time(s)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0"/>
        <w:spacing w:after="0" w:line="273" w:lineRule="auto"/>
        <w:rPr>
          <w:sz w:val="20"/>
          <w:szCs w:val="20"/>
          <w:color w:val="auto"/>
        </w:rPr>
      </w:pPr>
      <w:r>
        <w:rPr>
          <w:rFonts w:ascii="Times New Roman" w:cs="Times New Roman" w:eastAsia="Times New Roman" w:hAnsi="Times New Roman"/>
          <w:sz w:val="16"/>
          <w:szCs w:val="16"/>
          <w:color w:val="111111"/>
        </w:rPr>
        <w:t>shall mean the Materials Procurement Lead Time plus the manufacturing cycle time required from the delivery of the Materials at the Supplier's facility to the completion of the manufacture, assembly and test processes.</w:t>
      </w:r>
    </w:p>
    <w:p>
      <w:pPr>
        <w:spacing w:after="0" w:line="165" w:lineRule="exact"/>
        <w:rPr>
          <w:sz w:val="20"/>
          <w:szCs w:val="20"/>
          <w:color w:val="auto"/>
        </w:rPr>
      </w:pPr>
    </w:p>
    <w:p>
      <w:pPr>
        <w:sectPr>
          <w:pgSz w:w="11900" w:h="16838" w:orient="portrait"/>
          <w:cols w:equalWidth="0" w:num="2">
            <w:col w:w="840" w:space="160"/>
            <w:col w:w="9620"/>
          </w:cols>
          <w:pgMar w:left="880" w:top="1139" w:right="399" w:bottom="1440" w:gutter="0" w:footer="0" w:header="0"/>
          <w:type w:val="continuous"/>
        </w:sectPr>
      </w:pPr>
    </w:p>
    <w:p>
      <w:pPr>
        <w:spacing w:after="0"/>
        <w:tabs>
          <w:tab w:leader="none" w:pos="1820" w:val="left"/>
        </w:tabs>
        <w:rPr>
          <w:sz w:val="20"/>
          <w:szCs w:val="20"/>
          <w:color w:val="auto"/>
        </w:rPr>
      </w:pPr>
      <w:r>
        <w:rPr>
          <w:rFonts w:ascii="Times New Roman" w:cs="Times New Roman" w:eastAsia="Times New Roman" w:hAnsi="Times New Roman"/>
          <w:sz w:val="16"/>
          <w:szCs w:val="16"/>
          <w:color w:val="111111"/>
        </w:rPr>
        <w:t>Long Lead Time Materials</w:t>
      </w:r>
      <w:r>
        <w:rPr>
          <w:sz w:val="20"/>
          <w:szCs w:val="20"/>
          <w:color w:val="auto"/>
        </w:rPr>
        <w:tab/>
      </w:r>
      <w:r>
        <w:rPr>
          <w:rFonts w:ascii="Times New Roman" w:cs="Times New Roman" w:eastAsia="Times New Roman" w:hAnsi="Times New Roman"/>
          <w:sz w:val="14"/>
          <w:szCs w:val="14"/>
          <w:color w:val="111111"/>
        </w:rPr>
        <w:t>shall mean Materials with Lead Times exceeding the period covered by the accepted purchase orders for the Products.</w:t>
      </w:r>
    </w:p>
    <w:p>
      <w:pPr>
        <w:spacing w:after="0" w:line="198" w:lineRule="exact"/>
        <w:rPr>
          <w:sz w:val="20"/>
          <w:szCs w:val="20"/>
          <w:color w:val="auto"/>
        </w:rPr>
      </w:pPr>
    </w:p>
    <w:p>
      <w:pPr>
        <w:jc w:val="both"/>
        <w:ind w:left="520" w:hanging="3755"/>
        <w:spacing w:after="0" w:line="254" w:lineRule="auto"/>
        <w:tabs>
          <w:tab w:leader="none" w:pos="500" w:val="left"/>
        </w:tabs>
        <w:rPr>
          <w:sz w:val="20"/>
          <w:szCs w:val="20"/>
          <w:color w:val="auto"/>
        </w:rPr>
      </w:pPr>
      <w:r>
        <w:rPr>
          <w:rFonts w:ascii="Times New Roman" w:cs="Times New Roman" w:eastAsia="Times New Roman" w:hAnsi="Times New Roman"/>
          <w:sz w:val="16"/>
          <w:szCs w:val="16"/>
          <w:color w:val="111111"/>
        </w:rPr>
        <w:t>Laws</w:t>
      </w:r>
      <w:r>
        <w:rPr>
          <w:rFonts w:ascii="Times New Roman" w:cs="Times New Roman" w:eastAsia="Times New Roman" w:hAnsi="Times New Roman"/>
          <w:sz w:val="16"/>
          <w:szCs w:val="16"/>
          <w:color w:val="auto"/>
        </w:rPr>
        <w:tab/>
        <w:t>means any U.S. or non-U.S. federal, national, supranational, state, provincial, local or similar statute, law (including common law), Environmental Regulations, regulation, treaty, constitutional provision, ordinance, code, directive, including the (RoHS Directive and the WEEE Requirements and the RoHS Requirements) notice, binding agreement, policy or rule of law, legal requirement, other government restriction or regulation promulgated or entered into by any regulatory authority of competent jurisdiction, tribunal, judicial or arbitral body, administrative agency or commission or other government authority or instrumentality.</w:t>
      </w:r>
    </w:p>
    <w:p>
      <w:pPr>
        <w:spacing w:after="0" w:line="3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111111"/>
        </w:rPr>
        <w:t>Materials</w:t>
      </w:r>
      <w:r>
        <w:rPr>
          <w:sz w:val="20"/>
          <w:szCs w:val="20"/>
          <w:color w:val="auto"/>
        </w:rPr>
        <w:tab/>
      </w:r>
      <w:r>
        <w:rPr>
          <w:rFonts w:ascii="Times New Roman" w:cs="Times New Roman" w:eastAsia="Times New Roman" w:hAnsi="Times New Roman"/>
          <w:sz w:val="14"/>
          <w:szCs w:val="14"/>
          <w:color w:val="111111"/>
        </w:rPr>
        <w:t>shall mean components, parts and subassemblies that comprise the</w:t>
      </w:r>
    </w:p>
    <w:p>
      <w:pPr>
        <w:sectPr>
          <w:pgSz w:w="11900" w:h="16838" w:orient="portrait"/>
          <w:cols w:equalWidth="0" w:num="1">
            <w:col w:w="10620"/>
          </w:cols>
          <w:pgMar w:left="880" w:top="1139" w:right="399" w:bottom="1440" w:gutter="0" w:footer="0" w:header="0"/>
          <w:type w:val="continuous"/>
        </w:sectPr>
      </w:pPr>
    </w:p>
    <w:bookmarkStart w:id="189" w:name="page190"/>
    <w:bookmarkEnd w:id="189"/>
    <w:p>
      <w:pPr>
        <w:ind w:left="3760"/>
        <w:spacing w:after="0"/>
        <w:rPr>
          <w:sz w:val="20"/>
          <w:szCs w:val="20"/>
          <w:color w:val="auto"/>
        </w:rPr>
      </w:pPr>
      <w:r>
        <w:rPr>
          <w:rFonts w:ascii="Times New Roman" w:cs="Times New Roman" w:eastAsia="Times New Roman" w:hAnsi="Times New Roman"/>
          <w:sz w:val="16"/>
          <w:szCs w:val="16"/>
          <w:color w:val="111111"/>
        </w:rPr>
        <w:t>Product and that appear on the BOM for the Product.</w:t>
      </w:r>
    </w:p>
    <w:p>
      <w:pPr>
        <w:spacing w:after="0" w:line="20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6"/>
          <w:szCs w:val="16"/>
          <w:color w:val="111111"/>
        </w:rPr>
        <w:t>Materials Procurement Lead time</w:t>
      </w:r>
      <w:r>
        <w:rPr>
          <w:sz w:val="20"/>
          <w:szCs w:val="20"/>
          <w:color w:val="auto"/>
        </w:rPr>
        <w:tab/>
      </w:r>
      <w:r>
        <w:rPr>
          <w:rFonts w:ascii="Times New Roman" w:cs="Times New Roman" w:eastAsia="Times New Roman" w:hAnsi="Times New Roman"/>
          <w:sz w:val="14"/>
          <w:szCs w:val="14"/>
          <w:color w:val="111111"/>
        </w:rPr>
        <w:t>shall mean with respect to any particular item of Materials, Lead time to obtain such Materials as recorded in the purchase order.</w:t>
      </w:r>
    </w:p>
    <w:p>
      <w:pPr>
        <w:sectPr>
          <w:pgSz w:w="11900" w:h="16838" w:orient="portrait"/>
          <w:cols w:equalWidth="0" w:num="1">
            <w:col w:w="10260"/>
          </w:cols>
          <w:pgMar w:left="880" w:top="1150" w:right="759" w:bottom="1440" w:gutter="0" w:footer="0" w:header="0"/>
        </w:sectPr>
      </w:pPr>
    </w:p>
    <w:bookmarkStart w:id="190" w:name="page191"/>
    <w:bookmarkEnd w:id="190"/>
    <w:p>
      <w:pPr>
        <w:spacing w:after="0" w:line="33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color w:val="111111"/>
        </w:rPr>
        <w:t>Minimum Order Inventory</w:t>
      </w:r>
      <w:r>
        <w:rPr>
          <w:sz w:val="20"/>
          <w:szCs w:val="20"/>
          <w:color w:val="auto"/>
        </w:rPr>
        <w:tab/>
      </w:r>
      <w:r>
        <w:rPr>
          <w:rFonts w:ascii="Times New Roman" w:cs="Times New Roman" w:eastAsia="Times New Roman" w:hAnsi="Times New Roman"/>
          <w:sz w:val="14"/>
          <w:szCs w:val="14"/>
          <w:color w:val="111111"/>
        </w:rPr>
        <w:t>shall mean Materials purchased in excess of requirements for purchase orders because of minimum lot sizes available from the third-party</w:t>
      </w:r>
    </w:p>
    <w:p>
      <w:pPr>
        <w:spacing w:after="0" w:line="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111111"/>
        </w:rPr>
        <w:t>supplier.</w:t>
      </w:r>
    </w:p>
    <w:p>
      <w:pPr>
        <w:sectPr>
          <w:pgSz w:w="11900" w:h="16838" w:orient="portrait"/>
          <w:cols w:equalWidth="0" w:num="1">
            <w:col w:w="10620"/>
          </w:cols>
          <w:pgMar w:left="880" w:top="1440" w:right="399" w:bottom="1440" w:gutter="0" w:footer="0" w:header="0"/>
        </w:sectPr>
      </w:pP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111111"/>
        </w:rPr>
        <w:t>Product(s)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shall have the meaning set forth in Section 2.1.</w:t>
      </w:r>
    </w:p>
    <w:p>
      <w:pPr>
        <w:spacing w:after="0" w:line="200" w:lineRule="exact"/>
        <w:rPr>
          <w:sz w:val="20"/>
          <w:szCs w:val="20"/>
          <w:color w:val="auto"/>
        </w:rPr>
      </w:pPr>
    </w:p>
    <w:p>
      <w:pPr>
        <w:sectPr>
          <w:pgSz w:w="11900" w:h="16838" w:orient="portrait"/>
          <w:cols w:equalWidth="0" w:num="2">
            <w:col w:w="660" w:space="160"/>
            <w:col w:w="9800"/>
          </w:cols>
          <w:pgMar w:left="880" w:top="1440" w:right="3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11111"/>
        </w:rPr>
        <w:t>Production Materials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hanging="2254"/>
        <w:spacing w:after="0" w:line="273" w:lineRule="auto"/>
        <w:rPr>
          <w:sz w:val="20"/>
          <w:szCs w:val="20"/>
          <w:color w:val="auto"/>
        </w:rPr>
      </w:pPr>
      <w:r>
        <w:rPr>
          <w:rFonts w:ascii="Times New Roman" w:cs="Times New Roman" w:eastAsia="Times New Roman" w:hAnsi="Times New Roman"/>
          <w:sz w:val="16"/>
          <w:szCs w:val="16"/>
          <w:color w:val="111111"/>
        </w:rPr>
        <w:t>shall mean Materials that are consumed in the production processes to manufacture Products including without limitation, solder, epoxy, cleaner solvent, labels, flux, and glue.</w:t>
      </w:r>
    </w:p>
    <w:p>
      <w:pPr>
        <w:spacing w:after="0" w:line="165" w:lineRule="exact"/>
        <w:rPr>
          <w:sz w:val="20"/>
          <w:szCs w:val="20"/>
          <w:color w:val="auto"/>
        </w:rPr>
      </w:pPr>
    </w:p>
    <w:p>
      <w:pPr>
        <w:sectPr>
          <w:pgSz w:w="11900" w:h="16838" w:orient="portrait"/>
          <w:cols w:equalWidth="0" w:num="2">
            <w:col w:w="3040" w:space="720"/>
            <w:col w:w="6860"/>
          </w:cols>
          <w:pgMar w:left="880" w:top="144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111111"/>
        </w:rPr>
        <w:t>RoHS Requirements</w:t>
      </w:r>
    </w:p>
    <w:p>
      <w:pPr>
        <w:spacing w:after="0" w:line="20" w:lineRule="exact"/>
        <w:rPr>
          <w:sz w:val="20"/>
          <w:szCs w:val="20"/>
          <w:color w:val="auto"/>
        </w:rPr>
      </w:pPr>
      <w:r>
        <w:rPr>
          <w:sz w:val="20"/>
          <w:szCs w:val="20"/>
          <w:color w:val="auto"/>
        </w:rPr>
        <w:br w:type="column"/>
      </w:r>
    </w:p>
    <w:p>
      <w:pPr>
        <w:ind w:hanging="2194"/>
        <w:spacing w:after="0" w:line="273" w:lineRule="auto"/>
        <w:rPr>
          <w:sz w:val="20"/>
          <w:szCs w:val="20"/>
          <w:color w:val="auto"/>
        </w:rPr>
      </w:pPr>
      <w:r>
        <w:rPr>
          <w:rFonts w:ascii="Times New Roman" w:cs="Times New Roman" w:eastAsia="Times New Roman" w:hAnsi="Times New Roman"/>
          <w:sz w:val="16"/>
          <w:szCs w:val="16"/>
          <w:color w:val="111111"/>
        </w:rPr>
        <w:t>means the RoHS Directive, China RoHS, California RoHS and/or other similar or related environmental, product composition or materials declaration Laws.</w:t>
      </w:r>
    </w:p>
    <w:p>
      <w:pPr>
        <w:spacing w:after="0" w:line="154" w:lineRule="exact"/>
        <w:rPr>
          <w:sz w:val="20"/>
          <w:szCs w:val="20"/>
          <w:color w:val="auto"/>
        </w:rPr>
      </w:pPr>
    </w:p>
    <w:p>
      <w:pPr>
        <w:sectPr>
          <w:pgSz w:w="11900" w:h="16838" w:orient="portrait"/>
          <w:cols w:equalWidth="0" w:num="2">
            <w:col w:w="3040" w:space="720"/>
            <w:col w:w="6860"/>
          </w:cols>
          <w:pgMar w:left="880" w:top="1440"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111111"/>
        </w:rPr>
        <w:t>Subsidiary</w:t>
      </w:r>
    </w:p>
    <w:p>
      <w:pPr>
        <w:spacing w:after="0" w:line="20" w:lineRule="exact"/>
        <w:rPr>
          <w:sz w:val="20"/>
          <w:szCs w:val="20"/>
          <w:color w:val="auto"/>
        </w:rPr>
      </w:pPr>
      <w:r>
        <w:rPr>
          <w:sz w:val="20"/>
          <w:szCs w:val="20"/>
          <w:color w:val="auto"/>
        </w:rPr>
        <w:br w:type="column"/>
      </w:r>
    </w:p>
    <w:p>
      <w:pPr>
        <w:jc w:val="both"/>
        <w:ind w:hanging="2876"/>
        <w:spacing w:after="0" w:line="290" w:lineRule="auto"/>
        <w:rPr>
          <w:sz w:val="20"/>
          <w:szCs w:val="20"/>
          <w:color w:val="auto"/>
        </w:rPr>
      </w:pPr>
      <w:r>
        <w:rPr>
          <w:rFonts w:ascii="Times New Roman" w:cs="Times New Roman" w:eastAsia="Times New Roman" w:hAnsi="Times New Roman"/>
          <w:sz w:val="14"/>
          <w:szCs w:val="14"/>
          <w:color w:val="111111"/>
        </w:rPr>
        <w:t>shall mean the corporations, partnerships, limited liability companies, joint ventures, associations and any other legal entities of which any Party (either alone or through or together with any other Subsidiary), owns, directly or indirectly, or has rights to acquire, directly or indirectly more than 50 percent of the stock or other equity interests, the holders of which are</w:t>
      </w:r>
    </w:p>
    <w:p>
      <w:pPr>
        <w:spacing w:after="0" w:line="1" w:lineRule="exact"/>
        <w:rPr>
          <w:sz w:val="20"/>
          <w:szCs w:val="20"/>
          <w:color w:val="auto"/>
        </w:rPr>
      </w:pPr>
    </w:p>
    <w:p>
      <w:pPr>
        <w:sectPr>
          <w:pgSz w:w="11900" w:h="16838" w:orient="portrait"/>
          <w:cols w:equalWidth="0" w:num="2">
            <w:col w:w="3040" w:space="720"/>
            <w:col w:w="6860"/>
          </w:cols>
          <w:pgMar w:left="880" w:top="1440" w:right="399" w:bottom="1440" w:gutter="0" w:footer="0" w:header="0"/>
          <w:type w:val="continuous"/>
        </w:sectPr>
      </w:pPr>
    </w:p>
    <w:p>
      <w:pPr>
        <w:ind w:left="3760" w:right="20"/>
        <w:spacing w:after="0" w:line="258" w:lineRule="auto"/>
        <w:rPr>
          <w:sz w:val="20"/>
          <w:szCs w:val="20"/>
          <w:color w:val="auto"/>
        </w:rPr>
      </w:pPr>
      <w:r>
        <w:rPr>
          <w:rFonts w:ascii="Times New Roman" w:cs="Times New Roman" w:eastAsia="Times New Roman" w:hAnsi="Times New Roman"/>
          <w:sz w:val="16"/>
          <w:szCs w:val="16"/>
          <w:color w:val="111111"/>
        </w:rPr>
        <w:t>generally entitled to vote for the election of the board of directors or other governing body of such corporation or other legal entity.</w:t>
      </w:r>
    </w:p>
    <w:p>
      <w:pPr>
        <w:spacing w:after="0" w:line="17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6"/>
          <w:szCs w:val="16"/>
          <w:color w:val="111111"/>
        </w:rPr>
        <w:t>Supplier Controlled Equipment</w:t>
      </w:r>
      <w:r>
        <w:rPr>
          <w:sz w:val="20"/>
          <w:szCs w:val="20"/>
          <w:color w:val="auto"/>
        </w:rPr>
        <w:tab/>
      </w:r>
      <w:r>
        <w:rPr>
          <w:rFonts w:ascii="Times New Roman" w:cs="Times New Roman" w:eastAsia="Times New Roman" w:hAnsi="Times New Roman"/>
          <w:sz w:val="14"/>
          <w:szCs w:val="14"/>
          <w:color w:val="111111"/>
        </w:rPr>
        <w:t>shall mean those Equipment provided by the Supplier.</w:t>
      </w:r>
    </w:p>
    <w:p>
      <w:pPr>
        <w:sectPr>
          <w:pgSz w:w="11900" w:h="16838" w:orient="portrait"/>
          <w:cols w:equalWidth="0" w:num="1">
            <w:col w:w="10620"/>
          </w:cols>
          <w:pgMar w:left="880" w:top="1440" w:right="399" w:bottom="1440" w:gutter="0" w:footer="0" w:header="0"/>
          <w:type w:val="continuous"/>
        </w:sectPr>
      </w:pPr>
    </w:p>
    <w:bookmarkStart w:id="191" w:name="page192"/>
    <w:bookmarkEnd w:id="191"/>
    <w:p>
      <w:pPr>
        <w:spacing w:after="0"/>
        <w:tabs>
          <w:tab w:leader="none" w:pos="1240" w:val="left"/>
        </w:tabs>
        <w:rPr>
          <w:sz w:val="20"/>
          <w:szCs w:val="20"/>
          <w:color w:val="auto"/>
        </w:rPr>
      </w:pPr>
      <w:r>
        <w:rPr>
          <w:rFonts w:ascii="Times New Roman" w:cs="Times New Roman" w:eastAsia="Times New Roman" w:hAnsi="Times New Roman"/>
          <w:sz w:val="16"/>
          <w:szCs w:val="16"/>
          <w:color w:val="111111"/>
        </w:rPr>
        <w:t>Special Inventory</w:t>
      </w:r>
      <w:r>
        <w:rPr>
          <w:sz w:val="20"/>
          <w:szCs w:val="20"/>
          <w:color w:val="auto"/>
        </w:rPr>
        <w:tab/>
      </w:r>
      <w:r>
        <w:rPr>
          <w:rFonts w:ascii="Times New Roman" w:cs="Times New Roman" w:eastAsia="Times New Roman" w:hAnsi="Times New Roman"/>
          <w:sz w:val="14"/>
          <w:szCs w:val="14"/>
          <w:color w:val="111111"/>
        </w:rPr>
        <w:t>shall mean any Long Lead Time Materials and/or Minimum Order Inventory and/or Economic Order Inventory.</w:t>
      </w:r>
    </w:p>
    <w:p>
      <w:pPr>
        <w:spacing w:after="0" w:line="187"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6"/>
          <w:szCs w:val="16"/>
          <w:color w:val="111111"/>
        </w:rPr>
        <w:t>Specifications</w:t>
      </w:r>
      <w:r>
        <w:rPr>
          <w:sz w:val="20"/>
          <w:szCs w:val="20"/>
          <w:color w:val="auto"/>
        </w:rPr>
        <w:tab/>
      </w:r>
      <w:r>
        <w:rPr>
          <w:rFonts w:ascii="Times New Roman" w:cs="Times New Roman" w:eastAsia="Times New Roman" w:hAnsi="Times New Roman"/>
          <w:sz w:val="14"/>
          <w:szCs w:val="14"/>
          <w:color w:val="111111"/>
        </w:rPr>
        <w:t>shall have the meaning set forth in Section 2.1.</w:t>
      </w:r>
    </w:p>
    <w:p>
      <w:pPr>
        <w:spacing w:after="0" w:line="187"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6"/>
          <w:szCs w:val="16"/>
          <w:color w:val="111111"/>
        </w:rPr>
        <w:t>Work</w:t>
      </w:r>
      <w:r>
        <w:rPr>
          <w:sz w:val="20"/>
          <w:szCs w:val="20"/>
          <w:color w:val="auto"/>
        </w:rPr>
        <w:tab/>
      </w:r>
      <w:r>
        <w:rPr>
          <w:rFonts w:ascii="Times New Roman" w:cs="Times New Roman" w:eastAsia="Times New Roman" w:hAnsi="Times New Roman"/>
          <w:sz w:val="14"/>
          <w:szCs w:val="14"/>
          <w:color w:val="111111"/>
        </w:rPr>
        <w:t>shall have the meaning set forth in Section 2.1.</w:t>
      </w:r>
    </w:p>
    <w:p>
      <w:pPr>
        <w:spacing w:after="0" w:line="198" w:lineRule="exact"/>
        <w:rPr>
          <w:sz w:val="20"/>
          <w:szCs w:val="20"/>
          <w:color w:val="auto"/>
        </w:rPr>
      </w:pPr>
    </w:p>
    <w:p>
      <w:pPr>
        <w:jc w:val="both"/>
        <w:ind w:left="1500" w:hanging="3755"/>
        <w:spacing w:after="0" w:line="261" w:lineRule="auto"/>
        <w:tabs>
          <w:tab w:leader="none" w:pos="1480" w:val="left"/>
        </w:tabs>
        <w:rPr>
          <w:sz w:val="20"/>
          <w:szCs w:val="20"/>
          <w:color w:val="auto"/>
        </w:rPr>
      </w:pPr>
      <w:r>
        <w:rPr>
          <w:rFonts w:ascii="Times New Roman" w:cs="Times New Roman" w:eastAsia="Times New Roman" w:hAnsi="Times New Roman"/>
          <w:sz w:val="16"/>
          <w:szCs w:val="16"/>
          <w:color w:val="111111"/>
        </w:rPr>
        <w:t>WEEE Requirements</w:t>
      </w:r>
      <w:r>
        <w:rPr>
          <w:rFonts w:ascii="Times New Roman" w:cs="Times New Roman" w:eastAsia="Times New Roman" w:hAnsi="Times New Roman"/>
          <w:sz w:val="16"/>
          <w:szCs w:val="16"/>
          <w:color w:val="auto"/>
        </w:rPr>
        <w:tab/>
        <w:t>means any requirements, obligations, standards, duties or responsibilities pursuant to any environmental, product or packaging recycling, reuse or waste Laws and any regulations, interpretive guidance or enforcement policies relating to any of the foregoing, including the WEEE directive, California RoHS or other similar or related Laws.</w:t>
      </w:r>
    </w:p>
    <w:p>
      <w:pPr>
        <w:sectPr>
          <w:pgSz w:w="11900" w:h="16838" w:orient="portrait"/>
          <w:cols w:equalWidth="0" w:num="1">
            <w:col w:w="10620"/>
          </w:cols>
          <w:pgMar w:left="880" w:top="1150" w:right="39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SPECIFICATIONS</w:t>
      </w:r>
    </w:p>
    <w:p>
      <w:pPr>
        <w:spacing w:after="0" w:line="107" w:lineRule="exact"/>
        <w:rPr>
          <w:sz w:val="20"/>
          <w:szCs w:val="20"/>
          <w:color w:val="auto"/>
        </w:rPr>
      </w:pPr>
    </w:p>
    <w:p>
      <w:pPr>
        <w:jc w:val="both"/>
        <w:ind w:left="620" w:right="420"/>
        <w:spacing w:after="0" w:line="261" w:lineRule="auto"/>
        <w:rPr>
          <w:sz w:val="20"/>
          <w:szCs w:val="20"/>
          <w:color w:val="auto"/>
        </w:rPr>
      </w:pPr>
      <w:r>
        <w:rPr>
          <w:rFonts w:ascii="Times New Roman" w:cs="Times New Roman" w:eastAsia="Times New Roman" w:hAnsi="Times New Roman"/>
          <w:sz w:val="16"/>
          <w:szCs w:val="16"/>
          <w:color w:val="151515"/>
        </w:rPr>
        <w:t>The Supplier shall perform the Work to the satisfaction of Enphase, according to the Specifications listed in the relevant document, as outlined in the table below. Enphase reserves the right to update this table from time to time and shall notify the Supplier thirty (30) days in advance of such updates, and upon such notification, these Specifications will be deemed to be updated.</w:t>
      </w:r>
    </w:p>
    <w:tbl>
      <w:tblPr>
        <w:tblLayout w:type="fixed"/>
        <w:tblInd w:w="10" w:type="dxa"/>
        <w:tblCellMar>
          <w:top w:w="0" w:type="dxa"/>
          <w:left w:w="0" w:type="dxa"/>
          <w:bottom w:w="0" w:type="dxa"/>
          <w:right w:w="0" w:type="dxa"/>
        </w:tblCellMar>
      </w:tblPr>
      <w:tr>
        <w:trPr>
          <w:trHeight w:val="400"/>
        </w:trPr>
        <w:tc>
          <w:tcPr>
            <w:tcW w:w="2260" w:type="dxa"/>
            <w:vAlign w:val="bottom"/>
            <w:tcBorders>
              <w:top w:val="single" w:sz="8" w:color="auto"/>
              <w:left w:val="single" w:sz="8" w:color="auto"/>
              <w:bottom w:val="single" w:sz="8" w:color="auto"/>
              <w:right w:val="single" w:sz="8" w:color="auto"/>
            </w:tcBorders>
          </w:tcPr>
          <w:p>
            <w:pPr>
              <w:jc w:val="right"/>
              <w:ind w:right="482"/>
              <w:spacing w:after="0"/>
              <w:rPr>
                <w:sz w:val="20"/>
                <w:szCs w:val="20"/>
                <w:color w:val="auto"/>
              </w:rPr>
            </w:pPr>
            <w:r>
              <w:rPr>
                <w:rFonts w:ascii="Arial" w:cs="Arial" w:eastAsia="Arial" w:hAnsi="Arial"/>
                <w:sz w:val="16"/>
                <w:szCs w:val="16"/>
                <w:color w:val="auto"/>
                <w:w w:val="97"/>
              </w:rPr>
              <w:t>Products (as applicable)</w:t>
            </w:r>
          </w:p>
        </w:tc>
        <w:tc>
          <w:tcPr>
            <w:tcW w:w="2860" w:type="dxa"/>
            <w:vAlign w:val="bottom"/>
            <w:tcBorders>
              <w:top w:val="single" w:sz="8" w:color="auto"/>
              <w:bottom w:val="single" w:sz="8" w:color="auto"/>
              <w:right w:val="single" w:sz="8" w:color="auto"/>
            </w:tcBorders>
          </w:tcPr>
          <w:p>
            <w:pPr>
              <w:jc w:val="right"/>
              <w:ind w:right="1722"/>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3860" w:type="dxa"/>
            <w:vAlign w:val="bottom"/>
            <w:tcBorders>
              <w:top w:val="single" w:sz="8" w:color="auto"/>
              <w:bottom w:val="single" w:sz="8" w:color="auto"/>
              <w:right w:val="single" w:sz="8" w:color="auto"/>
            </w:tcBorders>
          </w:tcPr>
          <w:p>
            <w:pPr>
              <w:jc w:val="right"/>
              <w:ind w:right="2062"/>
              <w:spacing w:after="0"/>
              <w:rPr>
                <w:sz w:val="20"/>
                <w:szCs w:val="20"/>
                <w:color w:val="auto"/>
              </w:rPr>
            </w:pPr>
            <w:r>
              <w:rPr>
                <w:rFonts w:ascii="Times New Roman" w:cs="Times New Roman" w:eastAsia="Times New Roman" w:hAnsi="Times New Roman"/>
                <w:sz w:val="16"/>
                <w:szCs w:val="16"/>
                <w:b w:val="1"/>
                <w:bCs w:val="1"/>
                <w:color w:val="auto"/>
              </w:rPr>
              <w:t>Document Number</w:t>
            </w:r>
          </w:p>
        </w:tc>
        <w:tc>
          <w:tcPr>
            <w:tcW w:w="2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Revision Number</w:t>
            </w: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jc w:val="right"/>
              <w:ind w:right="2602"/>
              <w:spacing w:after="0"/>
              <w:rPr>
                <w:sz w:val="20"/>
                <w:szCs w:val="20"/>
                <w:color w:val="auto"/>
              </w:rPr>
            </w:pPr>
            <w:r>
              <w:rPr>
                <w:rFonts w:ascii="Times New Roman" w:cs="Times New Roman" w:eastAsia="Times New Roman" w:hAnsi="Times New Roman"/>
                <w:sz w:val="16"/>
                <w:szCs w:val="16"/>
                <w:color w:val="auto"/>
                <w:w w:val="85"/>
              </w:rPr>
              <w:t>[*]</w:t>
            </w:r>
          </w:p>
        </w:tc>
        <w:tc>
          <w:tcPr>
            <w:tcW w:w="3860" w:type="dxa"/>
            <w:vAlign w:val="bottom"/>
            <w:tcBorders>
              <w:bottom w:val="single" w:sz="8" w:color="auto"/>
              <w:right w:val="single" w:sz="8" w:color="auto"/>
            </w:tcBorders>
          </w:tcPr>
          <w:p>
            <w:pPr>
              <w:jc w:val="right"/>
              <w:ind w:right="3582"/>
              <w:spacing w:after="0"/>
              <w:rPr>
                <w:sz w:val="20"/>
                <w:szCs w:val="20"/>
                <w:color w:val="auto"/>
              </w:rPr>
            </w:pPr>
            <w:r>
              <w:rPr>
                <w:rFonts w:ascii="Times New Roman" w:cs="Times New Roman" w:eastAsia="Times New Roman" w:hAnsi="Times New Roman"/>
                <w:sz w:val="16"/>
                <w:szCs w:val="16"/>
                <w:color w:val="auto"/>
                <w:w w:val="96"/>
              </w:rPr>
              <w:t>[*]</w:t>
            </w: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vMerge w:val="restart"/>
          </w:tcPr>
          <w:p>
            <w:pPr>
              <w:jc w:val="right"/>
              <w:ind w:right="1642"/>
              <w:spacing w:after="0"/>
              <w:rPr>
                <w:sz w:val="20"/>
                <w:szCs w:val="20"/>
                <w:color w:val="auto"/>
              </w:rPr>
            </w:pPr>
            <w:r>
              <w:rPr>
                <w:rFonts w:ascii="Arial" w:cs="Arial" w:eastAsia="Arial" w:hAnsi="Arial"/>
                <w:sz w:val="16"/>
                <w:szCs w:val="16"/>
                <w:color w:val="auto"/>
              </w:rPr>
              <w:t>[ *]</w:t>
            </w:r>
          </w:p>
        </w:tc>
        <w:tc>
          <w:tcPr>
            <w:tcW w:w="2860" w:type="dxa"/>
            <w:vAlign w:val="bottom"/>
            <w:tcBorders>
              <w:bottom w:val="single" w:sz="8" w:color="auto"/>
              <w:right w:val="single" w:sz="8" w:color="auto"/>
            </w:tcBorders>
          </w:tcPr>
          <w:p>
            <w:pPr>
              <w:jc w:val="right"/>
              <w:ind w:right="2602"/>
              <w:spacing w:after="0"/>
              <w:rPr>
                <w:sz w:val="20"/>
                <w:szCs w:val="20"/>
                <w:color w:val="auto"/>
              </w:rPr>
            </w:pPr>
            <w:r>
              <w:rPr>
                <w:rFonts w:ascii="Times New Roman" w:cs="Times New Roman" w:eastAsia="Times New Roman" w:hAnsi="Times New Roman"/>
                <w:sz w:val="16"/>
                <w:szCs w:val="16"/>
                <w:color w:val="auto"/>
                <w:w w:val="85"/>
              </w:rPr>
              <w:t>[*]</w:t>
            </w:r>
          </w:p>
        </w:tc>
        <w:tc>
          <w:tcPr>
            <w:tcW w:w="3860" w:type="dxa"/>
            <w:vAlign w:val="bottom"/>
            <w:tcBorders>
              <w:bottom w:val="single" w:sz="8" w:color="auto"/>
              <w:right w:val="single" w:sz="8" w:color="auto"/>
            </w:tcBorders>
          </w:tcPr>
          <w:p>
            <w:pPr>
              <w:jc w:val="right"/>
              <w:ind w:right="3582"/>
              <w:spacing w:after="0"/>
              <w:rPr>
                <w:sz w:val="20"/>
                <w:szCs w:val="20"/>
                <w:color w:val="auto"/>
              </w:rPr>
            </w:pPr>
            <w:r>
              <w:rPr>
                <w:rFonts w:ascii="Times New Roman" w:cs="Times New Roman" w:eastAsia="Times New Roman" w:hAnsi="Times New Roman"/>
                <w:sz w:val="16"/>
                <w:szCs w:val="16"/>
                <w:color w:val="auto"/>
                <w:w w:val="96"/>
              </w:rPr>
              <w:t>[*]</w:t>
            </w: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right w:val="single" w:sz="8" w:color="auto"/>
            </w:tcBorders>
            <w:vMerge w:val="continue"/>
          </w:tcPr>
          <w:p>
            <w:pPr>
              <w:spacing w:after="0"/>
              <w:rPr>
                <w:sz w:val="9"/>
                <w:szCs w:val="9"/>
                <w:color w:val="auto"/>
              </w:rPr>
            </w:pPr>
          </w:p>
        </w:tc>
        <w:tc>
          <w:tcPr>
            <w:tcW w:w="2860" w:type="dxa"/>
            <w:vAlign w:val="bottom"/>
            <w:tcBorders>
              <w:right w:val="single" w:sz="8" w:color="auto"/>
            </w:tcBorders>
            <w:vMerge w:val="restart"/>
          </w:tcPr>
          <w:p>
            <w:pPr>
              <w:jc w:val="right"/>
              <w:ind w:right="2602"/>
              <w:spacing w:after="0"/>
              <w:rPr>
                <w:sz w:val="20"/>
                <w:szCs w:val="20"/>
                <w:color w:val="auto"/>
              </w:rPr>
            </w:pPr>
            <w:r>
              <w:rPr>
                <w:rFonts w:ascii="Times New Roman" w:cs="Times New Roman" w:eastAsia="Times New Roman" w:hAnsi="Times New Roman"/>
                <w:sz w:val="16"/>
                <w:szCs w:val="16"/>
                <w:color w:val="auto"/>
                <w:w w:val="85"/>
              </w:rPr>
              <w:t>[*]</w:t>
            </w:r>
          </w:p>
        </w:tc>
        <w:tc>
          <w:tcPr>
            <w:tcW w:w="3860" w:type="dxa"/>
            <w:vAlign w:val="bottom"/>
            <w:tcBorders>
              <w:right w:val="single" w:sz="8" w:color="auto"/>
            </w:tcBorders>
            <w:vMerge w:val="restart"/>
          </w:tcPr>
          <w:p>
            <w:pPr>
              <w:jc w:val="right"/>
              <w:ind w:right="3582"/>
              <w:spacing w:after="0"/>
              <w:rPr>
                <w:sz w:val="20"/>
                <w:szCs w:val="20"/>
                <w:color w:val="auto"/>
              </w:rPr>
            </w:pPr>
            <w:r>
              <w:rPr>
                <w:rFonts w:ascii="Times New Roman" w:cs="Times New Roman" w:eastAsia="Times New Roman" w:hAnsi="Times New Roman"/>
                <w:sz w:val="16"/>
                <w:szCs w:val="16"/>
                <w:color w:val="auto"/>
                <w:w w:val="96"/>
              </w:rPr>
              <w:t>[*]</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260" w:type="dxa"/>
            <w:vAlign w:val="bottom"/>
            <w:tcBorders>
              <w:left w:val="single" w:sz="8" w:color="auto"/>
              <w:right w:val="single" w:sz="8" w:color="auto"/>
            </w:tcBorders>
          </w:tcPr>
          <w:p>
            <w:pPr>
              <w:spacing w:after="0"/>
              <w:rPr>
                <w:sz w:val="8"/>
                <w:szCs w:val="8"/>
                <w:color w:val="auto"/>
              </w:rPr>
            </w:pPr>
          </w:p>
        </w:tc>
        <w:tc>
          <w:tcPr>
            <w:tcW w:w="2860" w:type="dxa"/>
            <w:vAlign w:val="bottom"/>
            <w:tcBorders>
              <w:right w:val="single" w:sz="8" w:color="auto"/>
            </w:tcBorders>
            <w:vMerge w:val="continue"/>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260" w:type="dxa"/>
            <w:vAlign w:val="bottom"/>
            <w:tcBorders>
              <w:left w:val="single" w:sz="8" w:color="auto"/>
              <w:right w:val="single" w:sz="8" w:color="auto"/>
            </w:tcBorders>
          </w:tcPr>
          <w:p>
            <w:pPr>
              <w:spacing w:after="0"/>
              <w:rPr>
                <w:sz w:val="13"/>
                <w:szCs w:val="13"/>
                <w:color w:val="auto"/>
              </w:rPr>
            </w:pPr>
          </w:p>
        </w:tc>
        <w:tc>
          <w:tcPr>
            <w:tcW w:w="2860" w:type="dxa"/>
            <w:vAlign w:val="bottom"/>
            <w:tcBorders>
              <w:bottom w:val="single" w:sz="8" w:color="auto"/>
              <w:right w:val="single" w:sz="8" w:color="auto"/>
            </w:tcBorders>
          </w:tcPr>
          <w:p>
            <w:pPr>
              <w:spacing w:after="0"/>
              <w:rPr>
                <w:sz w:val="13"/>
                <w:szCs w:val="13"/>
                <w:color w:val="auto"/>
              </w:rPr>
            </w:pPr>
          </w:p>
        </w:tc>
        <w:tc>
          <w:tcPr>
            <w:tcW w:w="386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260" w:type="dxa"/>
            <w:vAlign w:val="bottom"/>
            <w:tcBorders>
              <w:left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jc w:val="right"/>
              <w:ind w:right="2602"/>
              <w:spacing w:after="0"/>
              <w:rPr>
                <w:sz w:val="20"/>
                <w:szCs w:val="20"/>
                <w:color w:val="auto"/>
              </w:rPr>
            </w:pPr>
            <w:r>
              <w:rPr>
                <w:rFonts w:ascii="Times New Roman" w:cs="Times New Roman" w:eastAsia="Times New Roman" w:hAnsi="Times New Roman"/>
                <w:sz w:val="16"/>
                <w:szCs w:val="16"/>
                <w:color w:val="auto"/>
                <w:w w:val="85"/>
              </w:rPr>
              <w:t>[*]</w:t>
            </w:r>
          </w:p>
        </w:tc>
        <w:tc>
          <w:tcPr>
            <w:tcW w:w="3860" w:type="dxa"/>
            <w:vAlign w:val="bottom"/>
            <w:tcBorders>
              <w:right w:val="single" w:sz="8" w:color="auto"/>
            </w:tcBorders>
          </w:tcPr>
          <w:p>
            <w:pPr>
              <w:jc w:val="right"/>
              <w:ind w:right="3582"/>
              <w:spacing w:after="0"/>
              <w:rPr>
                <w:sz w:val="20"/>
                <w:szCs w:val="20"/>
                <w:color w:val="auto"/>
              </w:rPr>
            </w:pPr>
            <w:r>
              <w:rPr>
                <w:rFonts w:ascii="Times New Roman" w:cs="Times New Roman" w:eastAsia="Times New Roman" w:hAnsi="Times New Roman"/>
                <w:sz w:val="16"/>
                <w:szCs w:val="16"/>
                <w:color w:val="auto"/>
                <w:w w:val="96"/>
              </w:rPr>
              <w:t>[*]</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2260" w:type="dxa"/>
            <w:vAlign w:val="bottom"/>
            <w:tcBorders>
              <w:left w:val="single" w:sz="8" w:color="auto"/>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260" w:type="dxa"/>
            <w:vAlign w:val="bottom"/>
          </w:tcPr>
          <w:p>
            <w:pPr>
              <w:jc w:val="right"/>
              <w:ind w:right="2002"/>
              <w:spacing w:after="0"/>
              <w:rPr>
                <w:sz w:val="20"/>
                <w:szCs w:val="20"/>
                <w:color w:val="auto"/>
              </w:rPr>
            </w:pPr>
            <w:r>
              <w:rPr>
                <w:rFonts w:ascii="Times New Roman" w:cs="Times New Roman" w:eastAsia="Times New Roman" w:hAnsi="Times New Roman"/>
                <w:sz w:val="16"/>
                <w:szCs w:val="16"/>
                <w:color w:val="auto"/>
                <w:w w:val="85"/>
              </w:rPr>
              <w:t>[*]</w:t>
            </w:r>
          </w:p>
        </w:tc>
        <w:tc>
          <w:tcPr>
            <w:tcW w:w="28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00" w:top="1440" w:right="559" w:bottom="1440" w:gutter="0" w:footer="0" w:header="0"/>
        </w:sectPr>
      </w:pPr>
    </w:p>
    <w:bookmarkStart w:id="193" w:name="page194"/>
    <w:bookmarkEnd w:id="193"/>
    <w:p>
      <w:pPr>
        <w:spacing w:after="0" w:line="2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FEES LIST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highlight w:val="lightGray"/>
        </w:rPr>
        <w:t xml:space="preserve">QUOTATION -- MVA Cost Elements &amp; Material Costs; </w:t>
      </w:r>
      <w:r>
        <w:rPr>
          <w:sz w:val="1"/>
          <w:szCs w:val="1"/>
          <w:color w:val="auto"/>
        </w:rPr>
        <w:drawing>
          <wp:inline distT="0" distB="0" distL="0" distR="0">
            <wp:extent cx="60325" cy="6032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860" w:type="dxa"/>
            <w:vAlign w:val="bottom"/>
            <w:tcBorders>
              <w:bottom w:val="single" w:sz="8" w:color="auto"/>
              <w:right w:val="single" w:sz="8" w:color="auto"/>
            </w:tcBorders>
          </w:tcPr>
          <w:p>
            <w:pPr>
              <w:spacing w:after="0"/>
              <w:rPr>
                <w:sz w:val="20"/>
                <w:szCs w:val="20"/>
                <w:color w:val="auto"/>
              </w:rPr>
            </w:pPr>
          </w:p>
        </w:tc>
        <w:tc>
          <w:tcPr>
            <w:tcW w:w="540" w:type="dxa"/>
            <w:vAlign w:val="bottom"/>
            <w:tcBorders>
              <w:top w:val="single" w:sz="8" w:color="auto"/>
              <w:bottom w:val="single" w:sz="8" w:color="auto"/>
            </w:tcBorders>
            <w:shd w:val="clear" w:color="auto" w:fill="B4C5E7"/>
          </w:tcPr>
          <w:p>
            <w:pPr>
              <w:spacing w:after="0"/>
              <w:rPr>
                <w:sz w:val="20"/>
                <w:szCs w:val="20"/>
                <w:color w:val="auto"/>
              </w:rPr>
            </w:pPr>
          </w:p>
        </w:tc>
        <w:tc>
          <w:tcPr>
            <w:tcW w:w="3360" w:type="dxa"/>
            <w:vAlign w:val="bottom"/>
            <w:tcBorders>
              <w:top w:val="single" w:sz="8" w:color="auto"/>
              <w:bottom w:val="single" w:sz="8" w:color="auto"/>
            </w:tcBorders>
            <w:gridSpan w:val="5"/>
            <w:shd w:val="clear" w:color="auto" w:fill="B4C5E7"/>
          </w:tcPr>
          <w:p>
            <w:pPr>
              <w:ind w:left="120"/>
              <w:spacing w:after="0"/>
              <w:rPr>
                <w:sz w:val="20"/>
                <w:szCs w:val="20"/>
                <w:color w:val="auto"/>
              </w:rPr>
            </w:pPr>
            <w:r>
              <w:rPr>
                <w:rFonts w:ascii="Arial" w:cs="Arial" w:eastAsia="Arial" w:hAnsi="Arial"/>
                <w:sz w:val="16"/>
                <w:szCs w:val="16"/>
                <w:b w:val="1"/>
                <w:bCs w:val="1"/>
                <w:color w:val="auto"/>
                <w:w w:val="96"/>
              </w:rPr>
              <w:t>Package Deal -- All programs to be awarded</w:t>
            </w:r>
          </w:p>
        </w:tc>
        <w:tc>
          <w:tcPr>
            <w:tcW w:w="1220" w:type="dxa"/>
            <w:vAlign w:val="bottom"/>
            <w:tcBorders>
              <w:top w:val="single" w:sz="8" w:color="auto"/>
              <w:bottom w:val="single" w:sz="8" w:color="auto"/>
              <w:right w:val="single" w:sz="8" w:color="B4C5E7"/>
            </w:tcBorders>
            <w:shd w:val="clear" w:color="auto" w:fill="B4C5E7"/>
          </w:tcPr>
          <w:p>
            <w:pPr>
              <w:spacing w:after="0"/>
              <w:rPr>
                <w:sz w:val="20"/>
                <w:szCs w:val="20"/>
                <w:color w:val="auto"/>
              </w:rPr>
            </w:pPr>
          </w:p>
        </w:tc>
        <w:tc>
          <w:tcPr>
            <w:tcW w:w="20" w:type="dxa"/>
            <w:vAlign w:val="bottom"/>
            <w:tcBorders>
              <w:top w:val="single" w:sz="8" w:color="auto"/>
              <w:bottom w:val="single" w:sz="8" w:color="auto"/>
            </w:tcBorders>
            <w:shd w:val="clear" w:color="auto" w:fill="B4C5E7"/>
          </w:tcPr>
          <w:p>
            <w:pPr>
              <w:spacing w:after="0"/>
              <w:rPr>
                <w:sz w:val="20"/>
                <w:szCs w:val="20"/>
                <w:color w:val="auto"/>
              </w:rPr>
            </w:pPr>
          </w:p>
        </w:tc>
        <w:tc>
          <w:tcPr>
            <w:tcW w:w="360" w:type="dxa"/>
            <w:vAlign w:val="bottom"/>
            <w:tcBorders>
              <w:top w:val="single" w:sz="8" w:color="auto"/>
              <w:bottom w:val="single" w:sz="8" w:color="auto"/>
            </w:tcBorders>
            <w:shd w:val="clear" w:color="auto" w:fill="B4C5E7"/>
          </w:tcPr>
          <w:p>
            <w:pPr>
              <w:spacing w:after="0"/>
              <w:rPr>
                <w:sz w:val="20"/>
                <w:szCs w:val="20"/>
                <w:color w:val="auto"/>
              </w:rPr>
            </w:pPr>
          </w:p>
        </w:tc>
        <w:tc>
          <w:tcPr>
            <w:tcW w:w="840" w:type="dxa"/>
            <w:vAlign w:val="bottom"/>
            <w:tcBorders>
              <w:top w:val="single" w:sz="8" w:color="auto"/>
              <w:bottom w:val="single" w:sz="8" w:color="auto"/>
            </w:tcBorders>
            <w:shd w:val="clear" w:color="auto" w:fill="B4C5E7"/>
          </w:tcPr>
          <w:p>
            <w:pPr>
              <w:spacing w:after="0"/>
              <w:rPr>
                <w:sz w:val="20"/>
                <w:szCs w:val="20"/>
                <w:color w:val="auto"/>
              </w:rPr>
            </w:pPr>
          </w:p>
        </w:tc>
        <w:tc>
          <w:tcPr>
            <w:tcW w:w="320" w:type="dxa"/>
            <w:vAlign w:val="bottom"/>
            <w:tcBorders>
              <w:top w:val="single" w:sz="8" w:color="auto"/>
              <w:bottom w:val="single" w:sz="8" w:color="auto"/>
              <w:right w:val="single" w:sz="8" w:color="auto"/>
            </w:tcBorders>
            <w:shd w:val="clear" w:color="auto" w:fill="B4C5E7"/>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right w:val="single" w:sz="8" w:color="auto"/>
            </w:tcBorders>
            <w:shd w:val="clear" w:color="auto" w:fill="B4C5E7"/>
          </w:tcPr>
          <w:p>
            <w:pPr>
              <w:jc w:val="center"/>
              <w:spacing w:after="0" w:line="162" w:lineRule="exact"/>
              <w:rPr>
                <w:sz w:val="20"/>
                <w:szCs w:val="20"/>
                <w:color w:val="auto"/>
              </w:rPr>
            </w:pPr>
            <w:r>
              <w:rPr>
                <w:rFonts w:ascii="Arial" w:cs="Arial" w:eastAsia="Arial" w:hAnsi="Arial"/>
                <w:sz w:val="16"/>
                <w:szCs w:val="16"/>
                <w:b w:val="1"/>
                <w:bCs w:val="1"/>
                <w:i w:val="1"/>
                <w:iCs w:val="1"/>
                <w:color w:val="auto"/>
                <w:w w:val="95"/>
              </w:rPr>
              <w:t>MVA Cost</w:t>
            </w:r>
          </w:p>
        </w:tc>
        <w:tc>
          <w:tcPr>
            <w:tcW w:w="1840" w:type="dxa"/>
            <w:vAlign w:val="bottom"/>
            <w:gridSpan w:val="2"/>
            <w:shd w:val="clear" w:color="auto" w:fill="B4C5E7"/>
          </w:tcPr>
          <w:p>
            <w:pPr>
              <w:spacing w:after="0" w:line="162" w:lineRule="exact"/>
              <w:rPr>
                <w:sz w:val="20"/>
                <w:szCs w:val="20"/>
                <w:color w:val="auto"/>
              </w:rPr>
            </w:pPr>
            <w:r>
              <w:rPr>
                <w:rFonts w:ascii="Arial" w:cs="Arial" w:eastAsia="Arial" w:hAnsi="Arial"/>
                <w:sz w:val="16"/>
                <w:szCs w:val="16"/>
                <w:b w:val="1"/>
                <w:bCs w:val="1"/>
                <w:i w:val="1"/>
                <w:iCs w:val="1"/>
                <w:color w:val="auto"/>
              </w:rPr>
              <w:t>Microinverter</w:t>
            </w:r>
          </w:p>
        </w:tc>
        <w:tc>
          <w:tcPr>
            <w:tcW w:w="140" w:type="dxa"/>
            <w:vAlign w:val="bottom"/>
            <w:tcBorders>
              <w:right w:val="single" w:sz="8" w:color="auto"/>
            </w:tcBorders>
            <w:shd w:val="clear" w:color="auto" w:fill="B4C5E7"/>
          </w:tcPr>
          <w:p>
            <w:pPr>
              <w:spacing w:after="0"/>
              <w:rPr>
                <w:sz w:val="14"/>
                <w:szCs w:val="14"/>
                <w:color w:val="auto"/>
              </w:rPr>
            </w:pPr>
          </w:p>
        </w:tc>
        <w:tc>
          <w:tcPr>
            <w:tcW w:w="400" w:type="dxa"/>
            <w:vAlign w:val="bottom"/>
            <w:shd w:val="clear" w:color="auto" w:fill="B4C5E7"/>
          </w:tcPr>
          <w:p>
            <w:pPr>
              <w:spacing w:after="0"/>
              <w:rPr>
                <w:sz w:val="14"/>
                <w:szCs w:val="14"/>
                <w:color w:val="auto"/>
              </w:rPr>
            </w:pPr>
          </w:p>
        </w:tc>
        <w:tc>
          <w:tcPr>
            <w:tcW w:w="1140" w:type="dxa"/>
            <w:vAlign w:val="bottom"/>
            <w:tcBorders>
              <w:right w:val="single" w:sz="8" w:color="auto"/>
            </w:tcBorders>
            <w:shd w:val="clear" w:color="auto" w:fill="B4C5E7"/>
          </w:tcPr>
          <w:p>
            <w:pPr>
              <w:jc w:val="right"/>
              <w:ind w:right="504"/>
              <w:spacing w:after="0" w:line="162" w:lineRule="exact"/>
              <w:rPr>
                <w:sz w:val="20"/>
                <w:szCs w:val="20"/>
                <w:color w:val="auto"/>
              </w:rPr>
            </w:pPr>
            <w:r>
              <w:rPr>
                <w:rFonts w:ascii="Arial" w:cs="Arial" w:eastAsia="Arial" w:hAnsi="Arial"/>
                <w:sz w:val="16"/>
                <w:szCs w:val="16"/>
                <w:b w:val="1"/>
                <w:bCs w:val="1"/>
                <w:i w:val="1"/>
                <w:iCs w:val="1"/>
                <w:color w:val="auto"/>
              </w:rPr>
              <w:t>Envoy</w:t>
            </w:r>
          </w:p>
        </w:tc>
        <w:tc>
          <w:tcPr>
            <w:tcW w:w="1600" w:type="dxa"/>
            <w:vAlign w:val="bottom"/>
            <w:tcBorders>
              <w:right w:val="single" w:sz="8" w:color="auto"/>
            </w:tcBorders>
            <w:gridSpan w:val="2"/>
            <w:shd w:val="clear" w:color="auto" w:fill="B4C5E7"/>
          </w:tcPr>
          <w:p>
            <w:pPr>
              <w:ind w:left="100"/>
              <w:spacing w:after="0" w:line="162" w:lineRule="exact"/>
              <w:rPr>
                <w:sz w:val="20"/>
                <w:szCs w:val="20"/>
                <w:color w:val="auto"/>
              </w:rPr>
            </w:pPr>
            <w:r>
              <w:rPr>
                <w:rFonts w:ascii="Arial" w:cs="Arial" w:eastAsia="Arial" w:hAnsi="Arial"/>
                <w:sz w:val="16"/>
                <w:szCs w:val="16"/>
                <w:b w:val="1"/>
                <w:bCs w:val="1"/>
                <w:i w:val="1"/>
                <w:iCs w:val="1"/>
                <w:color w:val="auto"/>
              </w:rPr>
              <w:t>Combiner Box</w:t>
            </w:r>
          </w:p>
        </w:tc>
        <w:tc>
          <w:tcPr>
            <w:tcW w:w="20" w:type="dxa"/>
            <w:vAlign w:val="bottom"/>
            <w:shd w:val="clear" w:color="auto" w:fill="B4C5E7"/>
          </w:tcPr>
          <w:p>
            <w:pPr>
              <w:spacing w:after="0"/>
              <w:rPr>
                <w:sz w:val="14"/>
                <w:szCs w:val="14"/>
                <w:color w:val="auto"/>
              </w:rPr>
            </w:pPr>
          </w:p>
        </w:tc>
        <w:tc>
          <w:tcPr>
            <w:tcW w:w="1200" w:type="dxa"/>
            <w:vAlign w:val="bottom"/>
            <w:gridSpan w:val="2"/>
            <w:shd w:val="clear" w:color="auto" w:fill="B4C5E7"/>
          </w:tcPr>
          <w:p>
            <w:pPr>
              <w:jc w:val="right"/>
              <w:ind w:right="8"/>
              <w:spacing w:after="0" w:line="162" w:lineRule="exact"/>
              <w:rPr>
                <w:sz w:val="20"/>
                <w:szCs w:val="20"/>
                <w:color w:val="auto"/>
              </w:rPr>
            </w:pPr>
            <w:r>
              <w:rPr>
                <w:rFonts w:ascii="Arial" w:cs="Arial" w:eastAsia="Arial" w:hAnsi="Arial"/>
                <w:sz w:val="16"/>
                <w:szCs w:val="16"/>
                <w:b w:val="1"/>
                <w:bCs w:val="1"/>
                <w:i w:val="1"/>
                <w:iCs w:val="1"/>
                <w:color w:val="auto"/>
              </w:rPr>
              <w:t>Enpower (#11)</w:t>
            </w:r>
          </w:p>
        </w:tc>
        <w:tc>
          <w:tcPr>
            <w:tcW w:w="320" w:type="dxa"/>
            <w:vAlign w:val="bottom"/>
            <w:tcBorders>
              <w:right w:val="single" w:sz="8" w:color="auto"/>
            </w:tcBorders>
            <w:shd w:val="clear" w:color="auto" w:fill="B4C5E7"/>
          </w:tcPr>
          <w:p>
            <w:pPr>
              <w:spacing w:after="0"/>
              <w:rPr>
                <w:sz w:val="14"/>
                <w:szCs w:val="14"/>
                <w:color w:val="auto"/>
              </w:rPr>
            </w:pPr>
          </w:p>
        </w:tc>
        <w:tc>
          <w:tcPr>
            <w:tcW w:w="1780" w:type="dxa"/>
            <w:vAlign w:val="bottom"/>
            <w:tcBorders>
              <w:right w:val="single" w:sz="8" w:color="auto"/>
            </w:tcBorders>
            <w:shd w:val="clear" w:color="auto" w:fill="B4C5E7"/>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Borders>
              <w:left w:val="single" w:sz="8" w:color="auto"/>
              <w:right w:val="single" w:sz="8" w:color="auto"/>
            </w:tcBorders>
            <w:shd w:val="clear" w:color="auto" w:fill="B4C5E7"/>
          </w:tcPr>
          <w:p>
            <w:pPr>
              <w:jc w:val="center"/>
              <w:spacing w:after="0" w:line="170" w:lineRule="exact"/>
              <w:rPr>
                <w:sz w:val="20"/>
                <w:szCs w:val="20"/>
                <w:color w:val="auto"/>
              </w:rPr>
            </w:pPr>
            <w:r>
              <w:rPr>
                <w:rFonts w:ascii="Arial" w:cs="Arial" w:eastAsia="Arial" w:hAnsi="Arial"/>
                <w:sz w:val="16"/>
                <w:szCs w:val="16"/>
                <w:b w:val="1"/>
                <w:bCs w:val="1"/>
                <w:i w:val="1"/>
                <w:iCs w:val="1"/>
                <w:color w:val="auto"/>
                <w:w w:val="96"/>
              </w:rPr>
              <w:t>Elements/Manufacturing</w:t>
            </w:r>
          </w:p>
        </w:tc>
        <w:tc>
          <w:tcPr>
            <w:tcW w:w="540" w:type="dxa"/>
            <w:vAlign w:val="bottom"/>
            <w:shd w:val="clear" w:color="auto" w:fill="B4C5E7"/>
          </w:tcPr>
          <w:p>
            <w:pPr>
              <w:spacing w:after="0"/>
              <w:rPr>
                <w:sz w:val="14"/>
                <w:szCs w:val="14"/>
                <w:color w:val="auto"/>
              </w:rPr>
            </w:pPr>
          </w:p>
        </w:tc>
        <w:tc>
          <w:tcPr>
            <w:tcW w:w="1300" w:type="dxa"/>
            <w:vAlign w:val="bottom"/>
            <w:shd w:val="clear" w:color="auto" w:fill="B4C5E7"/>
          </w:tcPr>
          <w:p>
            <w:pPr>
              <w:spacing w:after="0"/>
              <w:rPr>
                <w:sz w:val="14"/>
                <w:szCs w:val="14"/>
                <w:color w:val="auto"/>
              </w:rPr>
            </w:pPr>
          </w:p>
        </w:tc>
        <w:tc>
          <w:tcPr>
            <w:tcW w:w="140" w:type="dxa"/>
            <w:vAlign w:val="bottom"/>
            <w:tcBorders>
              <w:right w:val="single" w:sz="8" w:color="auto"/>
            </w:tcBorders>
            <w:shd w:val="clear" w:color="auto" w:fill="B4C5E7"/>
          </w:tcPr>
          <w:p>
            <w:pPr>
              <w:spacing w:after="0"/>
              <w:rPr>
                <w:sz w:val="14"/>
                <w:szCs w:val="14"/>
                <w:color w:val="auto"/>
              </w:rPr>
            </w:pPr>
          </w:p>
        </w:tc>
        <w:tc>
          <w:tcPr>
            <w:tcW w:w="400" w:type="dxa"/>
            <w:vAlign w:val="bottom"/>
            <w:shd w:val="clear" w:color="auto" w:fill="B4C5E7"/>
          </w:tcPr>
          <w:p>
            <w:pPr>
              <w:spacing w:after="0"/>
              <w:rPr>
                <w:sz w:val="14"/>
                <w:szCs w:val="14"/>
                <w:color w:val="auto"/>
              </w:rPr>
            </w:pPr>
          </w:p>
        </w:tc>
        <w:tc>
          <w:tcPr>
            <w:tcW w:w="1140" w:type="dxa"/>
            <w:vAlign w:val="bottom"/>
            <w:tcBorders>
              <w:right w:val="single" w:sz="8" w:color="auto"/>
            </w:tcBorders>
            <w:shd w:val="clear" w:color="auto" w:fill="B4C5E7"/>
          </w:tcPr>
          <w:p>
            <w:pPr>
              <w:spacing w:after="0"/>
              <w:rPr>
                <w:sz w:val="14"/>
                <w:szCs w:val="14"/>
                <w:color w:val="auto"/>
              </w:rPr>
            </w:pPr>
          </w:p>
        </w:tc>
        <w:tc>
          <w:tcPr>
            <w:tcW w:w="380" w:type="dxa"/>
            <w:vAlign w:val="bottom"/>
            <w:shd w:val="clear" w:color="auto" w:fill="B4C5E7"/>
          </w:tcPr>
          <w:p>
            <w:pPr>
              <w:spacing w:after="0"/>
              <w:rPr>
                <w:sz w:val="14"/>
                <w:szCs w:val="14"/>
                <w:color w:val="auto"/>
              </w:rPr>
            </w:pPr>
          </w:p>
        </w:tc>
        <w:tc>
          <w:tcPr>
            <w:tcW w:w="1220" w:type="dxa"/>
            <w:vAlign w:val="bottom"/>
            <w:tcBorders>
              <w:right w:val="single" w:sz="8" w:color="auto"/>
            </w:tcBorders>
            <w:shd w:val="clear" w:color="auto" w:fill="B4C5E7"/>
          </w:tcPr>
          <w:p>
            <w:pPr>
              <w:spacing w:after="0"/>
              <w:rPr>
                <w:sz w:val="14"/>
                <w:szCs w:val="14"/>
                <w:color w:val="auto"/>
              </w:rPr>
            </w:pPr>
          </w:p>
        </w:tc>
        <w:tc>
          <w:tcPr>
            <w:tcW w:w="20" w:type="dxa"/>
            <w:vAlign w:val="bottom"/>
            <w:shd w:val="clear" w:color="auto" w:fill="B4C5E7"/>
          </w:tcPr>
          <w:p>
            <w:pPr>
              <w:spacing w:after="0"/>
              <w:rPr>
                <w:sz w:val="14"/>
                <w:szCs w:val="14"/>
                <w:color w:val="auto"/>
              </w:rPr>
            </w:pPr>
          </w:p>
        </w:tc>
        <w:tc>
          <w:tcPr>
            <w:tcW w:w="360" w:type="dxa"/>
            <w:vAlign w:val="bottom"/>
            <w:shd w:val="clear" w:color="auto" w:fill="B4C5E7"/>
          </w:tcPr>
          <w:p>
            <w:pPr>
              <w:spacing w:after="0"/>
              <w:rPr>
                <w:sz w:val="14"/>
                <w:szCs w:val="14"/>
                <w:color w:val="auto"/>
              </w:rPr>
            </w:pPr>
          </w:p>
        </w:tc>
        <w:tc>
          <w:tcPr>
            <w:tcW w:w="840" w:type="dxa"/>
            <w:vAlign w:val="bottom"/>
            <w:shd w:val="clear" w:color="auto" w:fill="B4C5E7"/>
          </w:tcPr>
          <w:p>
            <w:pPr>
              <w:spacing w:after="0"/>
              <w:rPr>
                <w:sz w:val="14"/>
                <w:szCs w:val="14"/>
                <w:color w:val="auto"/>
              </w:rPr>
            </w:pPr>
          </w:p>
        </w:tc>
        <w:tc>
          <w:tcPr>
            <w:tcW w:w="320" w:type="dxa"/>
            <w:vAlign w:val="bottom"/>
            <w:tcBorders>
              <w:right w:val="single" w:sz="8" w:color="auto"/>
            </w:tcBorders>
            <w:shd w:val="clear" w:color="auto" w:fill="B4C5E7"/>
          </w:tcPr>
          <w:p>
            <w:pPr>
              <w:spacing w:after="0"/>
              <w:rPr>
                <w:sz w:val="14"/>
                <w:szCs w:val="14"/>
                <w:color w:val="auto"/>
              </w:rPr>
            </w:pPr>
          </w:p>
        </w:tc>
        <w:tc>
          <w:tcPr>
            <w:tcW w:w="1780" w:type="dxa"/>
            <w:vAlign w:val="bottom"/>
            <w:tcBorders>
              <w:right w:val="single" w:sz="8" w:color="auto"/>
            </w:tcBorders>
            <w:shd w:val="clear" w:color="auto" w:fill="B4C5E7"/>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860" w:type="dxa"/>
            <w:vAlign w:val="bottom"/>
            <w:tcBorders>
              <w:left w:val="single" w:sz="8" w:color="auto"/>
              <w:bottom w:val="single" w:sz="8" w:color="B4C5E7"/>
              <w:right w:val="single" w:sz="8" w:color="auto"/>
            </w:tcBorders>
            <w:vMerge w:val="restart"/>
            <w:shd w:val="clear" w:color="auto" w:fill="B4C5E7"/>
          </w:tcPr>
          <w:p>
            <w:pPr>
              <w:jc w:val="center"/>
              <w:spacing w:after="0"/>
              <w:rPr>
                <w:sz w:val="20"/>
                <w:szCs w:val="20"/>
                <w:color w:val="auto"/>
              </w:rPr>
            </w:pPr>
            <w:r>
              <w:rPr>
                <w:rFonts w:ascii="Arial" w:cs="Arial" w:eastAsia="Arial" w:hAnsi="Arial"/>
                <w:sz w:val="16"/>
                <w:szCs w:val="16"/>
                <w:b w:val="1"/>
                <w:bCs w:val="1"/>
                <w:i w:val="1"/>
                <w:iCs w:val="1"/>
                <w:color w:val="auto"/>
                <w:w w:val="97"/>
              </w:rPr>
              <w:t>Locations/Volume Scenario</w:t>
            </w:r>
          </w:p>
        </w:tc>
        <w:tc>
          <w:tcPr>
            <w:tcW w:w="540" w:type="dxa"/>
            <w:vAlign w:val="bottom"/>
            <w:tcBorders>
              <w:bottom w:val="single" w:sz="8" w:color="auto"/>
            </w:tcBorders>
            <w:shd w:val="clear" w:color="auto" w:fill="B4C5E7"/>
          </w:tcPr>
          <w:p>
            <w:pPr>
              <w:spacing w:after="0"/>
              <w:rPr>
                <w:sz w:val="9"/>
                <w:szCs w:val="9"/>
                <w:color w:val="auto"/>
              </w:rPr>
            </w:pPr>
          </w:p>
        </w:tc>
        <w:tc>
          <w:tcPr>
            <w:tcW w:w="1300" w:type="dxa"/>
            <w:vAlign w:val="bottom"/>
            <w:tcBorders>
              <w:bottom w:val="single" w:sz="8" w:color="auto"/>
            </w:tcBorders>
            <w:shd w:val="clear" w:color="auto" w:fill="B4C5E7"/>
          </w:tcPr>
          <w:p>
            <w:pPr>
              <w:spacing w:after="0"/>
              <w:rPr>
                <w:sz w:val="9"/>
                <w:szCs w:val="9"/>
                <w:color w:val="auto"/>
              </w:rPr>
            </w:pPr>
          </w:p>
        </w:tc>
        <w:tc>
          <w:tcPr>
            <w:tcW w:w="140" w:type="dxa"/>
            <w:vAlign w:val="bottom"/>
            <w:tcBorders>
              <w:bottom w:val="single" w:sz="8" w:color="auto"/>
              <w:right w:val="single" w:sz="8" w:color="auto"/>
            </w:tcBorders>
            <w:shd w:val="clear" w:color="auto" w:fill="B4C5E7"/>
          </w:tcPr>
          <w:p>
            <w:pPr>
              <w:spacing w:after="0"/>
              <w:rPr>
                <w:sz w:val="9"/>
                <w:szCs w:val="9"/>
                <w:color w:val="auto"/>
              </w:rPr>
            </w:pPr>
          </w:p>
        </w:tc>
        <w:tc>
          <w:tcPr>
            <w:tcW w:w="400" w:type="dxa"/>
            <w:vAlign w:val="bottom"/>
            <w:tcBorders>
              <w:bottom w:val="single" w:sz="8" w:color="auto"/>
            </w:tcBorders>
            <w:shd w:val="clear" w:color="auto" w:fill="B4C5E7"/>
          </w:tcPr>
          <w:p>
            <w:pPr>
              <w:spacing w:after="0"/>
              <w:rPr>
                <w:sz w:val="9"/>
                <w:szCs w:val="9"/>
                <w:color w:val="auto"/>
              </w:rPr>
            </w:pPr>
          </w:p>
        </w:tc>
        <w:tc>
          <w:tcPr>
            <w:tcW w:w="1140" w:type="dxa"/>
            <w:vAlign w:val="bottom"/>
            <w:tcBorders>
              <w:bottom w:val="single" w:sz="8" w:color="auto"/>
              <w:right w:val="single" w:sz="8" w:color="auto"/>
            </w:tcBorders>
            <w:shd w:val="clear" w:color="auto" w:fill="B4C5E7"/>
          </w:tcPr>
          <w:p>
            <w:pPr>
              <w:spacing w:after="0"/>
              <w:rPr>
                <w:sz w:val="9"/>
                <w:szCs w:val="9"/>
                <w:color w:val="auto"/>
              </w:rPr>
            </w:pPr>
          </w:p>
        </w:tc>
        <w:tc>
          <w:tcPr>
            <w:tcW w:w="380" w:type="dxa"/>
            <w:vAlign w:val="bottom"/>
            <w:tcBorders>
              <w:bottom w:val="single" w:sz="8" w:color="auto"/>
            </w:tcBorders>
            <w:shd w:val="clear" w:color="auto" w:fill="B4C5E7"/>
          </w:tcPr>
          <w:p>
            <w:pPr>
              <w:spacing w:after="0"/>
              <w:rPr>
                <w:sz w:val="9"/>
                <w:szCs w:val="9"/>
                <w:color w:val="auto"/>
              </w:rPr>
            </w:pPr>
          </w:p>
        </w:tc>
        <w:tc>
          <w:tcPr>
            <w:tcW w:w="1220" w:type="dxa"/>
            <w:vAlign w:val="bottom"/>
            <w:tcBorders>
              <w:bottom w:val="single" w:sz="8" w:color="auto"/>
              <w:right w:val="single" w:sz="8" w:color="auto"/>
            </w:tcBorders>
            <w:shd w:val="clear" w:color="auto" w:fill="B4C5E7"/>
          </w:tcPr>
          <w:p>
            <w:pPr>
              <w:spacing w:after="0"/>
              <w:rPr>
                <w:sz w:val="9"/>
                <w:szCs w:val="9"/>
                <w:color w:val="auto"/>
              </w:rPr>
            </w:pPr>
          </w:p>
        </w:tc>
        <w:tc>
          <w:tcPr>
            <w:tcW w:w="20" w:type="dxa"/>
            <w:vAlign w:val="bottom"/>
            <w:tcBorders>
              <w:bottom w:val="single" w:sz="8" w:color="auto"/>
            </w:tcBorders>
            <w:shd w:val="clear" w:color="auto" w:fill="B4C5E7"/>
          </w:tcPr>
          <w:p>
            <w:pPr>
              <w:spacing w:after="0"/>
              <w:rPr>
                <w:sz w:val="9"/>
                <w:szCs w:val="9"/>
                <w:color w:val="auto"/>
              </w:rPr>
            </w:pPr>
          </w:p>
        </w:tc>
        <w:tc>
          <w:tcPr>
            <w:tcW w:w="360" w:type="dxa"/>
            <w:vAlign w:val="bottom"/>
            <w:tcBorders>
              <w:bottom w:val="single" w:sz="8" w:color="auto"/>
            </w:tcBorders>
            <w:shd w:val="clear" w:color="auto" w:fill="B4C5E7"/>
          </w:tcPr>
          <w:p>
            <w:pPr>
              <w:spacing w:after="0"/>
              <w:rPr>
                <w:sz w:val="9"/>
                <w:szCs w:val="9"/>
                <w:color w:val="auto"/>
              </w:rPr>
            </w:pPr>
          </w:p>
        </w:tc>
        <w:tc>
          <w:tcPr>
            <w:tcW w:w="840" w:type="dxa"/>
            <w:vAlign w:val="bottom"/>
            <w:tcBorders>
              <w:bottom w:val="single" w:sz="8" w:color="auto"/>
            </w:tcBorders>
            <w:shd w:val="clear" w:color="auto" w:fill="B4C5E7"/>
          </w:tcPr>
          <w:p>
            <w:pPr>
              <w:spacing w:after="0"/>
              <w:rPr>
                <w:sz w:val="9"/>
                <w:szCs w:val="9"/>
                <w:color w:val="auto"/>
              </w:rPr>
            </w:pPr>
          </w:p>
        </w:tc>
        <w:tc>
          <w:tcPr>
            <w:tcW w:w="320" w:type="dxa"/>
            <w:vAlign w:val="bottom"/>
            <w:tcBorders>
              <w:bottom w:val="single" w:sz="8" w:color="auto"/>
              <w:right w:val="single" w:sz="8" w:color="auto"/>
            </w:tcBorders>
            <w:shd w:val="clear" w:color="auto" w:fill="B4C5E7"/>
          </w:tcPr>
          <w:p>
            <w:pPr>
              <w:spacing w:after="0"/>
              <w:rPr>
                <w:sz w:val="9"/>
                <w:szCs w:val="9"/>
                <w:color w:val="auto"/>
              </w:rPr>
            </w:pPr>
          </w:p>
        </w:tc>
        <w:tc>
          <w:tcPr>
            <w:tcW w:w="1780" w:type="dxa"/>
            <w:vAlign w:val="bottom"/>
            <w:tcBorders>
              <w:bottom w:val="single" w:sz="8" w:color="B4C5E7"/>
              <w:right w:val="single" w:sz="8" w:color="auto"/>
            </w:tcBorders>
            <w:vMerge w:val="restart"/>
            <w:shd w:val="clear" w:color="auto" w:fill="B4C5E7"/>
          </w:tcPr>
          <w:p>
            <w:pPr>
              <w:jc w:val="right"/>
              <w:ind w:right="550"/>
              <w:spacing w:after="0"/>
              <w:rPr>
                <w:sz w:val="20"/>
                <w:szCs w:val="20"/>
                <w:color w:val="auto"/>
              </w:rPr>
            </w:pPr>
            <w:r>
              <w:rPr>
                <w:rFonts w:ascii="Arial" w:cs="Arial" w:eastAsia="Arial" w:hAnsi="Arial"/>
                <w:sz w:val="16"/>
                <w:szCs w:val="16"/>
                <w:b w:val="1"/>
                <w:bCs w:val="1"/>
                <w:i w:val="1"/>
                <w:iCs w:val="1"/>
                <w:color w:val="auto"/>
              </w:rPr>
              <w:t>Remark</w:t>
            </w:r>
          </w:p>
        </w:tc>
        <w:tc>
          <w:tcPr>
            <w:tcW w:w="0" w:type="dxa"/>
            <w:vAlign w:val="bottom"/>
          </w:tcPr>
          <w:p>
            <w:pPr>
              <w:spacing w:after="0"/>
              <w:rPr>
                <w:sz w:val="1"/>
                <w:szCs w:val="1"/>
                <w:color w:val="auto"/>
              </w:rPr>
            </w:pPr>
          </w:p>
        </w:tc>
      </w:tr>
      <w:tr>
        <w:trPr>
          <w:trHeight w:val="133"/>
        </w:trPr>
        <w:tc>
          <w:tcPr>
            <w:tcW w:w="2860" w:type="dxa"/>
            <w:vAlign w:val="bottom"/>
            <w:tcBorders>
              <w:left w:val="single" w:sz="8" w:color="auto"/>
              <w:right w:val="single" w:sz="8" w:color="auto"/>
            </w:tcBorders>
            <w:vMerge w:val="continue"/>
            <w:shd w:val="clear" w:color="auto" w:fill="B4C5E7"/>
          </w:tcPr>
          <w:p>
            <w:pPr>
              <w:spacing w:after="0"/>
              <w:rPr>
                <w:sz w:val="11"/>
                <w:szCs w:val="11"/>
                <w:color w:val="auto"/>
              </w:rPr>
            </w:pPr>
          </w:p>
        </w:tc>
        <w:tc>
          <w:tcPr>
            <w:tcW w:w="540" w:type="dxa"/>
            <w:vAlign w:val="bottom"/>
            <w:shd w:val="clear" w:color="auto" w:fill="B4C5E7"/>
          </w:tcPr>
          <w:p>
            <w:pPr>
              <w:spacing w:after="0"/>
              <w:rPr>
                <w:sz w:val="11"/>
                <w:szCs w:val="11"/>
                <w:color w:val="auto"/>
              </w:rPr>
            </w:pPr>
          </w:p>
        </w:tc>
        <w:tc>
          <w:tcPr>
            <w:tcW w:w="1300" w:type="dxa"/>
            <w:vAlign w:val="bottom"/>
            <w:vMerge w:val="restart"/>
            <w:shd w:val="clear" w:color="auto" w:fill="B4C5E7"/>
          </w:tcPr>
          <w:p>
            <w:pPr>
              <w:ind w:left="120"/>
              <w:spacing w:after="0"/>
              <w:rPr>
                <w:sz w:val="20"/>
                <w:szCs w:val="20"/>
                <w:color w:val="auto"/>
              </w:rPr>
            </w:pPr>
            <w:r>
              <w:rPr>
                <w:rFonts w:ascii="Arial" w:cs="Arial" w:eastAsia="Arial" w:hAnsi="Arial"/>
                <w:sz w:val="16"/>
                <w:szCs w:val="16"/>
                <w:b w:val="1"/>
                <w:bCs w:val="1"/>
                <w:i w:val="1"/>
                <w:iCs w:val="1"/>
                <w:color w:val="auto"/>
              </w:rPr>
              <w:t>Chennai</w:t>
            </w:r>
          </w:p>
        </w:tc>
        <w:tc>
          <w:tcPr>
            <w:tcW w:w="140" w:type="dxa"/>
            <w:vAlign w:val="bottom"/>
            <w:tcBorders>
              <w:right w:val="single" w:sz="8" w:color="auto"/>
            </w:tcBorders>
            <w:shd w:val="clear" w:color="auto" w:fill="B4C5E7"/>
          </w:tcPr>
          <w:p>
            <w:pPr>
              <w:spacing w:after="0"/>
              <w:rPr>
                <w:sz w:val="11"/>
                <w:szCs w:val="11"/>
                <w:color w:val="auto"/>
              </w:rPr>
            </w:pPr>
          </w:p>
        </w:tc>
        <w:tc>
          <w:tcPr>
            <w:tcW w:w="400" w:type="dxa"/>
            <w:vAlign w:val="bottom"/>
            <w:shd w:val="clear" w:color="auto" w:fill="B4C5E7"/>
          </w:tcPr>
          <w:p>
            <w:pPr>
              <w:spacing w:after="0"/>
              <w:rPr>
                <w:sz w:val="11"/>
                <w:szCs w:val="11"/>
                <w:color w:val="auto"/>
              </w:rPr>
            </w:pPr>
          </w:p>
        </w:tc>
        <w:tc>
          <w:tcPr>
            <w:tcW w:w="1140" w:type="dxa"/>
            <w:vAlign w:val="bottom"/>
            <w:tcBorders>
              <w:right w:val="single" w:sz="8" w:color="auto"/>
            </w:tcBorders>
            <w:vMerge w:val="restart"/>
            <w:shd w:val="clear" w:color="auto" w:fill="B4C5E7"/>
          </w:tcPr>
          <w:p>
            <w:pPr>
              <w:jc w:val="right"/>
              <w:ind w:right="424"/>
              <w:spacing w:after="0"/>
              <w:rPr>
                <w:sz w:val="20"/>
                <w:szCs w:val="20"/>
                <w:color w:val="auto"/>
              </w:rPr>
            </w:pPr>
            <w:r>
              <w:rPr>
                <w:rFonts w:ascii="Arial" w:cs="Arial" w:eastAsia="Arial" w:hAnsi="Arial"/>
                <w:sz w:val="16"/>
                <w:szCs w:val="16"/>
                <w:b w:val="1"/>
                <w:bCs w:val="1"/>
                <w:i w:val="1"/>
                <w:iCs w:val="1"/>
                <w:color w:val="auto"/>
              </w:rPr>
              <w:t>Chennai</w:t>
            </w:r>
          </w:p>
        </w:tc>
        <w:tc>
          <w:tcPr>
            <w:tcW w:w="1600" w:type="dxa"/>
            <w:vAlign w:val="bottom"/>
            <w:tcBorders>
              <w:right w:val="single" w:sz="8" w:color="auto"/>
            </w:tcBorders>
            <w:gridSpan w:val="2"/>
            <w:vMerge w:val="restart"/>
            <w:shd w:val="clear" w:color="auto" w:fill="B4C5E7"/>
          </w:tcPr>
          <w:p>
            <w:pPr>
              <w:spacing w:after="0"/>
              <w:rPr>
                <w:sz w:val="20"/>
                <w:szCs w:val="20"/>
                <w:color w:val="auto"/>
              </w:rPr>
            </w:pPr>
            <w:r>
              <w:rPr>
                <w:rFonts w:ascii="Arial" w:cs="Arial" w:eastAsia="Arial" w:hAnsi="Arial"/>
                <w:sz w:val="16"/>
                <w:szCs w:val="16"/>
                <w:b w:val="1"/>
                <w:bCs w:val="1"/>
                <w:i w:val="1"/>
                <w:iCs w:val="1"/>
                <w:color w:val="auto"/>
              </w:rPr>
              <w:t>Chennai</w:t>
            </w:r>
          </w:p>
        </w:tc>
        <w:tc>
          <w:tcPr>
            <w:tcW w:w="20" w:type="dxa"/>
            <w:vAlign w:val="bottom"/>
            <w:shd w:val="clear" w:color="auto" w:fill="B4C5E7"/>
          </w:tcPr>
          <w:p>
            <w:pPr>
              <w:spacing w:after="0"/>
              <w:rPr>
                <w:sz w:val="11"/>
                <w:szCs w:val="11"/>
                <w:color w:val="auto"/>
              </w:rPr>
            </w:pPr>
          </w:p>
        </w:tc>
        <w:tc>
          <w:tcPr>
            <w:tcW w:w="360" w:type="dxa"/>
            <w:vAlign w:val="bottom"/>
            <w:shd w:val="clear" w:color="auto" w:fill="B4C5E7"/>
          </w:tcPr>
          <w:p>
            <w:pPr>
              <w:spacing w:after="0"/>
              <w:rPr>
                <w:sz w:val="11"/>
                <w:szCs w:val="11"/>
                <w:color w:val="auto"/>
              </w:rPr>
            </w:pPr>
          </w:p>
        </w:tc>
        <w:tc>
          <w:tcPr>
            <w:tcW w:w="840" w:type="dxa"/>
            <w:vAlign w:val="bottom"/>
            <w:vMerge w:val="restart"/>
            <w:shd w:val="clear" w:color="auto" w:fill="B4C5E7"/>
          </w:tcPr>
          <w:p>
            <w:pPr>
              <w:jc w:val="right"/>
              <w:ind w:right="88"/>
              <w:spacing w:after="0"/>
              <w:rPr>
                <w:sz w:val="20"/>
                <w:szCs w:val="20"/>
                <w:color w:val="auto"/>
              </w:rPr>
            </w:pPr>
            <w:r>
              <w:rPr>
                <w:rFonts w:ascii="Arial" w:cs="Arial" w:eastAsia="Arial" w:hAnsi="Arial"/>
                <w:sz w:val="16"/>
                <w:szCs w:val="16"/>
                <w:b w:val="1"/>
                <w:bCs w:val="1"/>
                <w:i w:val="1"/>
                <w:iCs w:val="1"/>
                <w:color w:val="auto"/>
              </w:rPr>
              <w:t>Chennai</w:t>
            </w:r>
          </w:p>
        </w:tc>
        <w:tc>
          <w:tcPr>
            <w:tcW w:w="320" w:type="dxa"/>
            <w:vAlign w:val="bottom"/>
            <w:tcBorders>
              <w:right w:val="single" w:sz="8" w:color="auto"/>
            </w:tcBorders>
            <w:shd w:val="clear" w:color="auto" w:fill="B4C5E7"/>
          </w:tcPr>
          <w:p>
            <w:pPr>
              <w:spacing w:after="0"/>
              <w:rPr>
                <w:sz w:val="11"/>
                <w:szCs w:val="11"/>
                <w:color w:val="auto"/>
              </w:rPr>
            </w:pPr>
          </w:p>
        </w:tc>
        <w:tc>
          <w:tcPr>
            <w:tcW w:w="1780" w:type="dxa"/>
            <w:vAlign w:val="bottom"/>
            <w:tcBorders>
              <w:right w:val="single" w:sz="8" w:color="auto"/>
            </w:tcBorders>
            <w:vMerge w:val="continue"/>
            <w:shd w:val="clear" w:color="auto" w:fill="B4C5E7"/>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60" w:type="dxa"/>
            <w:vAlign w:val="bottom"/>
            <w:tcBorders>
              <w:left w:val="single" w:sz="8" w:color="auto"/>
              <w:bottom w:val="single" w:sz="8" w:color="B4C5E7"/>
              <w:right w:val="single" w:sz="8" w:color="auto"/>
            </w:tcBorders>
            <w:shd w:val="clear" w:color="auto" w:fill="B4C5E7"/>
          </w:tcPr>
          <w:p>
            <w:pPr>
              <w:spacing w:after="0"/>
              <w:rPr>
                <w:sz w:val="7"/>
                <w:szCs w:val="7"/>
                <w:color w:val="auto"/>
              </w:rPr>
            </w:pPr>
          </w:p>
        </w:tc>
        <w:tc>
          <w:tcPr>
            <w:tcW w:w="540" w:type="dxa"/>
            <w:vAlign w:val="bottom"/>
            <w:tcBorders>
              <w:bottom w:val="single" w:sz="8" w:color="auto"/>
            </w:tcBorders>
            <w:shd w:val="clear" w:color="auto" w:fill="B4C5E7"/>
          </w:tcPr>
          <w:p>
            <w:pPr>
              <w:spacing w:after="0"/>
              <w:rPr>
                <w:sz w:val="7"/>
                <w:szCs w:val="7"/>
                <w:color w:val="auto"/>
              </w:rPr>
            </w:pPr>
          </w:p>
        </w:tc>
        <w:tc>
          <w:tcPr>
            <w:tcW w:w="1300" w:type="dxa"/>
            <w:vAlign w:val="bottom"/>
            <w:tcBorders>
              <w:bottom w:val="single" w:sz="8" w:color="auto"/>
            </w:tcBorders>
            <w:vMerge w:val="continue"/>
            <w:shd w:val="clear" w:color="auto" w:fill="B4C5E7"/>
          </w:tcPr>
          <w:p>
            <w:pPr>
              <w:spacing w:after="0"/>
              <w:rPr>
                <w:sz w:val="7"/>
                <w:szCs w:val="7"/>
                <w:color w:val="auto"/>
              </w:rPr>
            </w:pPr>
          </w:p>
        </w:tc>
        <w:tc>
          <w:tcPr>
            <w:tcW w:w="140" w:type="dxa"/>
            <w:vAlign w:val="bottom"/>
            <w:tcBorders>
              <w:bottom w:val="single" w:sz="8" w:color="auto"/>
              <w:right w:val="single" w:sz="8" w:color="auto"/>
            </w:tcBorders>
            <w:shd w:val="clear" w:color="auto" w:fill="B4C5E7"/>
          </w:tcPr>
          <w:p>
            <w:pPr>
              <w:spacing w:after="0"/>
              <w:rPr>
                <w:sz w:val="7"/>
                <w:szCs w:val="7"/>
                <w:color w:val="auto"/>
              </w:rPr>
            </w:pPr>
          </w:p>
        </w:tc>
        <w:tc>
          <w:tcPr>
            <w:tcW w:w="400" w:type="dxa"/>
            <w:vAlign w:val="bottom"/>
            <w:tcBorders>
              <w:bottom w:val="single" w:sz="8" w:color="auto"/>
            </w:tcBorders>
            <w:shd w:val="clear" w:color="auto" w:fill="B4C5E7"/>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B4C5E7"/>
          </w:tcPr>
          <w:p>
            <w:pPr>
              <w:spacing w:after="0"/>
              <w:rPr>
                <w:sz w:val="7"/>
                <w:szCs w:val="7"/>
                <w:color w:val="auto"/>
              </w:rPr>
            </w:pPr>
          </w:p>
        </w:tc>
        <w:tc>
          <w:tcPr>
            <w:tcW w:w="1600" w:type="dxa"/>
            <w:vAlign w:val="bottom"/>
            <w:tcBorders>
              <w:bottom w:val="single" w:sz="8" w:color="auto"/>
              <w:right w:val="single" w:sz="8" w:color="auto"/>
            </w:tcBorders>
            <w:gridSpan w:val="2"/>
            <w:vMerge w:val="continue"/>
            <w:shd w:val="clear" w:color="auto" w:fill="B4C5E7"/>
          </w:tcPr>
          <w:p>
            <w:pPr>
              <w:spacing w:after="0"/>
              <w:rPr>
                <w:sz w:val="7"/>
                <w:szCs w:val="7"/>
                <w:color w:val="auto"/>
              </w:rPr>
            </w:pPr>
          </w:p>
        </w:tc>
        <w:tc>
          <w:tcPr>
            <w:tcW w:w="20" w:type="dxa"/>
            <w:vAlign w:val="bottom"/>
            <w:tcBorders>
              <w:bottom w:val="single" w:sz="8" w:color="auto"/>
            </w:tcBorders>
            <w:shd w:val="clear" w:color="auto" w:fill="B4C5E7"/>
          </w:tcPr>
          <w:p>
            <w:pPr>
              <w:spacing w:after="0"/>
              <w:rPr>
                <w:sz w:val="7"/>
                <w:szCs w:val="7"/>
                <w:color w:val="auto"/>
              </w:rPr>
            </w:pPr>
          </w:p>
        </w:tc>
        <w:tc>
          <w:tcPr>
            <w:tcW w:w="360" w:type="dxa"/>
            <w:vAlign w:val="bottom"/>
            <w:tcBorders>
              <w:bottom w:val="single" w:sz="8" w:color="auto"/>
            </w:tcBorders>
            <w:shd w:val="clear" w:color="auto" w:fill="B4C5E7"/>
          </w:tcPr>
          <w:p>
            <w:pPr>
              <w:spacing w:after="0"/>
              <w:rPr>
                <w:sz w:val="7"/>
                <w:szCs w:val="7"/>
                <w:color w:val="auto"/>
              </w:rPr>
            </w:pPr>
          </w:p>
        </w:tc>
        <w:tc>
          <w:tcPr>
            <w:tcW w:w="840" w:type="dxa"/>
            <w:vAlign w:val="bottom"/>
            <w:tcBorders>
              <w:bottom w:val="single" w:sz="8" w:color="auto"/>
            </w:tcBorders>
            <w:vMerge w:val="continue"/>
            <w:shd w:val="clear" w:color="auto" w:fill="B4C5E7"/>
          </w:tcPr>
          <w:p>
            <w:pPr>
              <w:spacing w:after="0"/>
              <w:rPr>
                <w:sz w:val="7"/>
                <w:szCs w:val="7"/>
                <w:color w:val="auto"/>
              </w:rPr>
            </w:pPr>
          </w:p>
        </w:tc>
        <w:tc>
          <w:tcPr>
            <w:tcW w:w="320" w:type="dxa"/>
            <w:vAlign w:val="bottom"/>
            <w:tcBorders>
              <w:bottom w:val="single" w:sz="8" w:color="auto"/>
              <w:right w:val="single" w:sz="8" w:color="auto"/>
            </w:tcBorders>
            <w:shd w:val="clear" w:color="auto" w:fill="B4C5E7"/>
          </w:tcPr>
          <w:p>
            <w:pPr>
              <w:spacing w:after="0"/>
              <w:rPr>
                <w:sz w:val="7"/>
                <w:szCs w:val="7"/>
                <w:color w:val="auto"/>
              </w:rPr>
            </w:pPr>
          </w:p>
        </w:tc>
        <w:tc>
          <w:tcPr>
            <w:tcW w:w="1780" w:type="dxa"/>
            <w:vAlign w:val="bottom"/>
            <w:tcBorders>
              <w:bottom w:val="single" w:sz="8" w:color="B4C5E7"/>
              <w:right w:val="single" w:sz="8" w:color="auto"/>
            </w:tcBorders>
            <w:shd w:val="clear" w:color="auto" w:fill="B4C5E7"/>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860" w:type="dxa"/>
            <w:vAlign w:val="bottom"/>
            <w:tcBorders>
              <w:left w:val="single" w:sz="8" w:color="auto"/>
              <w:right w:val="single" w:sz="8" w:color="auto"/>
            </w:tcBorders>
            <w:shd w:val="clear" w:color="auto" w:fill="B4C5E7"/>
          </w:tcPr>
          <w:p>
            <w:pPr>
              <w:spacing w:after="0"/>
              <w:rPr>
                <w:sz w:val="19"/>
                <w:szCs w:val="19"/>
                <w:color w:val="auto"/>
              </w:rPr>
            </w:pPr>
          </w:p>
        </w:tc>
        <w:tc>
          <w:tcPr>
            <w:tcW w:w="1840" w:type="dxa"/>
            <w:vAlign w:val="bottom"/>
            <w:gridSpan w:val="2"/>
            <w:shd w:val="clear" w:color="auto" w:fill="B4C5E7"/>
          </w:tcPr>
          <w:p>
            <w:pPr>
              <w:spacing w:after="0"/>
              <w:rPr>
                <w:sz w:val="20"/>
                <w:szCs w:val="20"/>
                <w:color w:val="auto"/>
              </w:rPr>
            </w:pPr>
            <w:r>
              <w:rPr>
                <w:rFonts w:ascii="Arial" w:cs="Arial" w:eastAsia="Arial" w:hAnsi="Arial"/>
                <w:sz w:val="16"/>
                <w:szCs w:val="16"/>
                <w:b w:val="1"/>
                <w:bCs w:val="1"/>
                <w:color w:val="auto"/>
              </w:rPr>
              <w:t>[*]pcs/Quarter</w:t>
            </w:r>
          </w:p>
        </w:tc>
        <w:tc>
          <w:tcPr>
            <w:tcW w:w="140" w:type="dxa"/>
            <w:vAlign w:val="bottom"/>
            <w:tcBorders>
              <w:right w:val="single" w:sz="8" w:color="auto"/>
            </w:tcBorders>
            <w:shd w:val="clear" w:color="auto" w:fill="B4C5E7"/>
          </w:tcPr>
          <w:p>
            <w:pPr>
              <w:spacing w:after="0"/>
              <w:rPr>
                <w:sz w:val="19"/>
                <w:szCs w:val="19"/>
                <w:color w:val="auto"/>
              </w:rPr>
            </w:pPr>
          </w:p>
        </w:tc>
        <w:tc>
          <w:tcPr>
            <w:tcW w:w="1540" w:type="dxa"/>
            <w:vAlign w:val="bottom"/>
            <w:tcBorders>
              <w:right w:val="single" w:sz="8" w:color="auto"/>
            </w:tcBorders>
            <w:gridSpan w:val="2"/>
            <w:shd w:val="clear" w:color="auto" w:fill="B4C5E7"/>
          </w:tcPr>
          <w:p>
            <w:pPr>
              <w:jc w:val="right"/>
              <w:ind w:right="424"/>
              <w:spacing w:after="0"/>
              <w:rPr>
                <w:sz w:val="20"/>
                <w:szCs w:val="20"/>
                <w:color w:val="auto"/>
              </w:rPr>
            </w:pPr>
            <w:r>
              <w:rPr>
                <w:rFonts w:ascii="Arial" w:cs="Arial" w:eastAsia="Arial" w:hAnsi="Arial"/>
                <w:sz w:val="16"/>
                <w:szCs w:val="16"/>
                <w:b w:val="1"/>
                <w:bCs w:val="1"/>
                <w:color w:val="auto"/>
                <w:w w:val="97"/>
              </w:rPr>
              <w:t>[*]</w:t>
            </w:r>
            <w:r>
              <w:rPr>
                <w:rFonts w:ascii="Arial" w:cs="Arial" w:eastAsia="Arial" w:hAnsi="Arial"/>
                <w:sz w:val="16"/>
                <w:szCs w:val="16"/>
                <w:b w:val="1"/>
                <w:bCs w:val="1"/>
                <w:i w:val="1"/>
                <w:iCs w:val="1"/>
                <w:color w:val="auto"/>
                <w:w w:val="97"/>
              </w:rPr>
              <w:t>pcs/Quarter</w:t>
            </w:r>
          </w:p>
        </w:tc>
        <w:tc>
          <w:tcPr>
            <w:tcW w:w="1600" w:type="dxa"/>
            <w:vAlign w:val="bottom"/>
            <w:tcBorders>
              <w:right w:val="single" w:sz="8" w:color="auto"/>
            </w:tcBorders>
            <w:gridSpan w:val="2"/>
            <w:shd w:val="clear" w:color="auto" w:fill="B4C5E7"/>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pcs/Quarter</w:t>
            </w:r>
          </w:p>
        </w:tc>
        <w:tc>
          <w:tcPr>
            <w:tcW w:w="1220" w:type="dxa"/>
            <w:vAlign w:val="bottom"/>
            <w:gridSpan w:val="3"/>
            <w:shd w:val="clear" w:color="auto" w:fill="B4C5E7"/>
          </w:tcPr>
          <w:p>
            <w:pPr>
              <w:spacing w:after="0"/>
              <w:rPr>
                <w:sz w:val="20"/>
                <w:szCs w:val="20"/>
                <w:color w:val="auto"/>
              </w:rPr>
            </w:pPr>
            <w:r>
              <w:rPr>
                <w:rFonts w:ascii="Arial" w:cs="Arial" w:eastAsia="Arial" w:hAnsi="Arial"/>
                <w:sz w:val="16"/>
                <w:szCs w:val="16"/>
                <w:b w:val="1"/>
                <w:bCs w:val="1"/>
                <w:color w:val="auto"/>
              </w:rPr>
              <w:t>[*]Kpcs/Quarter</w:t>
            </w:r>
          </w:p>
        </w:tc>
        <w:tc>
          <w:tcPr>
            <w:tcW w:w="320" w:type="dxa"/>
            <w:vAlign w:val="bottom"/>
            <w:tcBorders>
              <w:right w:val="single" w:sz="8" w:color="auto"/>
            </w:tcBorders>
            <w:shd w:val="clear" w:color="auto" w:fill="B4C5E7"/>
          </w:tcPr>
          <w:p>
            <w:pPr>
              <w:spacing w:after="0"/>
              <w:rPr>
                <w:sz w:val="19"/>
                <w:szCs w:val="19"/>
                <w:color w:val="auto"/>
              </w:rPr>
            </w:pPr>
          </w:p>
        </w:tc>
        <w:tc>
          <w:tcPr>
            <w:tcW w:w="1780" w:type="dxa"/>
            <w:vAlign w:val="bottom"/>
            <w:tcBorders>
              <w:right w:val="single" w:sz="8" w:color="auto"/>
            </w:tcBorders>
            <w:shd w:val="clear" w:color="auto" w:fill="B4C5E7"/>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60" w:type="dxa"/>
            <w:vAlign w:val="bottom"/>
            <w:tcBorders>
              <w:left w:val="single" w:sz="8" w:color="auto"/>
              <w:bottom w:val="single" w:sz="8" w:color="auto"/>
              <w:right w:val="single" w:sz="8" w:color="auto"/>
            </w:tcBorders>
            <w:shd w:val="clear" w:color="auto" w:fill="B4C5E7"/>
          </w:tcPr>
          <w:p>
            <w:pPr>
              <w:spacing w:after="0"/>
              <w:rPr>
                <w:sz w:val="16"/>
                <w:szCs w:val="16"/>
                <w:color w:val="auto"/>
              </w:rPr>
            </w:pPr>
          </w:p>
        </w:tc>
        <w:tc>
          <w:tcPr>
            <w:tcW w:w="540" w:type="dxa"/>
            <w:vAlign w:val="bottom"/>
            <w:tcBorders>
              <w:bottom w:val="single" w:sz="8" w:color="auto"/>
            </w:tcBorders>
            <w:shd w:val="clear" w:color="auto" w:fill="B4C5E7"/>
          </w:tcPr>
          <w:p>
            <w:pPr>
              <w:spacing w:after="0"/>
              <w:rPr>
                <w:sz w:val="16"/>
                <w:szCs w:val="16"/>
                <w:color w:val="auto"/>
              </w:rPr>
            </w:pPr>
          </w:p>
        </w:tc>
        <w:tc>
          <w:tcPr>
            <w:tcW w:w="1300" w:type="dxa"/>
            <w:vAlign w:val="bottom"/>
            <w:tcBorders>
              <w:bottom w:val="single" w:sz="8" w:color="auto"/>
            </w:tcBorders>
            <w:shd w:val="clear" w:color="auto" w:fill="B4C5E7"/>
          </w:tcPr>
          <w:p>
            <w:pPr>
              <w:spacing w:after="0"/>
              <w:rPr>
                <w:sz w:val="16"/>
                <w:szCs w:val="16"/>
                <w:color w:val="auto"/>
              </w:rPr>
            </w:pPr>
          </w:p>
        </w:tc>
        <w:tc>
          <w:tcPr>
            <w:tcW w:w="140" w:type="dxa"/>
            <w:vAlign w:val="bottom"/>
            <w:tcBorders>
              <w:bottom w:val="single" w:sz="8" w:color="auto"/>
              <w:right w:val="single" w:sz="8" w:color="auto"/>
            </w:tcBorders>
            <w:shd w:val="clear" w:color="auto" w:fill="B4C5E7"/>
          </w:tcPr>
          <w:p>
            <w:pPr>
              <w:spacing w:after="0"/>
              <w:rPr>
                <w:sz w:val="16"/>
                <w:szCs w:val="16"/>
                <w:color w:val="auto"/>
              </w:rPr>
            </w:pPr>
          </w:p>
        </w:tc>
        <w:tc>
          <w:tcPr>
            <w:tcW w:w="400" w:type="dxa"/>
            <w:vAlign w:val="bottom"/>
            <w:tcBorders>
              <w:bottom w:val="single" w:sz="8" w:color="auto"/>
            </w:tcBorders>
            <w:shd w:val="clear" w:color="auto" w:fill="B4C5E7"/>
          </w:tcPr>
          <w:p>
            <w:pPr>
              <w:spacing w:after="0"/>
              <w:rPr>
                <w:sz w:val="16"/>
                <w:szCs w:val="16"/>
                <w:color w:val="auto"/>
              </w:rPr>
            </w:pPr>
          </w:p>
        </w:tc>
        <w:tc>
          <w:tcPr>
            <w:tcW w:w="1140" w:type="dxa"/>
            <w:vAlign w:val="bottom"/>
            <w:tcBorders>
              <w:bottom w:val="single" w:sz="8" w:color="auto"/>
              <w:right w:val="single" w:sz="8" w:color="auto"/>
            </w:tcBorders>
            <w:shd w:val="clear" w:color="auto" w:fill="B4C5E7"/>
          </w:tcPr>
          <w:p>
            <w:pPr>
              <w:spacing w:after="0"/>
              <w:rPr>
                <w:sz w:val="16"/>
                <w:szCs w:val="16"/>
                <w:color w:val="auto"/>
              </w:rPr>
            </w:pPr>
          </w:p>
        </w:tc>
        <w:tc>
          <w:tcPr>
            <w:tcW w:w="380" w:type="dxa"/>
            <w:vAlign w:val="bottom"/>
            <w:tcBorders>
              <w:bottom w:val="single" w:sz="8" w:color="B4C5E7"/>
            </w:tcBorders>
            <w:shd w:val="clear" w:color="auto" w:fill="B4C5E7"/>
          </w:tcPr>
          <w:p>
            <w:pPr>
              <w:spacing w:after="0"/>
              <w:rPr>
                <w:sz w:val="16"/>
                <w:szCs w:val="16"/>
                <w:color w:val="auto"/>
              </w:rPr>
            </w:pPr>
          </w:p>
        </w:tc>
        <w:tc>
          <w:tcPr>
            <w:tcW w:w="1220" w:type="dxa"/>
            <w:vAlign w:val="bottom"/>
            <w:tcBorders>
              <w:bottom w:val="single" w:sz="8" w:color="B4C5E7"/>
              <w:right w:val="single" w:sz="8" w:color="auto"/>
            </w:tcBorders>
            <w:shd w:val="clear" w:color="auto" w:fill="B4C5E7"/>
          </w:tcPr>
          <w:p>
            <w:pPr>
              <w:spacing w:after="0"/>
              <w:rPr>
                <w:sz w:val="16"/>
                <w:szCs w:val="16"/>
                <w:color w:val="auto"/>
              </w:rPr>
            </w:pPr>
          </w:p>
        </w:tc>
        <w:tc>
          <w:tcPr>
            <w:tcW w:w="20" w:type="dxa"/>
            <w:vAlign w:val="bottom"/>
            <w:tcBorders>
              <w:bottom w:val="single" w:sz="8" w:color="auto"/>
            </w:tcBorders>
            <w:shd w:val="clear" w:color="auto" w:fill="B4C5E7"/>
          </w:tcPr>
          <w:p>
            <w:pPr>
              <w:spacing w:after="0"/>
              <w:rPr>
                <w:sz w:val="16"/>
                <w:szCs w:val="16"/>
                <w:color w:val="auto"/>
              </w:rPr>
            </w:pPr>
          </w:p>
        </w:tc>
        <w:tc>
          <w:tcPr>
            <w:tcW w:w="360" w:type="dxa"/>
            <w:vAlign w:val="bottom"/>
            <w:tcBorders>
              <w:bottom w:val="single" w:sz="8" w:color="auto"/>
            </w:tcBorders>
            <w:shd w:val="clear" w:color="auto" w:fill="B4C5E7"/>
          </w:tcPr>
          <w:p>
            <w:pPr>
              <w:spacing w:after="0"/>
              <w:rPr>
                <w:sz w:val="16"/>
                <w:szCs w:val="16"/>
                <w:color w:val="auto"/>
              </w:rPr>
            </w:pPr>
          </w:p>
        </w:tc>
        <w:tc>
          <w:tcPr>
            <w:tcW w:w="840" w:type="dxa"/>
            <w:vAlign w:val="bottom"/>
            <w:tcBorders>
              <w:bottom w:val="single" w:sz="8" w:color="auto"/>
            </w:tcBorders>
            <w:shd w:val="clear" w:color="auto" w:fill="B4C5E7"/>
          </w:tcPr>
          <w:p>
            <w:pPr>
              <w:spacing w:after="0"/>
              <w:rPr>
                <w:sz w:val="16"/>
                <w:szCs w:val="16"/>
                <w:color w:val="auto"/>
              </w:rPr>
            </w:pPr>
          </w:p>
        </w:tc>
        <w:tc>
          <w:tcPr>
            <w:tcW w:w="320" w:type="dxa"/>
            <w:vAlign w:val="bottom"/>
            <w:tcBorders>
              <w:bottom w:val="single" w:sz="8" w:color="auto"/>
              <w:right w:val="single" w:sz="8" w:color="auto"/>
            </w:tcBorders>
            <w:shd w:val="clear" w:color="auto" w:fill="B4C5E7"/>
          </w:tcPr>
          <w:p>
            <w:pPr>
              <w:spacing w:after="0"/>
              <w:rPr>
                <w:sz w:val="16"/>
                <w:szCs w:val="16"/>
                <w:color w:val="auto"/>
              </w:rPr>
            </w:pPr>
          </w:p>
        </w:tc>
        <w:tc>
          <w:tcPr>
            <w:tcW w:w="1780" w:type="dxa"/>
            <w:vAlign w:val="bottom"/>
            <w:tcBorders>
              <w:bottom w:val="single" w:sz="8" w:color="auto"/>
              <w:right w:val="single" w:sz="8" w:color="auto"/>
            </w:tcBorders>
            <w:shd w:val="clear" w:color="auto" w:fill="B4C5E7"/>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Raw Material Inbound Freight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48"/>
              <w:spacing w:after="0"/>
              <w:rPr>
                <w:sz w:val="20"/>
                <w:szCs w:val="20"/>
                <w:color w:val="auto"/>
              </w:rPr>
            </w:pPr>
            <w:r>
              <w:rPr>
                <w:rFonts w:ascii="Arial" w:cs="Arial" w:eastAsia="Arial" w:hAnsi="Arial"/>
                <w:sz w:val="16"/>
                <w:szCs w:val="16"/>
                <w:color w:val="auto"/>
              </w:rPr>
              <w:t>[*]</w:t>
            </w:r>
          </w:p>
        </w:tc>
        <w:tc>
          <w:tcPr>
            <w:tcW w:w="2100" w:type="dxa"/>
            <w:vAlign w:val="bottom"/>
            <w:tcBorders>
              <w:right w:val="single" w:sz="8" w:color="auto"/>
            </w:tcBorders>
            <w:gridSpan w:val="2"/>
          </w:tcPr>
          <w:p>
            <w:pPr>
              <w:jc w:val="right"/>
              <w:ind w:right="157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8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Finished-Good Outbound Freight</w:t>
            </w:r>
          </w:p>
        </w:tc>
        <w:tc>
          <w:tcPr>
            <w:tcW w:w="5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jc w:val="right"/>
              <w:ind w:right="46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vMerge w:val="restart"/>
          </w:tcPr>
          <w:p>
            <w:pPr>
              <w:jc w:val="right"/>
              <w:ind w:right="207"/>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vMerge w:val="restart"/>
          </w:tcPr>
          <w:p>
            <w:pPr>
              <w:jc w:val="right"/>
              <w:ind w:right="424"/>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right w:val="single" w:sz="8" w:color="auto"/>
            </w:tcBorders>
            <w:vMerge w:val="restart"/>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17"/>
                <w:szCs w:val="17"/>
                <w:color w:val="auto"/>
              </w:rPr>
            </w:pPr>
          </w:p>
        </w:tc>
        <w:tc>
          <w:tcPr>
            <w:tcW w:w="1780" w:type="dxa"/>
            <w:vAlign w:val="bottom"/>
            <w:tcBorders>
              <w:right w:val="single" w:sz="8" w:color="auto"/>
            </w:tcBorders>
          </w:tcPr>
          <w:p>
            <w:pPr>
              <w:jc w:val="right"/>
              <w:ind w:right="1570"/>
              <w:spacing w:after="0"/>
              <w:rPr>
                <w:sz w:val="20"/>
                <w:szCs w:val="20"/>
                <w:color w:val="auto"/>
              </w:rPr>
            </w:pPr>
            <w:r>
              <w:rPr>
                <w:rFonts w:ascii="Arial" w:cs="Arial" w:eastAsia="Arial" w:hAnsi="Arial"/>
                <w:sz w:val="16"/>
                <w:szCs w:val="16"/>
                <w:color w:val="auto"/>
                <w:w w:val="79"/>
              </w:rPr>
              <w:t>[*]</w:t>
            </w: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right w:val="single" w:sz="8" w:color="auto"/>
            </w:tcBorders>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0" w:type="dxa"/>
            <w:vAlign w:val="bottom"/>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860" w:type="dxa"/>
            <w:vAlign w:val="bottom"/>
            <w:tcBorders>
              <w:left w:val="single" w:sz="8" w:color="auto"/>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100" w:type="dxa"/>
            <w:vAlign w:val="bottom"/>
            <w:tcBorders>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Process Consumables</w:t>
            </w: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Direct Labors</w:t>
            </w: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Indirect Labors</w:t>
            </w: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Depreciation</w:t>
            </w: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1550"/>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Factory OverHead</w:t>
            </w: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SGA &amp; Profit</w:t>
            </w: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400" w:type="dxa"/>
            <w:vAlign w:val="bottom"/>
            <w:gridSpan w:val="2"/>
            <w:vMerge w:val="restart"/>
          </w:tcPr>
          <w:p>
            <w:pPr>
              <w:ind w:left="20"/>
              <w:spacing w:after="0"/>
              <w:rPr>
                <w:sz w:val="20"/>
                <w:szCs w:val="20"/>
                <w:color w:val="auto"/>
              </w:rPr>
            </w:pPr>
            <w:r>
              <w:rPr>
                <w:rFonts w:ascii="Arial" w:cs="Arial" w:eastAsia="Arial" w:hAnsi="Arial"/>
                <w:sz w:val="17"/>
                <w:szCs w:val="17"/>
                <w:color w:val="auto"/>
              </w:rPr>
              <w:t>Costed-BOM $ [*] $ [*] $ [*] $ [*] CBOM info</w:t>
            </w:r>
          </w:p>
        </w:tc>
        <w:tc>
          <w:tcPr>
            <w:tcW w:w="1300" w:type="dxa"/>
            <w:vAlign w:val="bottom"/>
            <w:vMerge w:val="restart"/>
          </w:tcPr>
          <w:p>
            <w:pPr>
              <w:ind w:left="480"/>
              <w:spacing w:after="0"/>
              <w:rPr>
                <w:sz w:val="20"/>
                <w:szCs w:val="20"/>
                <w:color w:val="auto"/>
              </w:rPr>
            </w:pPr>
            <w:r>
              <w:rPr>
                <w:rFonts w:ascii="Arial" w:cs="Arial" w:eastAsia="Arial" w:hAnsi="Arial"/>
                <w:sz w:val="17"/>
                <w:szCs w:val="17"/>
                <w:color w:val="auto"/>
              </w:rPr>
              <w:t>Costed-</w:t>
            </w: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80" w:type="dxa"/>
            <w:vAlign w:val="bottom"/>
            <w:vMerge w:val="restart"/>
          </w:tcPr>
          <w:p>
            <w:pPr>
              <w:jc w:val="right"/>
              <w:ind w:right="150"/>
              <w:spacing w:after="0"/>
              <w:rPr>
                <w:sz w:val="20"/>
                <w:szCs w:val="20"/>
                <w:color w:val="auto"/>
              </w:rPr>
            </w:pPr>
            <w:r>
              <w:rPr>
                <w:rFonts w:ascii="Arial" w:cs="Arial" w:eastAsia="Arial" w:hAnsi="Arial"/>
                <w:sz w:val="4"/>
                <w:szCs w:val="4"/>
                <w:color w:val="auto"/>
              </w:rPr>
              <w:t>Ye</w:t>
            </w:r>
            <w:r>
              <w:rPr>
                <w:rFonts w:ascii="Arial" w:cs="Arial" w:eastAsia="Arial" w:hAnsi="Arial"/>
                <w:sz w:val="16"/>
                <w:szCs w:val="16"/>
                <w:color w:val="auto"/>
                <w:vertAlign w:val="subscript"/>
              </w:rPr>
              <w:t>il</w:t>
            </w:r>
            <w:r>
              <w:rPr>
                <w:rFonts w:ascii="Arial" w:cs="Arial" w:eastAsia="Arial" w:hAnsi="Arial"/>
                <w:sz w:val="4"/>
                <w:szCs w:val="4"/>
                <w:color w:val="auto"/>
              </w:rPr>
              <w:t>d Loss &amp; % to be ag</w:t>
            </w:r>
          </w:p>
        </w:tc>
        <w:tc>
          <w:tcPr>
            <w:tcW w:w="0" w:type="dxa"/>
            <w:vAlign w:val="bottom"/>
          </w:tcPr>
          <w:p>
            <w:pPr>
              <w:spacing w:after="0"/>
              <w:rPr>
                <w:sz w:val="1"/>
                <w:szCs w:val="1"/>
                <w:color w:val="auto"/>
              </w:rPr>
            </w:pPr>
          </w:p>
        </w:tc>
      </w:tr>
      <w:tr>
        <w:trPr>
          <w:trHeight w:val="75"/>
        </w:trPr>
        <w:tc>
          <w:tcPr>
            <w:tcW w:w="3400" w:type="dxa"/>
            <w:vAlign w:val="bottom"/>
            <w:gridSpan w:val="2"/>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jc w:val="right"/>
              <w:ind w:right="92"/>
              <w:spacing w:after="0" w:line="76" w:lineRule="exact"/>
              <w:rPr>
                <w:sz w:val="20"/>
                <w:szCs w:val="20"/>
                <w:color w:val="auto"/>
              </w:rPr>
            </w:pPr>
            <w:r>
              <w:rPr>
                <w:rFonts w:ascii="Arial" w:cs="Arial" w:eastAsia="Arial" w:hAnsi="Arial"/>
                <w:sz w:val="3"/>
                <w:szCs w:val="3"/>
                <w:color w:val="auto"/>
              </w:rPr>
              <w:t xml:space="preserve">CBOM   </w:t>
            </w:r>
            <w:r>
              <w:rPr>
                <w:rFonts w:ascii="Arial" w:cs="Arial" w:eastAsia="Arial" w:hAnsi="Arial"/>
                <w:sz w:val="8"/>
                <w:szCs w:val="8"/>
                <w:color w:val="auto"/>
                <w:vertAlign w:val="subscript"/>
              </w:rPr>
              <w:t>inf</w:t>
            </w:r>
            <w:r>
              <w:rPr>
                <w:rFonts w:ascii="Arial" w:cs="Arial" w:eastAsia="Arial" w:hAnsi="Arial"/>
                <w:sz w:val="3"/>
                <w:szCs w:val="3"/>
                <w:color w:val="auto"/>
              </w:rPr>
              <w:t xml:space="preserve">o release   </w:t>
            </w:r>
            <w:r>
              <w:rPr>
                <w:rFonts w:ascii="Arial" w:cs="Arial" w:eastAsia="Arial" w:hAnsi="Arial"/>
                <w:sz w:val="8"/>
                <w:szCs w:val="8"/>
                <w:color w:val="auto"/>
                <w:vertAlign w:val="subscript"/>
              </w:rPr>
              <w:t>by</w:t>
            </w: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700" w:type="dxa"/>
            <w:vAlign w:val="bottom"/>
            <w:gridSpan w:val="3"/>
            <w:vMerge w:val="restart"/>
          </w:tcPr>
          <w:p>
            <w:pPr>
              <w:ind w:left="20"/>
              <w:spacing w:after="0"/>
              <w:rPr>
                <w:sz w:val="20"/>
                <w:szCs w:val="20"/>
                <w:color w:val="auto"/>
              </w:rPr>
            </w:pPr>
            <w:r>
              <w:rPr>
                <w:rFonts w:ascii="Arial" w:cs="Arial" w:eastAsia="Arial" w:hAnsi="Arial"/>
                <w:sz w:val="17"/>
                <w:szCs w:val="17"/>
                <w:color w:val="auto"/>
              </w:rPr>
              <w:t>release by Enphase; Overall Production Yield Loss BOM $ [*]</w:t>
            </w:r>
          </w:p>
        </w:tc>
        <w:tc>
          <w:tcPr>
            <w:tcW w:w="540" w:type="dxa"/>
            <w:vAlign w:val="bottom"/>
            <w:gridSpan w:val="2"/>
          </w:tcPr>
          <w:p>
            <w:pPr>
              <w:jc w:val="right"/>
              <w:spacing w:after="0"/>
              <w:rPr>
                <w:sz w:val="20"/>
                <w:szCs w:val="20"/>
                <w:color w:val="auto"/>
              </w:rPr>
            </w:pPr>
            <w:r>
              <w:rPr>
                <w:rFonts w:ascii="Arial" w:cs="Arial" w:eastAsia="Arial" w:hAnsi="Arial"/>
                <w:sz w:val="4"/>
                <w:szCs w:val="4"/>
                <w:color w:val="auto"/>
              </w:rPr>
              <w:t>Costed-BOM</w:t>
            </w:r>
          </w:p>
        </w:tc>
        <w:tc>
          <w:tcPr>
            <w:tcW w:w="1140" w:type="dxa"/>
            <w:vAlign w:val="bottom"/>
          </w:tcPr>
          <w:p>
            <w:pPr>
              <w:jc w:val="right"/>
              <w:ind w:right="204"/>
              <w:spacing w:after="0"/>
              <w:rPr>
                <w:sz w:val="20"/>
                <w:szCs w:val="20"/>
                <w:color w:val="auto"/>
              </w:rPr>
            </w:pPr>
            <w:r>
              <w:rPr>
                <w:rFonts w:ascii="Arial" w:cs="Arial" w:eastAsia="Arial" w:hAnsi="Arial"/>
                <w:sz w:val="4"/>
                <w:szCs w:val="4"/>
                <w:color w:val="auto"/>
              </w:rPr>
              <w:t>$[*$[*$[*</w:t>
            </w:r>
          </w:p>
        </w:tc>
        <w:tc>
          <w:tcPr>
            <w:tcW w:w="380" w:type="dxa"/>
            <w:vAlign w:val="bottom"/>
          </w:tcPr>
          <w:p>
            <w:pPr>
              <w:spacing w:after="0"/>
              <w:rPr>
                <w:sz w:val="20"/>
                <w:szCs w:val="20"/>
                <w:color w:val="auto"/>
              </w:rPr>
            </w:pPr>
            <w:r>
              <w:rPr>
                <w:rFonts w:ascii="Arial" w:cs="Arial" w:eastAsia="Arial" w:hAnsi="Arial"/>
                <w:sz w:val="4"/>
                <w:szCs w:val="4"/>
                <w:color w:val="auto"/>
              </w:rPr>
              <w:t>$ [*</w:t>
            </w: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ind w:left="20"/>
              <w:spacing w:after="0" w:line="42" w:lineRule="exact"/>
              <w:rPr>
                <w:sz w:val="20"/>
                <w:szCs w:val="20"/>
                <w:color w:val="auto"/>
              </w:rPr>
            </w:pPr>
            <w:r>
              <w:rPr>
                <w:rFonts w:ascii="Arial" w:cs="Arial" w:eastAsia="Arial" w:hAnsi="Arial"/>
                <w:sz w:val="4"/>
                <w:szCs w:val="4"/>
                <w:color w:val="auto"/>
              </w:rPr>
              <w:t>Overall</w:t>
            </w:r>
          </w:p>
        </w:tc>
        <w:tc>
          <w:tcPr>
            <w:tcW w:w="840" w:type="dxa"/>
            <w:vAlign w:val="bottom"/>
          </w:tcPr>
          <w:p>
            <w:pPr>
              <w:jc w:val="right"/>
              <w:ind w:right="48"/>
              <w:spacing w:after="0" w:line="42" w:lineRule="exact"/>
              <w:rPr>
                <w:sz w:val="20"/>
                <w:szCs w:val="20"/>
                <w:color w:val="auto"/>
              </w:rPr>
            </w:pPr>
            <w:r>
              <w:rPr>
                <w:rFonts w:ascii="Arial" w:cs="Arial" w:eastAsia="Arial" w:hAnsi="Arial"/>
                <w:sz w:val="4"/>
                <w:szCs w:val="4"/>
                <w:color w:val="auto"/>
              </w:rPr>
              <w:t>[*]</w:t>
            </w:r>
          </w:p>
        </w:tc>
        <w:tc>
          <w:tcPr>
            <w:tcW w:w="2100" w:type="dxa"/>
            <w:vAlign w:val="bottom"/>
            <w:gridSpan w:val="2"/>
          </w:tcPr>
          <w:p>
            <w:pPr>
              <w:jc w:val="right"/>
              <w:ind w:right="1130"/>
              <w:spacing w:after="0" w:line="42" w:lineRule="exact"/>
              <w:rPr>
                <w:sz w:val="20"/>
                <w:szCs w:val="20"/>
                <w:color w:val="auto"/>
              </w:rPr>
            </w:pPr>
            <w:r>
              <w:rPr>
                <w:rFonts w:ascii="Arial" w:cs="Arial" w:eastAsia="Arial" w:hAnsi="Arial"/>
                <w:sz w:val="4"/>
                <w:szCs w:val="4"/>
                <w:color w:val="auto"/>
              </w:rPr>
              <w:t>[*][*]TBD</w:t>
            </w:r>
          </w:p>
        </w:tc>
        <w:tc>
          <w:tcPr>
            <w:tcW w:w="0" w:type="dxa"/>
            <w:vAlign w:val="bottom"/>
          </w:tcPr>
          <w:p>
            <w:pPr>
              <w:spacing w:after="0"/>
              <w:rPr>
                <w:sz w:val="1"/>
                <w:szCs w:val="1"/>
                <w:color w:val="auto"/>
              </w:rPr>
            </w:pPr>
          </w:p>
        </w:tc>
      </w:tr>
      <w:tr>
        <w:trPr>
          <w:trHeight w:val="211"/>
        </w:trPr>
        <w:tc>
          <w:tcPr>
            <w:tcW w:w="47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772"/>
              <w:spacing w:after="0"/>
              <w:rPr>
                <w:sz w:val="20"/>
                <w:szCs w:val="20"/>
                <w:color w:val="auto"/>
              </w:rPr>
            </w:pPr>
            <w:r>
              <w:rPr>
                <w:rFonts w:ascii="Arial" w:cs="Arial" w:eastAsia="Arial" w:hAnsi="Arial"/>
                <w:sz w:val="8"/>
                <w:szCs w:val="8"/>
                <w:color w:val="auto"/>
              </w:rPr>
              <w:t>Enph</w:t>
            </w:r>
          </w:p>
        </w:tc>
        <w:tc>
          <w:tcPr>
            <w:tcW w:w="20" w:type="dxa"/>
            <w:vAlign w:val="bottom"/>
          </w:tcPr>
          <w:p>
            <w:pPr>
              <w:spacing w:after="0"/>
              <w:rPr>
                <w:sz w:val="18"/>
                <w:szCs w:val="18"/>
                <w:color w:val="auto"/>
              </w:rPr>
            </w:pPr>
          </w:p>
        </w:tc>
        <w:tc>
          <w:tcPr>
            <w:tcW w:w="1200" w:type="dxa"/>
            <w:vAlign w:val="bottom"/>
            <w:gridSpan w:val="2"/>
            <w:vMerge w:val="restart"/>
          </w:tcPr>
          <w:p>
            <w:pPr>
              <w:spacing w:after="0"/>
              <w:rPr>
                <w:sz w:val="20"/>
                <w:szCs w:val="20"/>
                <w:color w:val="auto"/>
              </w:rPr>
            </w:pPr>
            <w:r>
              <w:rPr>
                <w:rFonts w:ascii="Arial" w:cs="Arial" w:eastAsia="Arial" w:hAnsi="Arial"/>
                <w:sz w:val="8"/>
                <w:szCs w:val="8"/>
                <w:color w:val="auto"/>
              </w:rPr>
              <w:t>Productio</w:t>
            </w:r>
            <w:r>
              <w:rPr>
                <w:rFonts w:ascii="Arial" w:cs="Arial" w:eastAsia="Arial" w:hAnsi="Arial"/>
                <w:sz w:val="8"/>
                <w:szCs w:val="8"/>
                <w:color w:val="auto"/>
                <w:vertAlign w:val="superscript"/>
              </w:rPr>
              <w:t>n</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gridSpan w:val="2"/>
            <w:vMerge w:val="restart"/>
          </w:tcPr>
          <w:p>
            <w:pPr>
              <w:ind w:left="20"/>
              <w:spacing w:after="0" w:line="191" w:lineRule="exact"/>
              <w:rPr>
                <w:sz w:val="20"/>
                <w:szCs w:val="20"/>
                <w:color w:val="auto"/>
              </w:rPr>
            </w:pPr>
            <w:r>
              <w:rPr>
                <w:rFonts w:ascii="Arial" w:cs="Arial" w:eastAsia="Arial" w:hAnsi="Arial"/>
                <w:sz w:val="17"/>
                <w:szCs w:val="17"/>
                <w:color w:val="auto"/>
              </w:rPr>
              <w:t>[*] [*] [*] TBD Yeild Loss &amp; % to be agreed;</w:t>
            </w:r>
          </w:p>
        </w:tc>
        <w:tc>
          <w:tcPr>
            <w:tcW w:w="1300" w:type="dxa"/>
            <w:vAlign w:val="bottom"/>
            <w:vMerge w:val="restart"/>
          </w:tcPr>
          <w:p>
            <w:pPr>
              <w:ind w:left="480"/>
              <w:spacing w:after="0" w:line="191" w:lineRule="exact"/>
              <w:rPr>
                <w:sz w:val="20"/>
                <w:szCs w:val="20"/>
                <w:color w:val="auto"/>
              </w:rPr>
            </w:pPr>
            <w:r>
              <w:rPr>
                <w:rFonts w:ascii="Arial" w:cs="Arial" w:eastAsia="Arial" w:hAnsi="Arial"/>
                <w:sz w:val="17"/>
                <w:szCs w:val="17"/>
                <w:color w:val="auto"/>
              </w:rPr>
              <w:t>$[*]$[*]$</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4"/>
                <w:szCs w:val="4"/>
                <w:color w:val="auto"/>
              </w:rPr>
              <w:t>Y</w:t>
            </w:r>
            <w:r>
              <w:rPr>
                <w:rFonts w:ascii="Arial" w:cs="Arial" w:eastAsia="Arial" w:hAnsi="Arial"/>
                <w:sz w:val="16"/>
                <w:szCs w:val="16"/>
                <w:color w:val="auto"/>
                <w:vertAlign w:val="subscript"/>
              </w:rPr>
              <w:t>i</w:t>
            </w:r>
            <w:r>
              <w:rPr>
                <w:rFonts w:ascii="Arial" w:cs="Arial" w:eastAsia="Arial" w:hAnsi="Arial"/>
                <w:sz w:val="4"/>
                <w:szCs w:val="4"/>
                <w:color w:val="auto"/>
              </w:rPr>
              <w:t>eld L</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168515" cy="33686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68515" cy="3368675"/>
                    </a:xfrm>
                    <a:prstGeom prst="rect">
                      <a:avLst/>
                    </a:prstGeom>
                    <a:noFill/>
                  </pic:spPr>
                </pic:pic>
              </a:graphicData>
            </a:graphic>
          </wp:anchor>
        </w:drawing>
      </w:r>
    </w:p>
    <w:p>
      <w:pPr>
        <w:spacing w:after="0" w:line="35" w:lineRule="exact"/>
        <w:rPr>
          <w:sz w:val="20"/>
          <w:szCs w:val="20"/>
          <w:color w:val="auto"/>
        </w:rPr>
      </w:pPr>
    </w:p>
    <w:p>
      <w:pPr>
        <w:ind w:left="3880" w:right="6620" w:hanging="10"/>
        <w:spacing w:after="0" w:line="280" w:lineRule="auto"/>
        <w:tabs>
          <w:tab w:leader="none" w:pos="408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CBOM info release by Enphase; Overall Production Yield Loss</w:t>
      </w:r>
    </w:p>
    <w:p>
      <w:pPr>
        <w:ind w:left="3880" w:right="6680" w:hanging="10"/>
        <w:spacing w:after="0" w:line="282" w:lineRule="auto"/>
        <w:tabs>
          <w:tab w:leader="none" w:pos="408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 TBD Yeild Loss &amp; % to be agreed;</w:t>
      </w:r>
    </w:p>
    <w:tbl>
      <w:tblPr>
        <w:tblLayout w:type="fixed"/>
        <w:tblInd w:w="10" w:type="dxa"/>
        <w:tblCellMar>
          <w:top w:w="0" w:type="dxa"/>
          <w:left w:w="0" w:type="dxa"/>
          <w:bottom w:w="0" w:type="dxa"/>
          <w:right w:w="0" w:type="dxa"/>
        </w:tblCellMar>
      </w:tblPr>
      <w:tr>
        <w:trPr>
          <w:trHeight w:val="86"/>
        </w:trPr>
        <w:tc>
          <w:tcPr>
            <w:tcW w:w="3540" w:type="dxa"/>
            <w:vAlign w:val="bottom"/>
            <w:gridSpan w:val="2"/>
          </w:tcPr>
          <w:p>
            <w:pPr>
              <w:ind w:left="20"/>
              <w:spacing w:after="0" w:line="87" w:lineRule="exact"/>
              <w:rPr>
                <w:sz w:val="20"/>
                <w:szCs w:val="20"/>
                <w:color w:val="auto"/>
              </w:rPr>
            </w:pPr>
            <w:r>
              <w:rPr>
                <w:rFonts w:ascii="Arial" w:cs="Arial" w:eastAsia="Arial" w:hAnsi="Arial"/>
                <w:sz w:val="10"/>
                <w:szCs w:val="10"/>
                <w:color w:val="auto"/>
              </w:rPr>
              <w:t>Costed-BOM $ [*] $ [*] $ [*] $ [*] CBOM info</w:t>
            </w:r>
          </w:p>
        </w:tc>
        <w:tc>
          <w:tcPr>
            <w:tcW w:w="340" w:type="dxa"/>
            <w:vAlign w:val="bottom"/>
            <w:tcBorders>
              <w:right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520" w:type="dxa"/>
            <w:vAlign w:val="bottom"/>
            <w:tcBorders>
              <w:top w:val="single" w:sz="8" w:color="auto"/>
            </w:tcBorders>
          </w:tcPr>
          <w:p>
            <w:pPr>
              <w:ind w:left="60"/>
              <w:spacing w:after="0" w:line="87" w:lineRule="exact"/>
              <w:rPr>
                <w:sz w:val="20"/>
                <w:szCs w:val="20"/>
                <w:color w:val="auto"/>
              </w:rPr>
            </w:pPr>
            <w:r>
              <w:rPr>
                <w:rFonts w:ascii="Arial" w:cs="Arial" w:eastAsia="Arial" w:hAnsi="Arial"/>
                <w:sz w:val="8"/>
                <w:szCs w:val="8"/>
                <w:color w:val="auto"/>
                <w:vertAlign w:val="superscript"/>
              </w:rPr>
              <w:t>Overall</w:t>
            </w:r>
            <w:r>
              <w:rPr>
                <w:rFonts w:ascii="Arial" w:cs="Arial" w:eastAsia="Arial" w:hAnsi="Arial"/>
                <w:sz w:val="8"/>
                <w:szCs w:val="8"/>
                <w:color w:val="auto"/>
              </w:rPr>
              <w:t xml:space="preserve">   Productio</w:t>
            </w:r>
            <w:r>
              <w:rPr>
                <w:rFonts w:ascii="Arial" w:cs="Arial" w:eastAsia="Arial" w:hAnsi="Arial"/>
                <w:sz w:val="8"/>
                <w:szCs w:val="8"/>
                <w:color w:val="auto"/>
                <w:vertAlign w:val="superscript"/>
              </w:rPr>
              <w:t>n</w:t>
            </w:r>
          </w:p>
        </w:tc>
        <w:tc>
          <w:tcPr>
            <w:tcW w:w="3060" w:type="dxa"/>
            <w:vAlign w:val="bottom"/>
            <w:tcBorders>
              <w:top w:val="single" w:sz="8" w:color="auto"/>
            </w:tcBorders>
          </w:tcPr>
          <w:p>
            <w:pPr>
              <w:ind w:left="1540"/>
              <w:spacing w:after="0" w:line="87" w:lineRule="exact"/>
              <w:rPr>
                <w:sz w:val="20"/>
                <w:szCs w:val="20"/>
                <w:color w:val="auto"/>
              </w:rPr>
            </w:pPr>
            <w:r>
              <w:rPr>
                <w:rFonts w:ascii="Arial" w:cs="Arial" w:eastAsia="Arial" w:hAnsi="Arial"/>
                <w:sz w:val="4"/>
                <w:szCs w:val="4"/>
                <w:color w:val="auto"/>
              </w:rPr>
              <w:t>Ye</w:t>
            </w:r>
            <w:r>
              <w:rPr>
                <w:rFonts w:ascii="Arial" w:cs="Arial" w:eastAsia="Arial" w:hAnsi="Arial"/>
                <w:sz w:val="10"/>
                <w:szCs w:val="10"/>
                <w:color w:val="auto"/>
                <w:vertAlign w:val="subscript"/>
              </w:rPr>
              <w:t>il</w:t>
            </w:r>
            <w:r>
              <w:rPr>
                <w:rFonts w:ascii="Arial" w:cs="Arial" w:eastAsia="Arial" w:hAnsi="Arial"/>
                <w:sz w:val="4"/>
                <w:szCs w:val="4"/>
                <w:color w:val="auto"/>
              </w:rPr>
              <w:t>d</w:t>
            </w:r>
          </w:p>
        </w:tc>
        <w:tc>
          <w:tcPr>
            <w:tcW w:w="0" w:type="dxa"/>
            <w:vAlign w:val="bottom"/>
          </w:tcPr>
          <w:p>
            <w:pPr>
              <w:spacing w:after="0"/>
              <w:rPr>
                <w:sz w:val="1"/>
                <w:szCs w:val="1"/>
                <w:color w:val="auto"/>
              </w:rPr>
            </w:pPr>
          </w:p>
        </w:tc>
      </w:tr>
      <w:tr>
        <w:trPr>
          <w:trHeight w:val="41"/>
        </w:trPr>
        <w:tc>
          <w:tcPr>
            <w:tcW w:w="3880" w:type="dxa"/>
            <w:vAlign w:val="bottom"/>
            <w:tcBorders>
              <w:right w:val="single" w:sz="8" w:color="auto"/>
            </w:tcBorders>
            <w:gridSpan w:val="3"/>
            <w:vMerge w:val="restart"/>
          </w:tcPr>
          <w:p>
            <w:pPr>
              <w:ind w:left="20"/>
              <w:spacing w:after="0" w:line="180" w:lineRule="exact"/>
              <w:rPr>
                <w:sz w:val="20"/>
                <w:szCs w:val="20"/>
                <w:color w:val="auto"/>
              </w:rPr>
            </w:pPr>
            <w:r>
              <w:rPr>
                <w:rFonts w:ascii="Arial" w:cs="Arial" w:eastAsia="Arial" w:hAnsi="Arial"/>
                <w:sz w:val="17"/>
                <w:szCs w:val="17"/>
                <w:color w:val="auto"/>
                <w:w w:val="99"/>
              </w:rPr>
              <w:t>release by Enphase; Overall Production Yield Loss</w:t>
            </w:r>
          </w:p>
        </w:tc>
        <w:tc>
          <w:tcPr>
            <w:tcW w:w="580" w:type="dxa"/>
            <w:vAlign w:val="bottom"/>
          </w:tcPr>
          <w:p>
            <w:pPr>
              <w:jc w:val="right"/>
              <w:ind w:right="79"/>
              <w:spacing w:after="0" w:line="42" w:lineRule="exact"/>
              <w:rPr>
                <w:sz w:val="20"/>
                <w:szCs w:val="20"/>
                <w:color w:val="auto"/>
              </w:rPr>
            </w:pPr>
            <w:r>
              <w:rPr>
                <w:rFonts w:ascii="Arial" w:cs="Arial" w:eastAsia="Arial" w:hAnsi="Arial"/>
                <w:sz w:val="4"/>
                <w:szCs w:val="4"/>
                <w:color w:val="auto"/>
              </w:rPr>
              <w:t>Costed-BOM</w:t>
            </w:r>
          </w:p>
        </w:tc>
        <w:tc>
          <w:tcPr>
            <w:tcW w:w="560" w:type="dxa"/>
            <w:vAlign w:val="bottom"/>
          </w:tcPr>
          <w:p>
            <w:pPr>
              <w:jc w:val="right"/>
              <w:ind w:right="79"/>
              <w:spacing w:after="0" w:line="42" w:lineRule="exact"/>
              <w:rPr>
                <w:sz w:val="20"/>
                <w:szCs w:val="20"/>
                <w:color w:val="auto"/>
              </w:rPr>
            </w:pPr>
            <w:r>
              <w:rPr>
                <w:rFonts w:ascii="Arial" w:cs="Arial" w:eastAsia="Arial" w:hAnsi="Arial"/>
                <w:sz w:val="4"/>
                <w:szCs w:val="4"/>
                <w:color w:val="auto"/>
              </w:rPr>
              <w:t>$ [*</w:t>
            </w:r>
          </w:p>
        </w:tc>
        <w:tc>
          <w:tcPr>
            <w:tcW w:w="260" w:type="dxa"/>
            <w:vAlign w:val="bottom"/>
          </w:tcPr>
          <w:p>
            <w:pPr>
              <w:spacing w:after="0"/>
              <w:rPr>
                <w:sz w:val="3"/>
                <w:szCs w:val="3"/>
                <w:color w:val="auto"/>
              </w:rPr>
            </w:pPr>
          </w:p>
        </w:tc>
        <w:tc>
          <w:tcPr>
            <w:tcW w:w="320" w:type="dxa"/>
            <w:vAlign w:val="bottom"/>
          </w:tcPr>
          <w:p>
            <w:pPr>
              <w:jc w:val="right"/>
              <w:ind w:right="79"/>
              <w:spacing w:after="0" w:line="42" w:lineRule="exact"/>
              <w:rPr>
                <w:sz w:val="20"/>
                <w:szCs w:val="20"/>
                <w:color w:val="auto"/>
              </w:rPr>
            </w:pPr>
            <w:r>
              <w:rPr>
                <w:rFonts w:ascii="Arial" w:cs="Arial" w:eastAsia="Arial" w:hAnsi="Arial"/>
                <w:sz w:val="4"/>
                <w:szCs w:val="4"/>
                <w:color w:val="auto"/>
              </w:rPr>
              <w:t>$ [*</w:t>
            </w:r>
          </w:p>
        </w:tc>
        <w:tc>
          <w:tcPr>
            <w:tcW w:w="300" w:type="dxa"/>
            <w:vAlign w:val="bottom"/>
          </w:tcPr>
          <w:p>
            <w:pPr>
              <w:jc w:val="right"/>
              <w:ind w:right="79"/>
              <w:spacing w:after="0" w:line="42" w:lineRule="exact"/>
              <w:rPr>
                <w:sz w:val="20"/>
                <w:szCs w:val="20"/>
                <w:color w:val="auto"/>
              </w:rPr>
            </w:pPr>
            <w:r>
              <w:rPr>
                <w:rFonts w:ascii="Arial" w:cs="Arial" w:eastAsia="Arial" w:hAnsi="Arial"/>
                <w:sz w:val="4"/>
                <w:szCs w:val="4"/>
                <w:color w:val="auto"/>
              </w:rPr>
              <w:t>$ [*</w:t>
            </w:r>
          </w:p>
        </w:tc>
        <w:tc>
          <w:tcPr>
            <w:tcW w:w="820" w:type="dxa"/>
            <w:vAlign w:val="bottom"/>
            <w:gridSpan w:val="2"/>
          </w:tcPr>
          <w:p>
            <w:pPr>
              <w:ind w:left="60"/>
              <w:spacing w:after="0" w:line="42" w:lineRule="exact"/>
              <w:rPr>
                <w:sz w:val="20"/>
                <w:szCs w:val="20"/>
                <w:color w:val="auto"/>
              </w:rPr>
            </w:pPr>
            <w:r>
              <w:rPr>
                <w:rFonts w:ascii="Arial" w:cs="Arial" w:eastAsia="Arial" w:hAnsi="Arial"/>
                <w:sz w:val="4"/>
                <w:szCs w:val="4"/>
                <w:color w:val="auto"/>
              </w:rPr>
              <w:t>$ [*CBOM</w:t>
            </w:r>
          </w:p>
        </w:tc>
        <w:tc>
          <w:tcPr>
            <w:tcW w:w="1520" w:type="dxa"/>
            <w:vAlign w:val="bottom"/>
          </w:tcPr>
          <w:p>
            <w:pPr>
              <w:spacing w:after="0"/>
              <w:rPr>
                <w:sz w:val="3"/>
                <w:szCs w:val="3"/>
                <w:color w:val="auto"/>
              </w:rPr>
            </w:pPr>
          </w:p>
        </w:tc>
        <w:tc>
          <w:tcPr>
            <w:tcW w:w="3060" w:type="dxa"/>
            <w:vAlign w:val="bottom"/>
          </w:tcPr>
          <w:p>
            <w:pPr>
              <w:ind w:left="420"/>
              <w:spacing w:after="0" w:line="42" w:lineRule="exact"/>
              <w:rPr>
                <w:sz w:val="20"/>
                <w:szCs w:val="20"/>
                <w:color w:val="auto"/>
              </w:rPr>
            </w:pPr>
            <w:r>
              <w:rPr>
                <w:rFonts w:ascii="Arial" w:cs="Arial" w:eastAsia="Arial" w:hAnsi="Arial"/>
                <w:sz w:val="4"/>
                <w:szCs w:val="4"/>
                <w:color w:val="auto"/>
              </w:rPr>
              <w:t>[*][*][*]TBD</w:t>
            </w:r>
          </w:p>
        </w:tc>
        <w:tc>
          <w:tcPr>
            <w:tcW w:w="0" w:type="dxa"/>
            <w:vAlign w:val="bottom"/>
          </w:tcPr>
          <w:p>
            <w:pPr>
              <w:spacing w:after="0"/>
              <w:rPr>
                <w:sz w:val="1"/>
                <w:szCs w:val="1"/>
                <w:color w:val="auto"/>
              </w:rPr>
            </w:pPr>
          </w:p>
        </w:tc>
      </w:tr>
      <w:tr>
        <w:trPr>
          <w:trHeight w:val="139"/>
        </w:trPr>
        <w:tc>
          <w:tcPr>
            <w:tcW w:w="3880" w:type="dxa"/>
            <w:vAlign w:val="bottom"/>
            <w:tcBorders>
              <w:right w:val="single" w:sz="8" w:color="auto"/>
            </w:tcBorders>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ind w:left="20"/>
              <w:spacing w:after="0"/>
              <w:rPr>
                <w:sz w:val="20"/>
                <w:szCs w:val="20"/>
                <w:color w:val="auto"/>
              </w:rPr>
            </w:pPr>
            <w:r>
              <w:rPr>
                <w:rFonts w:ascii="Arial" w:cs="Arial" w:eastAsia="Arial" w:hAnsi="Arial"/>
                <w:sz w:val="4"/>
                <w:szCs w:val="4"/>
                <w:color w:val="auto"/>
              </w:rPr>
              <w:t>release</w:t>
            </w:r>
          </w:p>
        </w:tc>
        <w:tc>
          <w:tcPr>
            <w:tcW w:w="1520" w:type="dxa"/>
            <w:vAlign w:val="bottom"/>
          </w:tcPr>
          <w:p>
            <w:pPr>
              <w:ind w:left="40"/>
              <w:spacing w:after="0" w:line="139" w:lineRule="exact"/>
              <w:rPr>
                <w:sz w:val="20"/>
                <w:szCs w:val="20"/>
                <w:color w:val="auto"/>
              </w:rPr>
            </w:pPr>
            <w:r>
              <w:rPr>
                <w:rFonts w:ascii="Arial" w:cs="Arial" w:eastAsia="Arial" w:hAnsi="Arial"/>
                <w:sz w:val="4"/>
                <w:szCs w:val="4"/>
                <w:color w:val="auto"/>
              </w:rPr>
              <w:t>Y</w:t>
            </w:r>
            <w:r>
              <w:rPr>
                <w:rFonts w:ascii="Arial" w:cs="Arial" w:eastAsia="Arial" w:hAnsi="Arial"/>
                <w:sz w:val="16"/>
                <w:szCs w:val="16"/>
                <w:color w:val="auto"/>
                <w:vertAlign w:val="subscript"/>
              </w:rPr>
              <w:t>i</w:t>
            </w:r>
            <w:r>
              <w:rPr>
                <w:rFonts w:ascii="Arial" w:cs="Arial" w:eastAsia="Arial" w:hAnsi="Arial"/>
                <w:sz w:val="4"/>
                <w:szCs w:val="4"/>
                <w:color w:val="auto"/>
              </w:rPr>
              <w:t>eld L</w:t>
            </w:r>
          </w:p>
        </w:tc>
        <w:tc>
          <w:tcPr>
            <w:tcW w:w="3060" w:type="dxa"/>
            <w:vAlign w:val="bottom"/>
          </w:tcPr>
          <w:p>
            <w:pPr>
              <w:ind w:left="1520"/>
              <w:spacing w:after="0"/>
              <w:rPr>
                <w:sz w:val="20"/>
                <w:szCs w:val="20"/>
                <w:color w:val="auto"/>
              </w:rPr>
            </w:pPr>
            <w:r>
              <w:rPr>
                <w:rFonts w:ascii="Arial" w:cs="Arial" w:eastAsia="Arial" w:hAnsi="Arial"/>
                <w:sz w:val="4"/>
                <w:szCs w:val="4"/>
                <w:color w:val="auto"/>
              </w:rPr>
              <w:t>% to be</w:t>
            </w:r>
          </w:p>
        </w:tc>
        <w:tc>
          <w:tcPr>
            <w:tcW w:w="0" w:type="dxa"/>
            <w:vAlign w:val="bottom"/>
          </w:tcPr>
          <w:p>
            <w:pPr>
              <w:spacing w:after="0"/>
              <w:rPr>
                <w:sz w:val="1"/>
                <w:szCs w:val="1"/>
                <w:color w:val="auto"/>
              </w:rPr>
            </w:pPr>
          </w:p>
        </w:tc>
      </w:tr>
      <w:tr>
        <w:trPr>
          <w:trHeight w:val="104"/>
        </w:trPr>
        <w:tc>
          <w:tcPr>
            <w:tcW w:w="2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8"/>
                <w:szCs w:val="8"/>
                <w:color w:val="auto"/>
              </w:rPr>
              <w:t>inf</w:t>
            </w:r>
            <w:r>
              <w:rPr>
                <w:rFonts w:ascii="Arial" w:cs="Arial" w:eastAsia="Arial" w:hAnsi="Arial"/>
                <w:sz w:val="8"/>
                <w:szCs w:val="8"/>
                <w:color w:val="auto"/>
                <w:vertAlign w:val="superscript"/>
              </w:rPr>
              <w:t>o</w:t>
            </w:r>
          </w:p>
        </w:tc>
        <w:tc>
          <w:tcPr>
            <w:tcW w:w="1520" w:type="dxa"/>
            <w:vAlign w:val="bottom"/>
          </w:tcPr>
          <w:p>
            <w:pPr>
              <w:spacing w:after="0"/>
              <w:rPr>
                <w:sz w:val="9"/>
                <w:szCs w:val="9"/>
                <w:color w:val="auto"/>
              </w:rPr>
            </w:pPr>
          </w:p>
        </w:tc>
        <w:tc>
          <w:tcPr>
            <w:tcW w:w="3060" w:type="dxa"/>
            <w:vAlign w:val="bottom"/>
          </w:tcPr>
          <w:p>
            <w:pPr>
              <w:ind w:left="1520"/>
              <w:spacing w:after="0"/>
              <w:rPr>
                <w:sz w:val="20"/>
                <w:szCs w:val="20"/>
                <w:color w:val="auto"/>
              </w:rPr>
            </w:pPr>
            <w:r>
              <w:rPr>
                <w:rFonts w:ascii="Arial" w:cs="Arial" w:eastAsia="Arial" w:hAnsi="Arial"/>
                <w:sz w:val="4"/>
                <w:szCs w:val="4"/>
                <w:color w:val="auto"/>
              </w:rPr>
              <w:t>Loss &amp;</w:t>
            </w:r>
          </w:p>
        </w:tc>
        <w:tc>
          <w:tcPr>
            <w:tcW w:w="0" w:type="dxa"/>
            <w:vAlign w:val="bottom"/>
          </w:tcPr>
          <w:p>
            <w:pPr>
              <w:spacing w:after="0"/>
              <w:rPr>
                <w:sz w:val="1"/>
                <w:szCs w:val="1"/>
                <w:color w:val="auto"/>
              </w:rPr>
            </w:pPr>
          </w:p>
        </w:tc>
      </w:tr>
      <w:tr>
        <w:trPr>
          <w:trHeight w:val="269"/>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 [*] [*] TBD Yeild Loss &amp; % to be agreed;</w:t>
            </w:r>
          </w:p>
        </w:tc>
        <w:tc>
          <w:tcPr>
            <w:tcW w:w="34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ind w:left="20"/>
              <w:spacing w:after="0"/>
              <w:rPr>
                <w:sz w:val="20"/>
                <w:szCs w:val="20"/>
                <w:color w:val="auto"/>
              </w:rPr>
            </w:pPr>
            <w:r>
              <w:rPr>
                <w:rFonts w:ascii="Arial" w:cs="Arial" w:eastAsia="Arial" w:hAnsi="Arial"/>
                <w:sz w:val="8"/>
                <w:szCs w:val="8"/>
                <w:color w:val="auto"/>
              </w:rPr>
              <w:t>by</w:t>
            </w:r>
          </w:p>
        </w:tc>
        <w:tc>
          <w:tcPr>
            <w:tcW w:w="1520" w:type="dxa"/>
            <w:vAlign w:val="bottom"/>
          </w:tcPr>
          <w:p>
            <w:pPr>
              <w:spacing w:after="0"/>
              <w:rPr>
                <w:sz w:val="23"/>
                <w:szCs w:val="23"/>
                <w:color w:val="auto"/>
              </w:rPr>
            </w:pPr>
          </w:p>
        </w:tc>
        <w:tc>
          <w:tcPr>
            <w:tcW w:w="3060" w:type="dxa"/>
            <w:vAlign w:val="bottom"/>
          </w:tcPr>
          <w:p>
            <w:pPr>
              <w:ind w:left="1520"/>
              <w:spacing w:after="0"/>
              <w:rPr>
                <w:sz w:val="20"/>
                <w:szCs w:val="20"/>
                <w:color w:val="auto"/>
              </w:rPr>
            </w:pPr>
            <w:r>
              <w:rPr>
                <w:rFonts w:ascii="Arial" w:cs="Arial" w:eastAsia="Arial" w:hAnsi="Arial"/>
                <w:sz w:val="4"/>
                <w:szCs w:val="4"/>
                <w:color w:val="auto"/>
              </w:rPr>
              <w:t>ag</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8"/>
                <w:szCs w:val="8"/>
                <w:color w:val="auto"/>
              </w:rPr>
              <w:t>Enph</w:t>
            </w:r>
          </w:p>
        </w:tc>
        <w:tc>
          <w:tcPr>
            <w:tcW w:w="1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00" w:type="dxa"/>
            <w:vAlign w:val="bottom"/>
            <w:tcBorders>
              <w:left w:val="single" w:sz="8" w:color="auto"/>
            </w:tcBorders>
          </w:tcPr>
          <w:p>
            <w:pPr>
              <w:ind w:left="40"/>
              <w:spacing w:after="0"/>
              <w:rPr>
                <w:sz w:val="20"/>
                <w:szCs w:val="20"/>
                <w:color w:val="auto"/>
              </w:rPr>
            </w:pPr>
            <w:r>
              <w:rPr>
                <w:rFonts w:ascii="Arial" w:cs="Arial" w:eastAsia="Arial" w:hAnsi="Arial"/>
                <w:sz w:val="4"/>
                <w:szCs w:val="4"/>
                <w:color w:val="auto"/>
              </w:rPr>
              <w:t>Costed-BOM</w:t>
            </w:r>
          </w:p>
        </w:tc>
        <w:tc>
          <w:tcPr>
            <w:tcW w:w="9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80" w:type="dxa"/>
            <w:vAlign w:val="bottom"/>
          </w:tcPr>
          <w:p>
            <w:pPr>
              <w:jc w:val="right"/>
              <w:ind w:right="359"/>
              <w:spacing w:after="0"/>
              <w:rPr>
                <w:sz w:val="20"/>
                <w:szCs w:val="20"/>
                <w:color w:val="auto"/>
              </w:rPr>
            </w:pPr>
            <w:r>
              <w:rPr>
                <w:rFonts w:ascii="Arial" w:cs="Arial" w:eastAsia="Arial" w:hAnsi="Arial"/>
                <w:sz w:val="4"/>
                <w:szCs w:val="4"/>
                <w:color w:val="auto"/>
              </w:rPr>
              <w:t>$ [*</w:t>
            </w:r>
          </w:p>
        </w:tc>
        <w:tc>
          <w:tcPr>
            <w:tcW w:w="560" w:type="dxa"/>
            <w:vAlign w:val="bottom"/>
          </w:tcPr>
          <w:p>
            <w:pPr>
              <w:jc w:val="right"/>
              <w:ind w:right="79"/>
              <w:spacing w:after="0"/>
              <w:rPr>
                <w:sz w:val="20"/>
                <w:szCs w:val="20"/>
                <w:color w:val="auto"/>
              </w:rPr>
            </w:pPr>
            <w:r>
              <w:rPr>
                <w:rFonts w:ascii="Arial" w:cs="Arial" w:eastAsia="Arial" w:hAnsi="Arial"/>
                <w:sz w:val="4"/>
                <w:szCs w:val="4"/>
                <w:color w:val="auto"/>
              </w:rPr>
              <w:t>$ [*</w:t>
            </w:r>
          </w:p>
        </w:tc>
        <w:tc>
          <w:tcPr>
            <w:tcW w:w="260" w:type="dxa"/>
            <w:vAlign w:val="bottom"/>
          </w:tcPr>
          <w:p>
            <w:pPr>
              <w:spacing w:after="0"/>
              <w:rPr>
                <w:sz w:val="10"/>
                <w:szCs w:val="10"/>
                <w:color w:val="auto"/>
              </w:rPr>
            </w:pPr>
          </w:p>
        </w:tc>
        <w:tc>
          <w:tcPr>
            <w:tcW w:w="320" w:type="dxa"/>
            <w:vAlign w:val="bottom"/>
          </w:tcPr>
          <w:p>
            <w:pPr>
              <w:jc w:val="right"/>
              <w:ind w:right="79"/>
              <w:spacing w:after="0"/>
              <w:rPr>
                <w:sz w:val="20"/>
                <w:szCs w:val="20"/>
                <w:color w:val="auto"/>
              </w:rPr>
            </w:pPr>
            <w:r>
              <w:rPr>
                <w:rFonts w:ascii="Arial" w:cs="Arial" w:eastAsia="Arial" w:hAnsi="Arial"/>
                <w:sz w:val="4"/>
                <w:szCs w:val="4"/>
                <w:color w:val="auto"/>
              </w:rPr>
              <w:t>$ [*</w:t>
            </w:r>
          </w:p>
        </w:tc>
        <w:tc>
          <w:tcPr>
            <w:tcW w:w="300" w:type="dxa"/>
            <w:vAlign w:val="bottom"/>
          </w:tcPr>
          <w:p>
            <w:pPr>
              <w:jc w:val="right"/>
              <w:ind w:right="79"/>
              <w:spacing w:after="0"/>
              <w:rPr>
                <w:sz w:val="20"/>
                <w:szCs w:val="20"/>
                <w:color w:val="auto"/>
              </w:rPr>
            </w:pPr>
            <w:r>
              <w:rPr>
                <w:rFonts w:ascii="Arial" w:cs="Arial" w:eastAsia="Arial" w:hAnsi="Arial"/>
                <w:sz w:val="4"/>
                <w:szCs w:val="4"/>
                <w:color w:val="auto"/>
              </w:rPr>
              <w:t>$ [*</w:t>
            </w:r>
          </w:p>
        </w:tc>
        <w:tc>
          <w:tcPr>
            <w:tcW w:w="820" w:type="dxa"/>
            <w:vAlign w:val="bottom"/>
            <w:gridSpan w:val="2"/>
          </w:tcPr>
          <w:p>
            <w:pPr>
              <w:ind w:left="40"/>
              <w:spacing w:after="0"/>
              <w:rPr>
                <w:sz w:val="20"/>
                <w:szCs w:val="20"/>
                <w:color w:val="auto"/>
              </w:rPr>
            </w:pPr>
            <w:r>
              <w:rPr>
                <w:rFonts w:ascii="Arial" w:cs="Arial" w:eastAsia="Arial" w:hAnsi="Arial"/>
                <w:sz w:val="4"/>
                <w:szCs w:val="4"/>
                <w:color w:val="auto"/>
              </w:rPr>
              <w:t>CBOM</w:t>
            </w:r>
          </w:p>
        </w:tc>
        <w:tc>
          <w:tcPr>
            <w:tcW w:w="15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60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8"/>
                <w:szCs w:val="8"/>
                <w:color w:val="auto"/>
              </w:rPr>
              <w:t>inf</w:t>
            </w:r>
            <w:r>
              <w:rPr>
                <w:rFonts w:ascii="Arial" w:cs="Arial" w:eastAsia="Arial" w:hAnsi="Arial"/>
                <w:sz w:val="8"/>
                <w:szCs w:val="8"/>
                <w:color w:val="auto"/>
                <w:vertAlign w:val="superscript"/>
              </w:rPr>
              <w:t>o</w:t>
            </w:r>
          </w:p>
        </w:tc>
        <w:tc>
          <w:tcPr>
            <w:tcW w:w="15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600" w:type="dxa"/>
            <w:vAlign w:val="bottom"/>
            <w:tcBorders>
              <w:left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tcPr>
          <w:p>
            <w:pPr>
              <w:ind w:left="20"/>
              <w:spacing w:after="0" w:line="44" w:lineRule="exact"/>
              <w:rPr>
                <w:sz w:val="20"/>
                <w:szCs w:val="20"/>
                <w:color w:val="auto"/>
              </w:rPr>
            </w:pPr>
            <w:r>
              <w:rPr>
                <w:rFonts w:ascii="Arial" w:cs="Arial" w:eastAsia="Arial" w:hAnsi="Arial"/>
                <w:sz w:val="4"/>
                <w:szCs w:val="4"/>
                <w:color w:val="auto"/>
              </w:rPr>
              <w:t>release</w:t>
            </w:r>
          </w:p>
        </w:tc>
        <w:tc>
          <w:tcPr>
            <w:tcW w:w="1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60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8"/>
                <w:szCs w:val="8"/>
                <w:color w:val="auto"/>
              </w:rPr>
              <w:t>by</w:t>
            </w:r>
          </w:p>
        </w:tc>
        <w:tc>
          <w:tcPr>
            <w:tcW w:w="1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6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vMerge w:val="restart"/>
          </w:tcPr>
          <w:p>
            <w:pPr>
              <w:jc w:val="right"/>
              <w:ind w:right="319"/>
              <w:spacing w:after="0"/>
              <w:rPr>
                <w:sz w:val="20"/>
                <w:szCs w:val="20"/>
                <w:color w:val="auto"/>
              </w:rPr>
            </w:pPr>
            <w:r>
              <w:rPr>
                <w:rFonts w:ascii="Arial" w:cs="Arial" w:eastAsia="Arial" w:hAnsi="Arial"/>
                <w:sz w:val="4"/>
                <w:szCs w:val="4"/>
                <w:color w:val="auto"/>
              </w:rPr>
              <w:t>[*]</w:t>
            </w:r>
          </w:p>
        </w:tc>
        <w:tc>
          <w:tcPr>
            <w:tcW w:w="260" w:type="dxa"/>
            <w:vAlign w:val="bottom"/>
            <w:vMerge w:val="restart"/>
          </w:tcPr>
          <w:p>
            <w:pPr>
              <w:ind w:left="120"/>
              <w:spacing w:after="0"/>
              <w:rPr>
                <w:sz w:val="20"/>
                <w:szCs w:val="20"/>
                <w:color w:val="auto"/>
              </w:rPr>
            </w:pPr>
            <w:r>
              <w:rPr>
                <w:rFonts w:ascii="Arial" w:cs="Arial" w:eastAsia="Arial" w:hAnsi="Arial"/>
                <w:sz w:val="4"/>
                <w:szCs w:val="4"/>
                <w:color w:val="auto"/>
              </w:rPr>
              <w:t>[*]</w:t>
            </w:r>
          </w:p>
        </w:tc>
        <w:tc>
          <w:tcPr>
            <w:tcW w:w="320" w:type="dxa"/>
            <w:vAlign w:val="bottom"/>
            <w:vMerge w:val="restart"/>
          </w:tcPr>
          <w:p>
            <w:pPr>
              <w:jc w:val="right"/>
              <w:ind w:right="19"/>
              <w:spacing w:after="0"/>
              <w:rPr>
                <w:sz w:val="20"/>
                <w:szCs w:val="20"/>
                <w:color w:val="auto"/>
              </w:rPr>
            </w:pPr>
            <w:r>
              <w:rPr>
                <w:rFonts w:ascii="Arial" w:cs="Arial" w:eastAsia="Arial" w:hAnsi="Arial"/>
                <w:sz w:val="4"/>
                <w:szCs w:val="4"/>
                <w:color w:val="auto"/>
              </w:rPr>
              <w:t>[*]</w:t>
            </w:r>
          </w:p>
        </w:tc>
        <w:tc>
          <w:tcPr>
            <w:tcW w:w="300" w:type="dxa"/>
            <w:vAlign w:val="bottom"/>
            <w:vMerge w:val="restart"/>
          </w:tcPr>
          <w:p>
            <w:pPr>
              <w:jc w:val="right"/>
              <w:spacing w:after="0"/>
              <w:rPr>
                <w:sz w:val="20"/>
                <w:szCs w:val="20"/>
                <w:color w:val="auto"/>
              </w:rPr>
            </w:pPr>
            <w:r>
              <w:rPr>
                <w:rFonts w:ascii="Arial" w:cs="Arial" w:eastAsia="Arial" w:hAnsi="Arial"/>
                <w:sz w:val="4"/>
                <w:szCs w:val="4"/>
                <w:color w:val="auto"/>
              </w:rPr>
              <w:t>TBD</w:t>
            </w:r>
          </w:p>
        </w:tc>
        <w:tc>
          <w:tcPr>
            <w:tcW w:w="420" w:type="dxa"/>
            <w:vAlign w:val="bottom"/>
          </w:tcPr>
          <w:p>
            <w:pPr>
              <w:ind w:left="20"/>
              <w:spacing w:after="0"/>
              <w:rPr>
                <w:sz w:val="20"/>
                <w:szCs w:val="20"/>
                <w:color w:val="auto"/>
              </w:rPr>
            </w:pPr>
            <w:r>
              <w:rPr>
                <w:rFonts w:ascii="Arial" w:cs="Arial" w:eastAsia="Arial" w:hAnsi="Arial"/>
                <w:sz w:val="8"/>
                <w:szCs w:val="8"/>
                <w:color w:val="auto"/>
              </w:rPr>
              <w:t>Enph</w:t>
            </w: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0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600" w:type="dxa"/>
            <w:vAlign w:val="bottom"/>
            <w:tcBorders>
              <w:left w:val="single" w:sz="8" w:color="auto"/>
            </w:tcBorders>
          </w:tcPr>
          <w:p>
            <w:pPr>
              <w:ind w:left="40"/>
              <w:spacing w:after="0" w:line="150" w:lineRule="exact"/>
              <w:rPr>
                <w:sz w:val="20"/>
                <w:szCs w:val="20"/>
                <w:color w:val="auto"/>
              </w:rPr>
            </w:pPr>
            <w:r>
              <w:rPr>
                <w:rFonts w:ascii="Arial" w:cs="Arial" w:eastAsia="Arial" w:hAnsi="Arial"/>
                <w:sz w:val="4"/>
                <w:szCs w:val="4"/>
                <w:color w:val="auto"/>
              </w:rPr>
              <w:t xml:space="preserve">Overall   </w:t>
            </w:r>
            <w:r>
              <w:rPr>
                <w:rFonts w:ascii="Arial" w:cs="Arial" w:eastAsia="Arial" w:hAnsi="Arial"/>
                <w:sz w:val="16"/>
                <w:szCs w:val="16"/>
                <w:color w:val="auto"/>
                <w:vertAlign w:val="subscript"/>
              </w:rPr>
              <w:t>Productio</w:t>
            </w:r>
            <w:r>
              <w:rPr>
                <w:rFonts w:ascii="Arial" w:cs="Arial" w:eastAsia="Arial" w:hAnsi="Arial"/>
                <w:sz w:val="4"/>
                <w:szCs w:val="4"/>
                <w:color w:val="auto"/>
              </w:rPr>
              <w:t>n   Y</w:t>
            </w:r>
            <w:r>
              <w:rPr>
                <w:rFonts w:ascii="Arial" w:cs="Arial" w:eastAsia="Arial" w:hAnsi="Arial"/>
                <w:sz w:val="16"/>
                <w:szCs w:val="16"/>
                <w:color w:val="auto"/>
                <w:vertAlign w:val="subscript"/>
              </w:rPr>
              <w:t>i</w:t>
            </w:r>
            <w:r>
              <w:rPr>
                <w:rFonts w:ascii="Arial" w:cs="Arial" w:eastAsia="Arial" w:hAnsi="Arial"/>
                <w:sz w:val="4"/>
                <w:szCs w:val="4"/>
                <w:color w:val="auto"/>
              </w:rPr>
              <w:t>eld L</w:t>
            </w:r>
          </w:p>
        </w:tc>
        <w:tc>
          <w:tcPr>
            <w:tcW w:w="9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ind w:left="40"/>
              <w:spacing w:after="0" w:line="150" w:lineRule="exact"/>
              <w:rPr>
                <w:sz w:val="20"/>
                <w:szCs w:val="20"/>
                <w:color w:val="auto"/>
              </w:rPr>
            </w:pPr>
            <w:r>
              <w:rPr>
                <w:rFonts w:ascii="Arial" w:cs="Arial" w:eastAsia="Arial" w:hAnsi="Arial"/>
                <w:sz w:val="4"/>
                <w:szCs w:val="4"/>
                <w:color w:val="auto"/>
              </w:rPr>
              <w:t>Ye</w:t>
            </w:r>
            <w:r>
              <w:rPr>
                <w:rFonts w:ascii="Arial" w:cs="Arial" w:eastAsia="Arial" w:hAnsi="Arial"/>
                <w:sz w:val="16"/>
                <w:szCs w:val="16"/>
                <w:color w:val="auto"/>
                <w:vertAlign w:val="subscript"/>
              </w:rPr>
              <w:t>il</w:t>
            </w:r>
            <w:r>
              <w:rPr>
                <w:rFonts w:ascii="Arial" w:cs="Arial" w:eastAsia="Arial" w:hAnsi="Arial"/>
                <w:sz w:val="4"/>
                <w:szCs w:val="4"/>
                <w:color w:val="auto"/>
              </w:rPr>
              <w:t>d</w:t>
            </w:r>
          </w:p>
        </w:tc>
        <w:tc>
          <w:tcPr>
            <w:tcW w:w="15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600" w:type="dxa"/>
            <w:vAlign w:val="bottom"/>
            <w:tcBorders>
              <w:left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tcPr>
          <w:p>
            <w:pPr>
              <w:ind w:left="20"/>
              <w:spacing w:after="0" w:line="42" w:lineRule="exact"/>
              <w:rPr>
                <w:sz w:val="20"/>
                <w:szCs w:val="20"/>
                <w:color w:val="auto"/>
              </w:rPr>
            </w:pPr>
            <w:r>
              <w:rPr>
                <w:rFonts w:ascii="Arial" w:cs="Arial" w:eastAsia="Arial" w:hAnsi="Arial"/>
                <w:sz w:val="4"/>
                <w:szCs w:val="4"/>
                <w:color w:val="auto"/>
              </w:rPr>
              <w:t>Loss &amp; %</w:t>
            </w:r>
          </w:p>
        </w:tc>
        <w:tc>
          <w:tcPr>
            <w:tcW w:w="1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600" w:type="dxa"/>
            <w:vAlign w:val="bottom"/>
            <w:tcBorders>
              <w:lef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gridSpan w:val="2"/>
          </w:tcPr>
          <w:p>
            <w:pPr>
              <w:ind w:left="20"/>
              <w:spacing w:after="0"/>
              <w:rPr>
                <w:sz w:val="20"/>
                <w:szCs w:val="20"/>
                <w:color w:val="auto"/>
              </w:rPr>
            </w:pPr>
            <w:r>
              <w:rPr>
                <w:rFonts w:ascii="Arial" w:cs="Arial" w:eastAsia="Arial" w:hAnsi="Arial"/>
                <w:sz w:val="4"/>
                <w:szCs w:val="4"/>
                <w:color w:val="auto"/>
              </w:rPr>
              <w:t>to be ag</w:t>
            </w:r>
          </w:p>
        </w:tc>
        <w:tc>
          <w:tcPr>
            <w:tcW w:w="1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0" w:type="dxa"/>
            <w:vAlign w:val="bottom"/>
            <w:tcBorders>
              <w:top w:val="single" w:sz="8" w:color="auto"/>
            </w:tcBorders>
          </w:tcPr>
          <w:p>
            <w:pPr>
              <w:spacing w:after="0"/>
              <w:rPr>
                <w:sz w:val="20"/>
                <w:szCs w:val="20"/>
                <w:color w:val="auto"/>
              </w:rPr>
            </w:pPr>
            <w:r>
              <w:rPr>
                <w:rFonts w:ascii="Arial" w:cs="Arial" w:eastAsia="Arial" w:hAnsi="Arial"/>
                <w:sz w:val="4"/>
                <w:szCs w:val="4"/>
                <w:color w:val="auto"/>
              </w:rPr>
              <w:t>TotalTotal</w:t>
            </w:r>
          </w:p>
        </w:tc>
        <w:tc>
          <w:tcPr>
            <w:tcW w:w="9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rPr>
                <w:sz w:val="20"/>
                <w:szCs w:val="20"/>
                <w:color w:val="auto"/>
              </w:rPr>
            </w:pPr>
            <w:r>
              <w:rPr>
                <w:rFonts w:ascii="Arial" w:cs="Arial" w:eastAsia="Arial" w:hAnsi="Arial"/>
                <w:sz w:val="4"/>
                <w:szCs w:val="4"/>
                <w:color w:val="auto"/>
              </w:rPr>
              <w:t>Total</w:t>
            </w: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2600" w:type="dxa"/>
            <w:vAlign w:val="bottom"/>
          </w:tcPr>
          <w:p>
            <w:pPr>
              <w:spacing w:after="0"/>
              <w:rPr>
                <w:sz w:val="20"/>
                <w:szCs w:val="20"/>
                <w:color w:val="auto"/>
              </w:rPr>
            </w:pPr>
            <w:r>
              <w:rPr>
                <w:rFonts w:ascii="Arial" w:cs="Arial" w:eastAsia="Arial" w:hAnsi="Arial"/>
                <w:sz w:val="4"/>
                <w:szCs w:val="4"/>
                <w:color w:val="auto"/>
              </w:rPr>
              <w:t>MVA  per  Unit  (US$) $MVA  per  Unit  (US$) $</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20"/>
                <w:szCs w:val="20"/>
                <w:color w:val="auto"/>
              </w:rPr>
            </w:pPr>
            <w:r>
              <w:rPr>
                <w:rFonts w:ascii="Arial" w:cs="Arial" w:eastAsia="Arial" w:hAnsi="Arial"/>
                <w:sz w:val="4"/>
                <w:szCs w:val="4"/>
                <w:color w:val="auto"/>
              </w:rPr>
              <w:t>MVA  per  Unit  (US$) $</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2600" w:type="dxa"/>
            <w:vAlign w:val="bottom"/>
          </w:tcPr>
          <w:p>
            <w:pPr>
              <w:spacing w:after="0"/>
              <w:rPr>
                <w:sz w:val="20"/>
                <w:szCs w:val="20"/>
                <w:color w:val="auto"/>
              </w:rPr>
            </w:pPr>
            <w:r>
              <w:rPr>
                <w:rFonts w:ascii="Arial" w:cs="Arial" w:eastAsia="Arial" w:hAnsi="Arial"/>
                <w:sz w:val="4"/>
                <w:szCs w:val="4"/>
                <w:color w:val="auto"/>
              </w:rPr>
              <w:t>Total MVA per Unit (US$) $</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0" w:type="dxa"/>
            <w:vAlign w:val="bottom"/>
          </w:tcPr>
          <w:p>
            <w:pPr>
              <w:ind w:left="38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579"/>
              <w:spacing w:after="0"/>
              <w:rPr>
                <w:sz w:val="20"/>
                <w:szCs w:val="20"/>
                <w:color w:val="auto"/>
              </w:rPr>
            </w:pPr>
            <w:r>
              <w:rPr>
                <w:rFonts w:ascii="Arial" w:cs="Arial" w:eastAsia="Arial" w:hAnsi="Arial"/>
                <w:sz w:val="4"/>
                <w:szCs w:val="4"/>
                <w:color w:val="auto"/>
              </w:rPr>
              <w:t>[*]$</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600" w:type="dxa"/>
            <w:vAlign w:val="bottom"/>
          </w:tcPr>
          <w:p>
            <w:pPr>
              <w:ind w:left="340"/>
              <w:spacing w:after="0"/>
              <w:rPr>
                <w:sz w:val="20"/>
                <w:szCs w:val="20"/>
                <w:color w:val="auto"/>
              </w:rPr>
            </w:pPr>
            <w:r>
              <w:rPr>
                <w:rFonts w:ascii="Arial" w:cs="Arial" w:eastAsia="Arial" w:hAnsi="Arial"/>
                <w:sz w:val="4"/>
                <w:szCs w:val="4"/>
                <w:color w:val="auto"/>
              </w:rPr>
              <w:t>[*]$</w:t>
            </w:r>
          </w:p>
        </w:tc>
        <w:tc>
          <w:tcPr>
            <w:tcW w:w="940" w:type="dxa"/>
            <w:vAlign w:val="bottom"/>
          </w:tcPr>
          <w:p>
            <w:pPr>
              <w:jc w:val="right"/>
              <w:ind w:right="579"/>
              <w:spacing w:after="0"/>
              <w:rPr>
                <w:sz w:val="20"/>
                <w:szCs w:val="20"/>
                <w:color w:val="auto"/>
              </w:rPr>
            </w:pPr>
            <w:r>
              <w:rPr>
                <w:rFonts w:ascii="Arial" w:cs="Arial" w:eastAsia="Arial" w:hAnsi="Arial"/>
                <w:sz w:val="4"/>
                <w:szCs w:val="4"/>
                <w:color w:val="auto"/>
              </w:rPr>
              <w:t>[*]</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5"/>
        </w:trPr>
        <w:tc>
          <w:tcPr>
            <w:tcW w:w="2600" w:type="dxa"/>
            <w:vAlign w:val="bottom"/>
          </w:tcPr>
          <w:p>
            <w:pPr>
              <w:ind w:left="160"/>
              <w:spacing w:after="0"/>
              <w:rPr>
                <w:sz w:val="20"/>
                <w:szCs w:val="20"/>
                <w:color w:val="auto"/>
              </w:rPr>
            </w:pPr>
            <w:r>
              <w:rPr>
                <w:rFonts w:ascii="Arial" w:cs="Arial" w:eastAsia="Arial" w:hAnsi="Arial"/>
                <w:sz w:val="4"/>
                <w:szCs w:val="4"/>
                <w:color w:val="auto"/>
              </w:rPr>
              <w:t>Total Material Costs per Unit</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2180"/>
              <w:spacing w:after="0"/>
              <w:rPr>
                <w:sz w:val="20"/>
                <w:szCs w:val="20"/>
                <w:color w:val="auto"/>
              </w:rPr>
            </w:pPr>
            <w:r>
              <w:rPr>
                <w:rFonts w:ascii="Arial" w:cs="Arial" w:eastAsia="Arial" w:hAnsi="Arial"/>
                <w:sz w:val="4"/>
                <w:szCs w:val="4"/>
                <w:color w:val="auto"/>
              </w:rPr>
              <w:t xml:space="preserve">(US$)   </w:t>
            </w:r>
            <w:r>
              <w:rPr>
                <w:rFonts w:ascii="Arial" w:cs="Arial" w:eastAsia="Arial" w:hAnsi="Arial"/>
                <w:sz w:val="8"/>
                <w:szCs w:val="8"/>
                <w:color w:val="auto"/>
                <w:vertAlign w:val="superscript"/>
              </w:rPr>
              <w:t>$</w:t>
            </w:r>
          </w:p>
        </w:tc>
        <w:tc>
          <w:tcPr>
            <w:tcW w:w="940" w:type="dxa"/>
            <w:vAlign w:val="bottom"/>
          </w:tcPr>
          <w:p>
            <w:pPr>
              <w:jc w:val="right"/>
              <w:ind w:right="759"/>
              <w:spacing w:after="0"/>
              <w:rPr>
                <w:sz w:val="20"/>
                <w:szCs w:val="20"/>
                <w:color w:val="auto"/>
              </w:rPr>
            </w:pPr>
            <w:r>
              <w:rPr>
                <w:rFonts w:ascii="Arial" w:cs="Arial" w:eastAsia="Arial" w:hAnsi="Arial"/>
                <w:sz w:val="4"/>
                <w:szCs w:val="4"/>
                <w:color w:val="auto"/>
              </w:rPr>
              <w:t>[*]</w:t>
            </w:r>
          </w:p>
        </w:tc>
        <w:tc>
          <w:tcPr>
            <w:tcW w:w="920" w:type="dxa"/>
            <w:vAlign w:val="bottom"/>
            <w:gridSpan w:val="2"/>
          </w:tcPr>
          <w:p>
            <w:pPr>
              <w:jc w:val="right"/>
              <w:ind w:right="359"/>
              <w:spacing w:after="0"/>
              <w:rPr>
                <w:sz w:val="20"/>
                <w:szCs w:val="20"/>
                <w:color w:val="auto"/>
              </w:rPr>
            </w:pPr>
            <w:r>
              <w:rPr>
                <w:rFonts w:ascii="Arial" w:cs="Arial" w:eastAsia="Arial" w:hAnsi="Arial"/>
                <w:sz w:val="4"/>
                <w:szCs w:val="4"/>
                <w:color w:val="auto"/>
              </w:rPr>
              <w:t>$[*]</w:t>
            </w:r>
          </w:p>
        </w:tc>
        <w:tc>
          <w:tcPr>
            <w:tcW w:w="560" w:type="dxa"/>
            <w:vAlign w:val="bottom"/>
          </w:tcPr>
          <w:p>
            <w:pPr>
              <w:spacing w:after="0"/>
              <w:rPr>
                <w:sz w:val="17"/>
                <w:szCs w:val="17"/>
                <w:color w:val="auto"/>
              </w:rPr>
            </w:pP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320" w:type="dxa"/>
            <w:vAlign w:val="bottom"/>
          </w:tcPr>
          <w:p>
            <w:pPr>
              <w:jc w:val="right"/>
              <w:ind w:right="159"/>
              <w:spacing w:after="0"/>
              <w:rPr>
                <w:sz w:val="20"/>
                <w:szCs w:val="20"/>
                <w:color w:val="auto"/>
              </w:rPr>
            </w:pPr>
            <w:r>
              <w:rPr>
                <w:rFonts w:ascii="Arial" w:cs="Arial" w:eastAsia="Arial" w:hAnsi="Arial"/>
                <w:sz w:val="4"/>
                <w:szCs w:val="4"/>
                <w:color w:val="auto"/>
              </w:rPr>
              <w:t>[*]</w:t>
            </w:r>
          </w:p>
        </w:tc>
        <w:tc>
          <w:tcPr>
            <w:tcW w:w="300" w:type="dxa"/>
            <w:vAlign w:val="bottom"/>
          </w:tcPr>
          <w:p>
            <w:pPr>
              <w:spacing w:after="0"/>
              <w:rPr>
                <w:sz w:val="17"/>
                <w:szCs w:val="17"/>
                <w:color w:val="auto"/>
              </w:rPr>
            </w:pPr>
          </w:p>
        </w:tc>
        <w:tc>
          <w:tcPr>
            <w:tcW w:w="820" w:type="dxa"/>
            <w:vAlign w:val="bottom"/>
            <w:gridSpan w:val="2"/>
          </w:tcPr>
          <w:p>
            <w:pPr>
              <w:ind w:left="680"/>
              <w:spacing w:after="0"/>
              <w:rPr>
                <w:sz w:val="20"/>
                <w:szCs w:val="20"/>
                <w:color w:val="auto"/>
              </w:rPr>
            </w:pPr>
            <w:r>
              <w:rPr>
                <w:rFonts w:ascii="Arial" w:cs="Arial" w:eastAsia="Arial" w:hAnsi="Arial"/>
                <w:sz w:val="4"/>
                <w:szCs w:val="4"/>
                <w:color w:val="auto"/>
              </w:rPr>
              <w:t>$</w:t>
            </w:r>
          </w:p>
        </w:tc>
        <w:tc>
          <w:tcPr>
            <w:tcW w:w="1520" w:type="dxa"/>
            <w:vAlign w:val="bottom"/>
          </w:tcPr>
          <w:p>
            <w:pPr>
              <w:jc w:val="right"/>
              <w:ind w:right="1372"/>
              <w:spacing w:after="0"/>
              <w:rPr>
                <w:sz w:val="20"/>
                <w:szCs w:val="20"/>
                <w:color w:val="auto"/>
              </w:rPr>
            </w:pPr>
            <w:r>
              <w:rPr>
                <w:rFonts w:ascii="Arial" w:cs="Arial" w:eastAsia="Arial" w:hAnsi="Arial"/>
                <w:sz w:val="4"/>
                <w:szCs w:val="4"/>
                <w:color w:val="auto"/>
              </w:rPr>
              <w:t>[*]</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-1526540</wp:posOffset>
            </wp:positionV>
            <wp:extent cx="123825" cy="476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123825" cy="476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-1129030</wp:posOffset>
            </wp:positionV>
            <wp:extent cx="615315" cy="844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615315" cy="844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-694055</wp:posOffset>
            </wp:positionV>
            <wp:extent cx="66548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665480" cy="17970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-640715</wp:posOffset>
            </wp:positionV>
            <wp:extent cx="58420" cy="787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-208915</wp:posOffset>
            </wp:positionV>
            <wp:extent cx="697865" cy="793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697865" cy="793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-121920</wp:posOffset>
            </wp:positionV>
            <wp:extent cx="251460" cy="876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251460" cy="8763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-121920</wp:posOffset>
            </wp:positionV>
            <wp:extent cx="58420" cy="787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-121920</wp:posOffset>
            </wp:positionV>
            <wp:extent cx="58420" cy="78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-121920</wp:posOffset>
            </wp:positionV>
            <wp:extent cx="58420" cy="787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743585" cy="800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43585" cy="80010"/>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-635</wp:posOffset>
            </wp:positionV>
            <wp:extent cx="58420" cy="787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-635</wp:posOffset>
            </wp:positionV>
            <wp:extent cx="58420" cy="787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-635</wp:posOffset>
            </wp:positionV>
            <wp:extent cx="58420" cy="787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58420" cy="7874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-635</wp:posOffset>
            </wp:positionV>
            <wp:extent cx="58420" cy="78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58420" cy="7874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p>
      <w:pPr>
        <w:spacing w:after="0" w:line="83" w:lineRule="exact"/>
        <w:rPr>
          <w:sz w:val="20"/>
          <w:szCs w:val="20"/>
          <w:color w:val="auto"/>
        </w:rPr>
      </w:pPr>
    </w:p>
    <w:p>
      <w:pPr>
        <w:ind w:left="40"/>
        <w:spacing w:after="0"/>
        <w:tabs>
          <w:tab w:leader="none" w:pos="2460" w:val="left"/>
          <w:tab w:leader="none" w:pos="2620" w:val="left"/>
          <w:tab w:leader="none" w:pos="3780" w:val="left"/>
          <w:tab w:leader="none" w:pos="3940" w:val="left"/>
          <w:tab w:leader="none" w:pos="5120" w:val="left"/>
          <w:tab w:leader="none" w:pos="5280" w:val="left"/>
          <w:tab w:leader="none" w:pos="6560" w:val="left"/>
          <w:tab w:leader="none" w:pos="6720" w:val="left"/>
        </w:tabs>
        <w:rPr>
          <w:sz w:val="20"/>
          <w:szCs w:val="20"/>
          <w:color w:val="auto"/>
        </w:rPr>
      </w:pPr>
      <w:r>
        <w:rPr>
          <w:rFonts w:ascii="Arial" w:cs="Arial" w:eastAsia="Arial" w:hAnsi="Arial"/>
          <w:sz w:val="4"/>
          <w:szCs w:val="4"/>
          <w:color w:val="auto"/>
        </w:rPr>
        <w:t>Unit Pricing (MVA + Materials)</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ectPr>
          <w:pgSz w:w="11900" w:h="16838" w:orient="portrait"/>
          <w:cols w:equalWidth="0" w:num="1">
            <w:col w:w="11300"/>
          </w:cols>
          <w:pgMar w:left="300" w:top="1440" w:right="299" w:bottom="1440" w:gutter="0" w:footer="0" w:header="0"/>
          <w:type w:val="continuous"/>
        </w:sectPr>
      </w:pPr>
    </w:p>
    <w:bookmarkStart w:id="194" w:name="page195"/>
    <w:bookmarkEnd w:id="194"/>
    <w:p>
      <w:pPr>
        <w:ind w:left="2140"/>
        <w:spacing w:after="0"/>
        <w:rPr>
          <w:sz w:val="20"/>
          <w:szCs w:val="20"/>
          <w:color w:val="auto"/>
        </w:rPr>
      </w:pPr>
      <w:r>
        <w:rPr>
          <w:rFonts w:ascii="Arial" w:cs="Arial" w:eastAsia="Arial" w:hAnsi="Arial"/>
          <w:sz w:val="4"/>
          <w:szCs w:val="4"/>
          <w:color w:val="auto"/>
        </w:rPr>
        <w:drawing>
          <wp:anchor simplePos="0" relativeHeight="251657728" behindDoc="1" locked="0" layoutInCell="0" allowOverlap="1">
            <wp:simplePos x="0" y="0"/>
            <wp:positionH relativeFrom="page">
              <wp:posOffset>193675</wp:posOffset>
            </wp:positionH>
            <wp:positionV relativeFrom="page">
              <wp:posOffset>749300</wp:posOffset>
            </wp:positionV>
            <wp:extent cx="7013575" cy="5594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7013575" cy="559435"/>
                    </a:xfrm>
                    <a:prstGeom prst="rect">
                      <a:avLst/>
                    </a:prstGeom>
                    <a:noFill/>
                  </pic:spPr>
                </pic:pic>
              </a:graphicData>
            </a:graphic>
          </wp:anchor>
        </w:drawing>
        <w:t>The extra cost of embedded FG Outbound Freight Cost (Line#18) to ship FG to different locations</w:t>
      </w:r>
    </w:p>
    <w:p>
      <w:pPr>
        <w:spacing w:after="0" w:line="113" w:lineRule="exact"/>
        <w:rPr>
          <w:sz w:val="20"/>
          <w:szCs w:val="20"/>
          <w:color w:val="auto"/>
        </w:rPr>
      </w:pPr>
    </w:p>
    <w:p>
      <w:pPr>
        <w:jc w:val="right"/>
        <w:ind w:right="3439"/>
        <w:spacing w:after="0"/>
        <w:rPr>
          <w:sz w:val="20"/>
          <w:szCs w:val="20"/>
          <w:color w:val="auto"/>
        </w:rPr>
      </w:pPr>
      <w:r>
        <w:rPr>
          <w:rFonts w:ascii="Arial" w:cs="Arial" w:eastAsia="Arial" w:hAnsi="Arial"/>
          <w:sz w:val="4"/>
          <w:szCs w:val="4"/>
          <w:color w:val="auto"/>
        </w:rPr>
        <w:t>[*]</w:t>
      </w:r>
    </w:p>
    <w:p>
      <w:pPr>
        <w:sectPr>
          <w:pgSz w:w="11900" w:h="16838" w:orient="portrait"/>
          <w:cols w:equalWidth="0" w:num="1">
            <w:col w:w="10139"/>
          </w:cols>
          <w:pgMar w:left="320" w:top="1302" w:right="1440" w:bottom="1440" w:gutter="0" w:footer="0" w:header="0"/>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4"/>
          <w:szCs w:val="4"/>
          <w:color w:val="auto"/>
        </w:rPr>
        <w:t>US, Oakland California</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8" w:hanging="148"/>
        <w:spacing w:after="0"/>
        <w:tabs>
          <w:tab w:leader="none" w:pos="148" w:val="left"/>
        </w:tabs>
        <w:numPr>
          <w:ilvl w:val="0"/>
          <w:numId w:val="130"/>
        </w:numPr>
        <w:rPr>
          <w:rFonts w:ascii="Arial" w:cs="Arial" w:eastAsia="Arial" w:hAnsi="Arial"/>
          <w:sz w:val="4"/>
          <w:szCs w:val="4"/>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6" w:hanging="146"/>
        <w:spacing w:after="0"/>
        <w:tabs>
          <w:tab w:leader="none" w:pos="146" w:val="left"/>
        </w:tabs>
        <w:numPr>
          <w:ilvl w:val="0"/>
          <w:numId w:val="131"/>
        </w:numPr>
        <w:rPr>
          <w:rFonts w:ascii="Arial" w:cs="Arial" w:eastAsia="Arial" w:hAnsi="Arial"/>
          <w:sz w:val="4"/>
          <w:szCs w:val="4"/>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4" w:hanging="144"/>
        <w:spacing w:after="0"/>
        <w:tabs>
          <w:tab w:leader="none" w:pos="144" w:val="left"/>
        </w:tabs>
        <w:numPr>
          <w:ilvl w:val="0"/>
          <w:numId w:val="132"/>
        </w:numPr>
        <w:rPr>
          <w:rFonts w:ascii="Arial" w:cs="Arial" w:eastAsia="Arial" w:hAnsi="Arial"/>
          <w:sz w:val="4"/>
          <w:szCs w:val="4"/>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6" w:hanging="146"/>
        <w:spacing w:after="0"/>
        <w:tabs>
          <w:tab w:leader="none" w:pos="146" w:val="left"/>
        </w:tabs>
        <w:numPr>
          <w:ilvl w:val="0"/>
          <w:numId w:val="133"/>
        </w:numPr>
        <w:rPr>
          <w:rFonts w:ascii="Arial" w:cs="Arial" w:eastAsia="Arial" w:hAnsi="Arial"/>
          <w:sz w:val="4"/>
          <w:szCs w:val="4"/>
          <w:color w:val="auto"/>
        </w:rPr>
      </w:pPr>
      <w:r>
        <w:rPr>
          <w:rFonts w:ascii="Arial" w:cs="Arial" w:eastAsia="Arial" w:hAnsi="Arial"/>
          <w:sz w:val="4"/>
          <w:szCs w:val="4"/>
          <w:color w:val="auto"/>
        </w:rPr>
        <w:t>[*]</w:t>
      </w:r>
    </w:p>
    <w:p>
      <w:pPr>
        <w:spacing w:after="0" w:line="113" w:lineRule="exact"/>
        <w:rPr>
          <w:sz w:val="20"/>
          <w:szCs w:val="20"/>
          <w:color w:val="auto"/>
        </w:rPr>
      </w:pPr>
    </w:p>
    <w:p>
      <w:pPr>
        <w:sectPr>
          <w:pgSz w:w="11900" w:h="16838" w:orient="portrait"/>
          <w:cols w:equalWidth="0" w:num="5">
            <w:col w:w="1352" w:space="720"/>
            <w:col w:w="362" w:space="720"/>
            <w:col w:w="362" w:space="720"/>
            <w:col w:w="458" w:space="720"/>
            <w:col w:w="4725"/>
          </w:cols>
          <w:pgMar w:left="320" w:top="1302" w:right="1440" w:bottom="1440" w:gutter="0" w:footer="0" w:header="0"/>
          <w:type w:val="continuous"/>
        </w:sectPr>
      </w:pPr>
    </w:p>
    <w:p>
      <w:pPr>
        <w:ind w:left="6600"/>
        <w:spacing w:after="0"/>
        <w:rPr>
          <w:sz w:val="20"/>
          <w:szCs w:val="20"/>
          <w:color w:val="auto"/>
        </w:rPr>
      </w:pPr>
      <w:r>
        <w:rPr>
          <w:rFonts w:ascii="Arial" w:cs="Arial" w:eastAsia="Arial" w:hAnsi="Arial"/>
          <w:sz w:val="4"/>
          <w:szCs w:val="4"/>
          <w:color w:val="auto"/>
        </w:rPr>
        <w:t>[*]</w:t>
      </w:r>
    </w:p>
    <w:p>
      <w:pPr>
        <w:sectPr>
          <w:pgSz w:w="11900" w:h="16838" w:orient="portrait"/>
          <w:cols w:equalWidth="0" w:num="1">
            <w:col w:w="10139"/>
          </w:cols>
          <w:pgMar w:left="320" w:top="1302" w:right="1440"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4"/>
          <w:szCs w:val="4"/>
          <w:color w:val="auto"/>
        </w:rPr>
        <w:t>Netherlands, Rotterdam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209550</wp:posOffset>
            </wp:positionV>
            <wp:extent cx="162560" cy="673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162560" cy="6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8" w:hanging="148"/>
        <w:spacing w:after="0"/>
        <w:tabs>
          <w:tab w:leader="none" w:pos="148" w:val="left"/>
        </w:tabs>
        <w:numPr>
          <w:ilvl w:val="0"/>
          <w:numId w:val="134"/>
        </w:numPr>
        <w:rPr>
          <w:rFonts w:ascii="Arial" w:cs="Arial" w:eastAsia="Arial" w:hAnsi="Arial"/>
          <w:sz w:val="4"/>
          <w:szCs w:val="4"/>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6" w:hanging="146"/>
        <w:spacing w:after="0"/>
        <w:tabs>
          <w:tab w:leader="none" w:pos="146" w:val="left"/>
        </w:tabs>
        <w:numPr>
          <w:ilvl w:val="0"/>
          <w:numId w:val="135"/>
        </w:numPr>
        <w:rPr>
          <w:rFonts w:ascii="Arial" w:cs="Arial" w:eastAsia="Arial" w:hAnsi="Arial"/>
          <w:sz w:val="4"/>
          <w:szCs w:val="4"/>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4" w:hanging="144"/>
        <w:spacing w:after="0"/>
        <w:tabs>
          <w:tab w:leader="none" w:pos="144" w:val="left"/>
        </w:tabs>
        <w:numPr>
          <w:ilvl w:val="0"/>
          <w:numId w:val="136"/>
        </w:numPr>
        <w:rPr>
          <w:rFonts w:ascii="Arial" w:cs="Arial" w:eastAsia="Arial" w:hAnsi="Arial"/>
          <w:sz w:val="4"/>
          <w:szCs w:val="4"/>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46" w:hanging="146"/>
        <w:spacing w:after="0"/>
        <w:tabs>
          <w:tab w:leader="none" w:pos="146" w:val="left"/>
        </w:tabs>
        <w:numPr>
          <w:ilvl w:val="0"/>
          <w:numId w:val="137"/>
        </w:numPr>
        <w:rPr>
          <w:rFonts w:ascii="Arial" w:cs="Arial" w:eastAsia="Arial" w:hAnsi="Arial"/>
          <w:sz w:val="4"/>
          <w:szCs w:val="4"/>
          <w:color w:val="auto"/>
        </w:rPr>
      </w:pPr>
      <w:r>
        <w:rPr>
          <w:rFonts w:ascii="Arial" w:cs="Arial" w:eastAsia="Arial" w:hAnsi="Arial"/>
          <w:sz w:val="4"/>
          <w:szCs w:val="4"/>
          <w:color w:val="auto"/>
        </w:rPr>
        <w:t>[*]</w:t>
      </w:r>
    </w:p>
    <w:p>
      <w:pPr>
        <w:spacing w:after="0" w:line="200" w:lineRule="exact"/>
        <w:rPr>
          <w:sz w:val="20"/>
          <w:szCs w:val="20"/>
          <w:color w:val="auto"/>
        </w:rPr>
      </w:pPr>
    </w:p>
    <w:p>
      <w:pPr>
        <w:sectPr>
          <w:pgSz w:w="11900" w:h="16838" w:orient="portrait"/>
          <w:cols w:equalWidth="0" w:num="5">
            <w:col w:w="1352" w:space="720"/>
            <w:col w:w="362" w:space="720"/>
            <w:col w:w="362" w:space="720"/>
            <w:col w:w="458" w:space="720"/>
            <w:col w:w="4725"/>
          </w:cols>
          <w:pgMar w:left="320" w:top="130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4"/>
          <w:szCs w:val="4"/>
          <w:color w:val="auto"/>
        </w:rPr>
        <w:t>NOTES</w:t>
      </w:r>
    </w:p>
    <w:p>
      <w:pPr>
        <w:spacing w:after="0" w:line="33" w:lineRule="exact"/>
        <w:rPr>
          <w:sz w:val="20"/>
          <w:szCs w:val="20"/>
          <w:color w:val="auto"/>
        </w:rPr>
      </w:pPr>
    </w:p>
    <w:p>
      <w:pPr>
        <w:spacing w:after="0"/>
        <w:rPr>
          <w:sz w:val="20"/>
          <w:szCs w:val="20"/>
          <w:color w:val="auto"/>
        </w:rPr>
      </w:pPr>
      <w:r>
        <w:rPr>
          <w:rFonts w:ascii="Arial" w:cs="Arial" w:eastAsia="Arial" w:hAnsi="Arial"/>
          <w:sz w:val="4"/>
          <w:szCs w:val="4"/>
          <w:color w:val="auto"/>
        </w:rPr>
        <w:t>[*]</w:t>
      </w:r>
      <w:r>
        <w:rPr>
          <w:sz w:val="1"/>
          <w:szCs w:val="1"/>
          <w:color w:val="auto"/>
        </w:rPr>
        <w:drawing>
          <wp:inline distT="0" distB="0" distL="0" distR="0">
            <wp:extent cx="87630" cy="6731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87630" cy="67310"/>
                    </a:xfrm>
                    <a:prstGeom prst="rect">
                      <a:avLst/>
                    </a:prstGeom>
                    <a:noFill/>
                    <a:ln>
                      <a:noFill/>
                    </a:ln>
                  </pic:spPr>
                </pic:pic>
              </a:graphicData>
            </a:graphic>
          </wp:inline>
        </w:drawing>
      </w:r>
    </w:p>
    <w:p>
      <w:pPr>
        <w:sectPr>
          <w:pgSz w:w="11900" w:h="16838" w:orient="portrait"/>
          <w:cols w:equalWidth="0" w:num="1">
            <w:col w:w="10139"/>
          </w:cols>
          <w:pgMar w:left="320" w:top="1302" w:right="1440" w:bottom="1440" w:gutter="0" w:footer="0" w:header="0"/>
          <w:type w:val="continuous"/>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0E0E0E"/>
        </w:rPr>
        <w:t>EXHIBIT D</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0E0E0E"/>
        </w:rPr>
        <w:t>ENPHASE CONTROLLED EQUIPMENT</w:t>
      </w:r>
    </w:p>
    <w:p>
      <w:pPr>
        <w:spacing w:after="0" w:line="2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w:t>
      </w:r>
    </w:p>
    <w:p>
      <w:pPr>
        <w:sectPr>
          <w:pgSz w:w="11900" w:h="16970" w:orient="portrait"/>
          <w:cols w:equalWidth="0" w:num="1">
            <w:col w:w="10159"/>
          </w:cols>
          <w:pgMar w:left="3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B8B8B8"/>
        </w:rPr>
        <w:t>'</w:t>
      </w:r>
    </w:p>
    <w:p>
      <w:pPr>
        <w:sectPr>
          <w:pgSz w:w="11900" w:h="16970" w:orient="portrait"/>
          <w:cols w:equalWidth="0" w:num="1">
            <w:col w:w="10159"/>
          </w:cols>
          <w:pgMar w:left="300" w:top="1440" w:right="1440" w:bottom="0" w:gutter="0" w:footer="0" w:header="0"/>
          <w:type w:val="continuous"/>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6"/>
          <w:szCs w:val="16"/>
          <w:color w:val="auto"/>
        </w:rPr>
        <w:t>EXHIBIT 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SUPPLIER CONTROLLED EQUIPMENT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1129" w:right="1440" w:bottom="1440"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jc w:val="right"/>
        <w:ind w:left="6460" w:hanging="2123"/>
        <w:spacing w:after="0" w:line="309" w:lineRule="auto"/>
        <w:tabs>
          <w:tab w:leader="none" w:pos="4516"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Certain confidential information contained in this document, marked by brackets, has been omitted because it is both not material and would likely cause competitive harm to the Company if publicly disclosed.</w:t>
      </w:r>
    </w:p>
    <w:p>
      <w:pPr>
        <w:spacing w:after="0" w:line="17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187" w:lineRule="exact"/>
        <w:rPr>
          <w:sz w:val="20"/>
          <w:szCs w:val="20"/>
          <w:color w:val="auto"/>
        </w:rPr>
      </w:pPr>
    </w:p>
    <w:p>
      <w:pPr>
        <w:jc w:val="both"/>
        <w:ind w:right="80" w:firstLine="508"/>
        <w:spacing w:after="0" w:line="248" w:lineRule="auto"/>
        <w:rPr>
          <w:sz w:val="20"/>
          <w:szCs w:val="20"/>
          <w:color w:val="auto"/>
        </w:rPr>
      </w:pPr>
      <w:r>
        <w:rPr>
          <w:rFonts w:ascii="Times New Roman" w:cs="Times New Roman" w:eastAsia="Times New Roman" w:hAnsi="Times New Roman"/>
          <w:sz w:val="16"/>
          <w:szCs w:val="16"/>
          <w:color w:val="auto"/>
        </w:rPr>
        <w:t>This EXCHANGE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December 14, 2020 by and between Enphase Energy,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Linden Advisors LP (the “</w:t>
      </w:r>
      <w:r>
        <w:rPr>
          <w:rFonts w:ascii="Times New Roman" w:cs="Times New Roman" w:eastAsia="Times New Roman" w:hAnsi="Times New Roman"/>
          <w:sz w:val="16"/>
          <w:szCs w:val="16"/>
          <w:b w:val="1"/>
          <w:bCs w:val="1"/>
          <w:color w:val="auto"/>
        </w:rPr>
        <w:t>Undersigned</w:t>
      </w:r>
      <w:r>
        <w:rPr>
          <w:rFonts w:ascii="Times New Roman" w:cs="Times New Roman" w:eastAsia="Times New Roman" w:hAnsi="Times New Roman"/>
          <w:sz w:val="16"/>
          <w:szCs w:val="16"/>
          <w:color w:val="auto"/>
        </w:rPr>
        <w:t>”), for itself and on behalf of the beneficial owners listed on Exhibit A hereto (“</w:t>
      </w:r>
      <w:r>
        <w:rPr>
          <w:rFonts w:ascii="Times New Roman" w:cs="Times New Roman" w:eastAsia="Times New Roman" w:hAnsi="Times New Roman"/>
          <w:sz w:val="16"/>
          <w:szCs w:val="16"/>
          <w:b w:val="1"/>
          <w:bCs w:val="1"/>
          <w:color w:val="auto"/>
        </w:rPr>
        <w:t>Accounts</w:t>
      </w:r>
      <w:r>
        <w:rPr>
          <w:rFonts w:ascii="Times New Roman" w:cs="Times New Roman" w:eastAsia="Times New Roman" w:hAnsi="Times New Roman"/>
          <w:sz w:val="16"/>
          <w:szCs w:val="16"/>
          <w:color w:val="auto"/>
        </w:rPr>
        <w:t>”) for whom the Undersigned holds contractual and investment authority (each Account, hereunder, a “</w:t>
      </w:r>
      <w:r>
        <w:rPr>
          <w:rFonts w:ascii="Times New Roman" w:cs="Times New Roman" w:eastAsia="Times New Roman" w:hAnsi="Times New Roman"/>
          <w:sz w:val="16"/>
          <w:szCs w:val="16"/>
          <w:b w:val="1"/>
          <w:bCs w:val="1"/>
          <w:color w:val="auto"/>
        </w:rPr>
        <w:t>Noteholder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Noteholders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WHEREAS, the Company previously issued $132.0 million aggregate principal amount of its 1.00% Convertible Senior Notes due 2024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80" w:firstLine="508"/>
        <w:spacing w:after="0" w:line="248" w:lineRule="auto"/>
        <w:rPr>
          <w:sz w:val="20"/>
          <w:szCs w:val="20"/>
          <w:color w:val="auto"/>
        </w:rPr>
      </w:pPr>
      <w:r>
        <w:rPr>
          <w:rFonts w:ascii="Times New Roman" w:cs="Times New Roman" w:eastAsia="Times New Roman" w:hAnsi="Times New Roman"/>
          <w:sz w:val="16"/>
          <w:szCs w:val="16"/>
          <w:color w:val="auto"/>
        </w:rPr>
        <w:t>WHEREAS, each Noteholder is the beneficial and record holder of the aggregate principal amount of the Notes (the “</w:t>
      </w:r>
      <w:r>
        <w:rPr>
          <w:rFonts w:ascii="Times New Roman" w:cs="Times New Roman" w:eastAsia="Times New Roman" w:hAnsi="Times New Roman"/>
          <w:sz w:val="16"/>
          <w:szCs w:val="16"/>
          <w:b w:val="1"/>
          <w:bCs w:val="1"/>
          <w:color w:val="auto"/>
        </w:rPr>
        <w:t>Exchanged Notes</w:t>
      </w:r>
      <w:r>
        <w:rPr>
          <w:rFonts w:ascii="Times New Roman" w:cs="Times New Roman" w:eastAsia="Times New Roman" w:hAnsi="Times New Roman"/>
          <w:sz w:val="16"/>
          <w:szCs w:val="16"/>
          <w:color w:val="auto"/>
        </w:rPr>
        <w:t>”) set forth in Exhibit A, which Exchanged Notes were issued pursuant to that certain Indenture, dated as of June 5, 2019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between the Company and U.S. Bank National Association,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jc w:val="both"/>
        <w:ind w:right="80" w:firstLine="508"/>
        <w:spacing w:after="0" w:line="243" w:lineRule="auto"/>
        <w:rPr>
          <w:sz w:val="20"/>
          <w:szCs w:val="20"/>
          <w:color w:val="auto"/>
        </w:rPr>
      </w:pPr>
      <w:r>
        <w:rPr>
          <w:rFonts w:ascii="Times New Roman" w:cs="Times New Roman" w:eastAsia="Times New Roman" w:hAnsi="Times New Roman"/>
          <w:sz w:val="16"/>
          <w:szCs w:val="16"/>
          <w:color w:val="auto"/>
        </w:rPr>
        <w:t>WHEREAS, the Company and the Undersigned (on behalf of the Noteholders) have agreed to enter into this Agreement pursuant to which: each Noteholder will exchange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its Exchanged Notes for (a) such number of shares of the Company’s common stock, $0.00001 par value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(b) cash in U.S. dollars (the “</w:t>
      </w:r>
      <w:r>
        <w:rPr>
          <w:rFonts w:ascii="Times New Roman" w:cs="Times New Roman" w:eastAsia="Times New Roman" w:hAnsi="Times New Roman"/>
          <w:sz w:val="16"/>
          <w:szCs w:val="16"/>
          <w:b w:val="1"/>
          <w:bCs w:val="1"/>
          <w:color w:val="auto"/>
        </w:rPr>
        <w:t>Exchange Payment</w:t>
      </w:r>
      <w:r>
        <w:rPr>
          <w:rFonts w:ascii="Times New Roman" w:cs="Times New Roman" w:eastAsia="Times New Roman" w:hAnsi="Times New Roman"/>
          <w:sz w:val="16"/>
          <w:szCs w:val="16"/>
          <w:color w:val="auto"/>
        </w:rPr>
        <w:t>”) as set forth in Exhibit A, which amounts will be calculated based on a one-day VWAP of the Common Stock on the date following the date of this Agreement,; and</w:t>
      </w:r>
    </w:p>
    <w:p>
      <w:pPr>
        <w:spacing w:after="0" w:line="167" w:lineRule="exact"/>
        <w:rPr>
          <w:sz w:val="20"/>
          <w:szCs w:val="20"/>
          <w:color w:val="auto"/>
        </w:rPr>
      </w:pPr>
    </w:p>
    <w:p>
      <w:pPr>
        <w:jc w:val="both"/>
        <w:ind w:right="80" w:firstLine="508"/>
        <w:spacing w:after="0" w:line="247" w:lineRule="auto"/>
        <w:rPr>
          <w:sz w:val="20"/>
          <w:szCs w:val="20"/>
          <w:color w:val="auto"/>
        </w:rPr>
      </w:pPr>
      <w:r>
        <w:rPr>
          <w:rFonts w:ascii="Times New Roman" w:cs="Times New Roman" w:eastAsia="Times New Roman" w:hAnsi="Times New Roman"/>
          <w:sz w:val="16"/>
          <w:szCs w:val="16"/>
          <w:color w:val="auto"/>
        </w:rPr>
        <w:t>WHEREAS, the transactions under this Agreement have been privately and separately negotiated and agreed to between the Company and the Undersigned (on behalf of the Noteholders); and the Exchange is being made in reliance upon the exemption from registration provided by Section 4(a)(2) of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89" w:lineRule="exact"/>
        <w:rPr>
          <w:sz w:val="20"/>
          <w:szCs w:val="20"/>
          <w:color w:val="auto"/>
        </w:rPr>
      </w:pPr>
    </w:p>
    <w:p>
      <w:pPr>
        <w:jc w:val="both"/>
        <w:ind w:right="80" w:firstLine="508"/>
        <w:spacing w:after="0" w:line="259"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herein and for other good and valuable consideration, the receipt and sufficiency of which is hereby acknowledged, the parties hereto agree as follows:</w:t>
      </w:r>
    </w:p>
    <w:p>
      <w:pPr>
        <w:spacing w:after="0" w:line="165" w:lineRule="exact"/>
        <w:rPr>
          <w:sz w:val="20"/>
          <w:szCs w:val="20"/>
          <w:color w:val="auto"/>
        </w:rPr>
      </w:pPr>
    </w:p>
    <w:p>
      <w:pPr>
        <w:ind w:right="80" w:firstLine="505"/>
        <w:spacing w:after="0" w:line="259" w:lineRule="auto"/>
        <w:tabs>
          <w:tab w:leader="none" w:pos="80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and Purchase</w:t>
      </w:r>
      <w:r>
        <w:rPr>
          <w:rFonts w:ascii="Times New Roman" w:cs="Times New Roman" w:eastAsia="Times New Roman" w:hAnsi="Times New Roman"/>
          <w:sz w:val="16"/>
          <w:szCs w:val="16"/>
          <w:color w:val="auto"/>
        </w:rPr>
        <w:t>. Subject to the terms and conditions set forth in this Agreement, at the Closing (as defined herein), the Noteholder will assign, transfer and deliver to the</w:t>
      </w:r>
    </w:p>
    <w:p>
      <w:pPr>
        <w:sectPr>
          <w:pgSz w:w="11900" w:h="16838" w:orient="portrait"/>
          <w:cols w:equalWidth="0" w:num="1">
            <w:col w:w="11200"/>
          </w:cols>
          <w:pgMar w:left="380" w:top="1198" w:right="319" w:bottom="1440" w:gutter="0" w:footer="0" w:header="0"/>
        </w:sectPr>
      </w:pPr>
    </w:p>
    <w:bookmarkStart w:id="204" w:name="page205"/>
    <w:bookmarkEnd w:id="204"/>
    <w:p>
      <w:pPr>
        <w:jc w:val="both"/>
        <w:spacing w:after="0" w:line="238" w:lineRule="auto"/>
        <w:rPr>
          <w:sz w:val="20"/>
          <w:szCs w:val="20"/>
          <w:color w:val="auto"/>
        </w:rPr>
      </w:pPr>
      <w:r>
        <w:rPr>
          <w:rFonts w:ascii="Times New Roman" w:cs="Times New Roman" w:eastAsia="Times New Roman" w:hAnsi="Times New Roman"/>
          <w:sz w:val="16"/>
          <w:szCs w:val="16"/>
          <w:color w:val="auto"/>
        </w:rPr>
        <w:t>Company all of its right, title and interest in and to all of the Exchanged Notes set forth in Exhibit A free and clear of any mortgage, lien, pledge, charge, security interest, encumbrance, option, or other adverse claim thereto (a “</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against issuance and delivery, or payment, to the Noteholder, which shall be in full satisfaction of all obligations of the Company under the Exchanged Notes, of (i) the number of shares of Common Stock (the “</w:t>
      </w:r>
      <w:r>
        <w:rPr>
          <w:rFonts w:ascii="Times New Roman" w:cs="Times New Roman" w:eastAsia="Times New Roman" w:hAnsi="Times New Roman"/>
          <w:sz w:val="16"/>
          <w:szCs w:val="16"/>
          <w:b w:val="1"/>
          <w:bCs w:val="1"/>
          <w:color w:val="auto"/>
        </w:rPr>
        <w:t>Exchanged Shares</w:t>
      </w:r>
      <w:r>
        <w:rPr>
          <w:rFonts w:ascii="Times New Roman" w:cs="Times New Roman" w:eastAsia="Times New Roman" w:hAnsi="Times New Roman"/>
          <w:sz w:val="16"/>
          <w:szCs w:val="16"/>
          <w:color w:val="auto"/>
        </w:rPr>
        <w:t>”), and (ii) the Exchange Payment, each as to be set forth in an updated Exhibit A as mutually agreed between the Company and the Undersigned by the end of the business day immediately following the date of this Agreement. The Exchange Payment will consist of $1,000 in cash for each $1,000 principal amount of Exchanged Notes, plus an amount equal to the value of any fractional shares as described below. The number of Exchanged Shares will be equal to (a) the number of shares of Common Stock deliverable to the Noteholders if the Exchanged Notes were converted based on a conversion ratio of 48.7781 per $1,000 principal amount of Exchanged Notes, minus (b) the number of shares of Common Stock derived by dividing the principal amount of the Exchanged Notes by the VWAP (defined below). Any fractional shares resulting from the calculation in the previous sentence will be paid in cash, based on such VWAP, and will be added to the Exchange Payment. For purposes of this paragraph, the “VWAP”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equal the Composite VWAP of the Common Stock on Bloomberg (ENPH US &lt;equity&gt; AQR) from 9:30AM to 4:00PM EST on the day following the date of this Agreement.</w:t>
      </w:r>
    </w:p>
    <w:p>
      <w:pPr>
        <w:spacing w:after="0" w:line="208" w:lineRule="exact"/>
        <w:rPr>
          <w:sz w:val="20"/>
          <w:szCs w:val="20"/>
          <w:color w:val="auto"/>
        </w:rPr>
      </w:pPr>
    </w:p>
    <w:p>
      <w:pPr>
        <w:jc w:val="both"/>
        <w:ind w:firstLine="505"/>
        <w:spacing w:after="0" w:line="244" w:lineRule="auto"/>
        <w:tabs>
          <w:tab w:leader="none" w:pos="85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and Closing Deliveries</w:t>
      </w:r>
      <w:r>
        <w:rPr>
          <w:rFonts w:ascii="Times New Roman" w:cs="Times New Roman" w:eastAsia="Times New Roman" w:hAnsi="Times New Roman"/>
          <w:sz w:val="16"/>
          <w:szCs w:val="16"/>
          <w:color w:val="auto"/>
        </w:rPr>
        <w:t>. The closing of the Exchange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shall take place remotely at 10:00 a.m., New York time, on December 16, 2020 following the satisfaction or, to the extent permitted by applicable law, waiver of the conditions set forth in Section 6 below (other than those conditions that by their terms are to be satisfied at the Closing, but subject to the satisfaction or, to the extent permitted by applicable law, waiver of those conditions), unless another date, time or place is agreed to in writing by the parties hereto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760" w:hanging="255"/>
        <w:spacing w:after="0"/>
        <w:tabs>
          <w:tab w:leader="none" w:pos="7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w:t>
      </w:r>
    </w:p>
    <w:p>
      <w:pPr>
        <w:spacing w:after="0" w:line="197" w:lineRule="exact"/>
        <w:rPr>
          <w:rFonts w:ascii="Times New Roman" w:cs="Times New Roman" w:eastAsia="Times New Roman" w:hAnsi="Times New Roman"/>
          <w:sz w:val="16"/>
          <w:szCs w:val="16"/>
          <w:color w:val="auto"/>
        </w:rPr>
      </w:pPr>
    </w:p>
    <w:p>
      <w:pPr>
        <w:ind w:left="1340" w:hanging="326"/>
        <w:spacing w:after="0"/>
        <w:tabs>
          <w:tab w:leader="none" w:pos="134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w:t>
      </w:r>
    </w:p>
    <w:p>
      <w:pPr>
        <w:spacing w:after="0" w:line="187" w:lineRule="exact"/>
        <w:rPr>
          <w:rFonts w:ascii="Times New Roman" w:cs="Times New Roman" w:eastAsia="Times New Roman" w:hAnsi="Times New Roman"/>
          <w:sz w:val="16"/>
          <w:szCs w:val="16"/>
          <w:color w:val="auto"/>
        </w:rPr>
      </w:pPr>
    </w:p>
    <w:p>
      <w:pPr>
        <w:ind w:left="1020" w:firstLine="503"/>
        <w:spacing w:after="0" w:line="259" w:lineRule="auto"/>
        <w:tabs>
          <w:tab w:leader="none" w:pos="1872"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the Exchange Shares, bearing an unrestricted CUSIP number, to the Noteholders’ custodians as identified in Exhibit B hereto, through the facilities of DTC free and clear of any Liens; and</w:t>
      </w:r>
    </w:p>
    <w:p>
      <w:pPr>
        <w:spacing w:after="0" w:line="165" w:lineRule="exact"/>
        <w:rPr>
          <w:rFonts w:ascii="Times New Roman" w:cs="Times New Roman" w:eastAsia="Times New Roman" w:hAnsi="Times New Roman"/>
          <w:sz w:val="16"/>
          <w:szCs w:val="16"/>
          <w:color w:val="auto"/>
        </w:rPr>
      </w:pPr>
    </w:p>
    <w:p>
      <w:pPr>
        <w:ind w:left="1860" w:hanging="337"/>
        <w:spacing w:after="0"/>
        <w:tabs>
          <w:tab w:leader="none" w:pos="1860" w:val="left"/>
        </w:tabs>
        <w:numPr>
          <w:ilvl w:val="2"/>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the Cash Payment to the Noteholders, by wire transfer of immediately available funds to such account or accounts as designated in Exhibit B.</w:t>
      </w:r>
    </w:p>
    <w:p>
      <w:pPr>
        <w:spacing w:after="0" w:line="210" w:lineRule="exact"/>
        <w:rPr>
          <w:rFonts w:ascii="Times New Roman" w:cs="Times New Roman" w:eastAsia="Times New Roman" w:hAnsi="Times New Roman"/>
          <w:sz w:val="14"/>
          <w:szCs w:val="14"/>
          <w:color w:val="auto"/>
        </w:rPr>
      </w:pPr>
    </w:p>
    <w:p>
      <w:pPr>
        <w:ind w:left="1360" w:hanging="346"/>
        <w:spacing w:after="0"/>
        <w:tabs>
          <w:tab w:leader="none" w:pos="136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Noteholders shall:</w:t>
      </w:r>
    </w:p>
    <w:p>
      <w:pPr>
        <w:spacing w:after="0" w:line="197" w:lineRule="exact"/>
        <w:rPr>
          <w:rFonts w:ascii="Times New Roman" w:cs="Times New Roman" w:eastAsia="Times New Roman" w:hAnsi="Times New Roman"/>
          <w:sz w:val="16"/>
          <w:szCs w:val="16"/>
          <w:color w:val="auto"/>
        </w:rPr>
      </w:pPr>
    </w:p>
    <w:p>
      <w:pPr>
        <w:jc w:val="both"/>
        <w:ind w:left="1020" w:firstLine="503"/>
        <w:spacing w:after="0" w:line="299" w:lineRule="auto"/>
        <w:tabs>
          <w:tab w:leader="none" w:pos="1849" w:val="left"/>
        </w:tabs>
        <w:numPr>
          <w:ilvl w:val="2"/>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by book entry, in accordance with the applicable procedures of The Depository Trust Company, the delivery to the Company (or its trustee or designee) of all of the Exchanged Notes and all other documents and instruments reasonably requested by the Company or the Trustee to effect the transfer of the Exchanged Notes to the Company and confirm in the Company all right, title and interest in and to the Exchanged Notes free and clear of any Liens.</w:t>
      </w:r>
    </w:p>
    <w:p>
      <w:pPr>
        <w:spacing w:after="0" w:line="141" w:lineRule="exact"/>
        <w:rPr>
          <w:rFonts w:ascii="Times New Roman" w:cs="Times New Roman" w:eastAsia="Times New Roman" w:hAnsi="Times New Roman"/>
          <w:sz w:val="14"/>
          <w:szCs w:val="14"/>
          <w:color w:val="auto"/>
        </w:rPr>
      </w:pPr>
    </w:p>
    <w:p>
      <w:pPr>
        <w:ind w:left="780" w:hanging="275"/>
        <w:spacing w:after="0"/>
        <w:tabs>
          <w:tab w:leader="none" w:pos="78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Noteholder</w:t>
      </w:r>
      <w:r>
        <w:rPr>
          <w:rFonts w:ascii="Times New Roman" w:cs="Times New Roman" w:eastAsia="Times New Roman" w:hAnsi="Times New Roman"/>
          <w:sz w:val="14"/>
          <w:szCs w:val="14"/>
          <w:color w:val="auto"/>
        </w:rPr>
        <w:t>. The Undersigned, for itself and on behalf of each Noteholder, represents and warrants to the Company as follows:</w:t>
      </w:r>
    </w:p>
    <w:p>
      <w:pPr>
        <w:sectPr>
          <w:pgSz w:w="11900" w:h="16838" w:orient="portrait"/>
          <w:cols w:equalWidth="0" w:num="1">
            <w:col w:w="11120"/>
          </w:cols>
          <w:pgMar w:left="380" w:top="1139" w:right="399" w:bottom="1440" w:gutter="0" w:footer="0" w:header="0"/>
        </w:sectPr>
      </w:pPr>
    </w:p>
    <w:bookmarkStart w:id="205" w:name="page206"/>
    <w:bookmarkEnd w:id="205"/>
    <w:p>
      <w:pPr>
        <w:jc w:val="both"/>
        <w:ind w:left="-1014" w:firstLine="1014"/>
        <w:spacing w:after="0" w:line="237" w:lineRule="auto"/>
        <w:tabs>
          <w:tab w:leader="none" w:pos="333"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to Exchanged Notes and Holding Period</w:t>
      </w:r>
      <w:r>
        <w:rPr>
          <w:rFonts w:ascii="Times New Roman" w:cs="Times New Roman" w:eastAsia="Times New Roman" w:hAnsi="Times New Roman"/>
          <w:sz w:val="16"/>
          <w:szCs w:val="16"/>
          <w:color w:val="auto"/>
        </w:rPr>
        <w:t>. Each Noteholder is the sole legal and beneficial owner of the Exchanged Notes set forth on Exhibit A and for purposes of Rule 144(d) under the Securities Act, such Noteholder has either (i) held the Exchanged Notes for at least one (1) year, or will satisfy such holding period requirement as of the Closing, or (ii) acquired the Exchanged Notes from a person who was not and has not been in the ninety (90) days prior to the sale, an Affiliate of the Company (as defined herein) and, as a result of tacking the holding period of prior non-Affiliate purchasers, has held the Exchanged Notes for at least one (1) year, or will satisfy such holding period requirement at Closing. Each Noteholder has good, valid and marketable title to the Exchanged Notes set forth on Exhibit A free and clear of all Liens, and neither such Noteholder nor any Affiliate of such Noteholder owns or holds beneficially or of record any Notes (or any rights or interests of any nature whatsoever in or with respect to any Notes) other than Exchanged Notes set forth on Exhibit A. At the Closing, each Noteholder will convey to the Company good and marketable title to the Exchanged Notes free and clear of all Liens. Except for this Agreement, none of the Noteholders is party to or bound by any contract, option or other arrangement or understanding with respect to the purchase, sale, delivery, transfer, gift, pledge, hypothecation, encumbrance, assignment or other disposition or acquisition of (including by operation of law) any Notes (or any rights or interests of any nature whatsoever in or with respect to any Notes) or as to voting, agreeing or consenting (or abstaining therefrom) with respect to any amendment to or waiver of any terms of, or taking any action whatsoever with respect to, the Notes and/or the Indentures.</w:t>
      </w:r>
    </w:p>
    <w:p>
      <w:pPr>
        <w:spacing w:after="0" w:line="27" w:lineRule="exact"/>
        <w:rPr>
          <w:rFonts w:ascii="Times New Roman" w:cs="Times New Roman" w:eastAsia="Times New Roman" w:hAnsi="Times New Roman"/>
          <w:sz w:val="16"/>
          <w:szCs w:val="16"/>
          <w:color w:val="auto"/>
        </w:rPr>
      </w:pPr>
    </w:p>
    <w:p>
      <w:pPr>
        <w:jc w:val="both"/>
        <w:ind w:left="-1014" w:firstLine="1014"/>
        <w:spacing w:after="0" w:line="274" w:lineRule="auto"/>
        <w:tabs>
          <w:tab w:leader="none" w:pos="382"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Existence; Authority; Binding Effect</w:t>
      </w:r>
      <w:r>
        <w:rPr>
          <w:rFonts w:ascii="Times New Roman" w:cs="Times New Roman" w:eastAsia="Times New Roman" w:hAnsi="Times New Roman"/>
          <w:sz w:val="14"/>
          <w:szCs w:val="14"/>
          <w:color w:val="auto"/>
        </w:rPr>
        <w:t xml:space="preserve"> . The Undersigned and each Noteholder is duly incorporated or organized, validly existing and in good standing under the laws of its jurisdiction of organization. The Undersigned has full legal capacity, power and authority to execute and deliver this Agreement, and any other agreements or instruments executed or to be executed by it in connection herewith and to consummate the transactions contemplated herein and therein. The execution, delivery and performance by the Undersigned and each of the Noteholders of this Agreement and any other agreements or instruments executed or to be executed and delivered by the Undersigned or any of the Noteholders in connection herewith, and the consummation of the transactions contemplated hereby and thereby by the Undersigned and any of the Noteholders, have been duly and validly authorized and approved by the board of directors or other governing body of the Undersigned (for itself and in connection with the authority granted to the Undersigned by each Noteholder), and no other actions on the part of the Undersigned or any of the Noteholders (including any notices, filings or consents) are necessary in respect thereof. This Agreement has been duly executed and delivered by the Undersigned, and this Agreement is, and the other agreements and instruments executed hereunder by the Undersigned in connection herewith will be, a valid and binding obligation of the Undersigned and each of the Noteholders, in each case, to the extent party thereto, enforceable in accordance with its respective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or at law) (collectively, the “</w:t>
      </w:r>
      <w:r>
        <w:rPr>
          <w:rFonts w:ascii="Times New Roman" w:cs="Times New Roman" w:eastAsia="Times New Roman" w:hAnsi="Times New Roman"/>
          <w:sz w:val="14"/>
          <w:szCs w:val="14"/>
          <w:u w:val="single" w:color="auto"/>
          <w:color w:val="auto"/>
        </w:rPr>
        <w:t>Enforceability Exceptions</w:t>
      </w:r>
      <w:r>
        <w:rPr>
          <w:rFonts w:ascii="Times New Roman" w:cs="Times New Roman" w:eastAsia="Times New Roman" w:hAnsi="Times New Roman"/>
          <w:sz w:val="14"/>
          <w:szCs w:val="14"/>
          <w:color w:val="auto"/>
        </w:rPr>
        <w:t>”).</w:t>
      </w:r>
    </w:p>
    <w:p>
      <w:pPr>
        <w:spacing w:after="0" w:line="386" w:lineRule="exact"/>
        <w:rPr>
          <w:rFonts w:ascii="Times New Roman" w:cs="Times New Roman" w:eastAsia="Times New Roman" w:hAnsi="Times New Roman"/>
          <w:sz w:val="14"/>
          <w:szCs w:val="14"/>
          <w:color w:val="auto"/>
        </w:rPr>
      </w:pPr>
    </w:p>
    <w:p>
      <w:pPr>
        <w:jc w:val="both"/>
        <w:ind w:left="-1014" w:firstLine="1014"/>
        <w:spacing w:after="0" w:line="243" w:lineRule="auto"/>
        <w:tabs>
          <w:tab w:leader="none" w:pos="343"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Violation</w:t>
      </w:r>
      <w:r>
        <w:rPr>
          <w:rFonts w:ascii="Times New Roman" w:cs="Times New Roman" w:eastAsia="Times New Roman" w:hAnsi="Times New Roman"/>
          <w:sz w:val="16"/>
          <w:szCs w:val="16"/>
          <w:color w:val="auto"/>
        </w:rPr>
        <w:t>. None of the execution and delivery of this Agreement, or any other agreements or instruments executed and delivered by the Undersigned or the Noteholders in connection herewith, nor the performance of any obligations hereunder or thereunder by the Undersigned or the Noteholders, including the exchange of the Exchanged Notes pursuant to this Agreement, will conflict with, or result in any violation of, or default (with or without notice or lapse of time, or both) under or result in the creation of any Lien upon the Exchanged Notes held by the Noteholders under (i) the organizational documents of each such Noteholder, including any certificate</w:t>
      </w:r>
    </w:p>
    <w:p>
      <w:pPr>
        <w:sectPr>
          <w:pgSz w:w="11900" w:h="16838" w:orient="portrait"/>
          <w:cols w:equalWidth="0" w:num="1">
            <w:col w:w="10106"/>
          </w:cols>
          <w:pgMar w:left="1394" w:top="1139" w:right="399" w:bottom="1440" w:gutter="0" w:footer="0" w:header="0"/>
        </w:sectPr>
      </w:pPr>
    </w:p>
    <w:bookmarkStart w:id="206" w:name="page207"/>
    <w:bookmarkEnd w:id="206"/>
    <w:p>
      <w:pPr>
        <w:jc w:val="both"/>
        <w:spacing w:after="0" w:line="247" w:lineRule="auto"/>
        <w:rPr>
          <w:sz w:val="20"/>
          <w:szCs w:val="20"/>
          <w:color w:val="auto"/>
        </w:rPr>
      </w:pPr>
      <w:r>
        <w:rPr>
          <w:rFonts w:ascii="Times New Roman" w:cs="Times New Roman" w:eastAsia="Times New Roman" w:hAnsi="Times New Roman"/>
          <w:sz w:val="16"/>
          <w:szCs w:val="16"/>
          <w:color w:val="auto"/>
        </w:rPr>
        <w:t>of formation, limited partnership agreement or similar agreement; (ii) any law, regulation, order, writ, injunction or decree applicable to the Noteholders or by which any property or asset of the Noteholders is bound or affected; or (iii) any note, bond, mortgage, indenture, contract, agreement, lease, license, permit, franchise, or other instrument or obligation to which such Noteholders are a party or by which the Noteholders or any property or asset of the Noteholders are bound or affected.</w:t>
      </w:r>
    </w:p>
    <w:p>
      <w:pPr>
        <w:spacing w:after="0" w:line="164" w:lineRule="exact"/>
        <w:rPr>
          <w:sz w:val="20"/>
          <w:szCs w:val="20"/>
          <w:color w:val="auto"/>
        </w:rPr>
      </w:pPr>
    </w:p>
    <w:p>
      <w:pPr>
        <w:jc w:val="both"/>
        <w:ind w:firstLine="1014"/>
        <w:spacing w:after="0" w:line="243" w:lineRule="auto"/>
        <w:tabs>
          <w:tab w:leader="none" w:pos="135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 and Approvals</w:t>
      </w:r>
      <w:r>
        <w:rPr>
          <w:rFonts w:ascii="Times New Roman" w:cs="Times New Roman" w:eastAsia="Times New Roman" w:hAnsi="Times New Roman"/>
          <w:sz w:val="16"/>
          <w:szCs w:val="16"/>
          <w:color w:val="auto"/>
        </w:rPr>
        <w:t>. No consent, approval, order or authorization of, or registration, declaration, filing with or notice to, any governmental entity or any other person is required to be obtained, made or given by or with respect to the Undersigned or any of the Noteholders in connection with the execution and delivery of this Agreement or other agreements or instruments executed and delivered hereunder or thereunder by the Undersigned or the Noteholders, or the performance of any obligations hereunder or thereunder by the Undersigned or the Noteholders, including the Exchange.</w:t>
      </w:r>
    </w:p>
    <w:p>
      <w:pPr>
        <w:spacing w:after="0" w:line="177" w:lineRule="exact"/>
        <w:rPr>
          <w:rFonts w:ascii="Times New Roman" w:cs="Times New Roman" w:eastAsia="Times New Roman" w:hAnsi="Times New Roman"/>
          <w:sz w:val="16"/>
          <w:szCs w:val="16"/>
          <w:color w:val="auto"/>
        </w:rPr>
      </w:pPr>
    </w:p>
    <w:p>
      <w:pPr>
        <w:jc w:val="both"/>
        <w:ind w:firstLine="1014"/>
        <w:spacing w:after="0" w:line="239" w:lineRule="auto"/>
        <w:tabs>
          <w:tab w:leader="none" w:pos="134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Affiliate Status</w:t>
      </w:r>
      <w:r>
        <w:rPr>
          <w:rFonts w:ascii="Times New Roman" w:cs="Times New Roman" w:eastAsia="Times New Roman" w:hAnsi="Times New Roman"/>
          <w:sz w:val="16"/>
          <w:szCs w:val="16"/>
          <w:color w:val="auto"/>
        </w:rPr>
        <w:t>. Neither the Undersigned nor any of the Noteholders are, and have not been during the consecutive three-month period preceding the date hereof, a director, officer or “affiliate” within the meaning of Rule 144 promulgated under the Securities Act (an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the Company. The Noteholders did not acquire the Exchanged Note, directly or indirectly, from an Affiliate of the Company. The Noteholders and their Affiliates collectively beneficially own and will beneficially own as of the Closing Date (but without giving effect to the Exchange) (i) less than 5% of the outstanding Common Stock and (ii) less than 5% of the aggregate number of votes that may be cast by holders of those outstanding securities of the Company that entitle the holders thereof to vote generally on all matters submitted to the Company’s stockholders for a vote (the “</w:t>
      </w:r>
      <w:r>
        <w:rPr>
          <w:rFonts w:ascii="Times New Roman" w:cs="Times New Roman" w:eastAsia="Times New Roman" w:hAnsi="Times New Roman"/>
          <w:sz w:val="16"/>
          <w:szCs w:val="16"/>
          <w:b w:val="1"/>
          <w:bCs w:val="1"/>
          <w:color w:val="auto"/>
        </w:rPr>
        <w:t>Voting Power</w:t>
      </w:r>
      <w:r>
        <w:rPr>
          <w:rFonts w:ascii="Times New Roman" w:cs="Times New Roman" w:eastAsia="Times New Roman" w:hAnsi="Times New Roman"/>
          <w:sz w:val="16"/>
          <w:szCs w:val="16"/>
          <w:color w:val="auto"/>
        </w:rPr>
        <w:t>”). Immediately after the receipt by the Noteholders of the Exchanged Shares in the Exchange, the aggregate number of shares of Common Stock owned by the Noteholders and their Affiliates, together with the aggregate number of shares equal to</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notional value of any “long” derivative transaction relating to such Common Stock to which the Noteholders or their Affiliate are a party (excluding derivative transactions relating to broad based indices), will not exceed 4.9% of the outstanding Common Stock. The Undersigned and the Noteholders are not a subsidiary, Affiliate or, to its knowledge, otherwise closely-related to any director or officer of the Company or beneficial owner of 5% or more of the outstanding Common Stock or Voting Power (each such director, officer or beneficial owner, a “</w:t>
      </w:r>
      <w:r>
        <w:rPr>
          <w:rFonts w:ascii="Times New Roman" w:cs="Times New Roman" w:eastAsia="Times New Roman" w:hAnsi="Times New Roman"/>
          <w:sz w:val="16"/>
          <w:szCs w:val="16"/>
          <w:b w:val="1"/>
          <w:bCs w:val="1"/>
          <w:color w:val="auto"/>
        </w:rPr>
        <w:t>Related Party</w:t>
      </w:r>
      <w:r>
        <w:rPr>
          <w:rFonts w:ascii="Times New Roman" w:cs="Times New Roman" w:eastAsia="Times New Roman" w:hAnsi="Times New Roman"/>
          <w:sz w:val="16"/>
          <w:szCs w:val="16"/>
          <w:color w:val="auto"/>
        </w:rPr>
        <w:t>”). To its knowledge, no Related Party beneficially owns 5% or more of the outstanding voting equity, or votes entitled to be cast by the outstanding voting equity, of the Undersigned or any of the Noteholders.</w:t>
      </w:r>
    </w:p>
    <w:p>
      <w:pPr>
        <w:spacing w:after="0" w:line="169" w:lineRule="exact"/>
        <w:rPr>
          <w:sz w:val="20"/>
          <w:szCs w:val="20"/>
          <w:color w:val="auto"/>
        </w:rPr>
      </w:pPr>
    </w:p>
    <w:p>
      <w:pPr>
        <w:jc w:val="both"/>
        <w:ind w:firstLine="1014"/>
        <w:spacing w:after="0" w:line="243" w:lineRule="auto"/>
        <w:tabs>
          <w:tab w:leader="none" w:pos="141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Qualified Institutional Buyer</w:t>
      </w:r>
      <w:r>
        <w:rPr>
          <w:rFonts w:ascii="Times New Roman" w:cs="Times New Roman" w:eastAsia="Times New Roman" w:hAnsi="Times New Roman"/>
          <w:sz w:val="16"/>
          <w:szCs w:val="16"/>
          <w:color w:val="auto"/>
        </w:rPr>
        <w:t>. Each Noteholder is an “accredited investor” within the meaning of Rule 501(a) of Regulation D promulgated under the Securities Act, and a “qualified institutional buyer” within the meaning of Rule 144A promulgated under the Securities Act and is acquiring the Common Stock hereunder for investment for its own respective account and not with a view to, or for resale in connection with, any distribution thereof in a manner that would violate the registration requirements of the Securities Act.</w:t>
      </w:r>
    </w:p>
    <w:p>
      <w:pPr>
        <w:spacing w:after="0" w:line="177" w:lineRule="exact"/>
        <w:rPr>
          <w:rFonts w:ascii="Times New Roman" w:cs="Times New Roman" w:eastAsia="Times New Roman" w:hAnsi="Times New Roman"/>
          <w:sz w:val="16"/>
          <w:szCs w:val="16"/>
          <w:color w:val="auto"/>
        </w:rPr>
      </w:pPr>
    </w:p>
    <w:p>
      <w:pPr>
        <w:jc w:val="both"/>
        <w:ind w:firstLine="1014"/>
        <w:spacing w:after="0" w:line="243" w:lineRule="auto"/>
        <w:tabs>
          <w:tab w:leader="none" w:pos="135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Adequate Information; No Reliance</w:t>
      </w:r>
      <w:r>
        <w:rPr>
          <w:rFonts w:ascii="Times New Roman" w:cs="Times New Roman" w:eastAsia="Times New Roman" w:hAnsi="Times New Roman"/>
          <w:sz w:val="16"/>
          <w:szCs w:val="16"/>
          <w:color w:val="auto"/>
        </w:rPr>
        <w:t>. The Undersigned and each Noteholder acknowledges and agrees that (i) it has access to (including through the EDGAR system) and has reviewed the Company’s reports filed with the Securities and Exchange Commission, including the “risk factors” contained in such reports, and it has been furnished with all materials it considers relevant to making an investment decision to enter into the Exchange and has had the opportunity to review the Company’s filings and submissions with the Securities and Exchange Commission,</w:t>
      </w:r>
    </w:p>
    <w:p>
      <w:pPr>
        <w:sectPr>
          <w:pgSz w:w="11900" w:h="16838" w:orient="portrait"/>
          <w:cols w:equalWidth="0" w:num="1">
            <w:col w:w="11120"/>
          </w:cols>
          <w:pgMar w:left="380" w:top="1192" w:right="399" w:bottom="1440" w:gutter="0" w:footer="0" w:header="0"/>
        </w:sectPr>
      </w:pPr>
    </w:p>
    <w:bookmarkStart w:id="207" w:name="page208"/>
    <w:bookmarkEnd w:id="207"/>
    <w:p>
      <w:pPr>
        <w:jc w:val="both"/>
        <w:spacing w:after="0" w:line="274" w:lineRule="auto"/>
        <w:rPr>
          <w:sz w:val="20"/>
          <w:szCs w:val="20"/>
          <w:color w:val="auto"/>
        </w:rPr>
      </w:pPr>
      <w:r>
        <w:rPr>
          <w:rFonts w:ascii="Times New Roman" w:cs="Times New Roman" w:eastAsia="Times New Roman" w:hAnsi="Times New Roman"/>
          <w:sz w:val="14"/>
          <w:szCs w:val="14"/>
          <w:color w:val="auto"/>
        </w:rPr>
        <w:t>including, without limitation, all information filed or furnished pursuant to the Exchange Act, (ii) it has had a full opportunity to ask questions of and receive answers from the officers of the Company concerning the Company, its business, operations, financial performance, financial condition and prospects, and the terms and conditions of the Exchange and its investment in the Exchanged Shares, (iii) such Noteholder, together with its professional advisers, is a sophisticated and experienced investor and is capable of evaluating, to its satisfaction, the accounting, tax, financial, legal and other risks associated with the Exchange and its investment in the Exchanged Shares, and that such Noteholder has had the opportunity to consult with its accounting, tax, financial and legal advisors to be able to evaluate the risks involved in the Exchange and its investment in the Exchanged Shares and to make an informed investment decision with respect to such Exchange and investment in the Exchanged Shares, and that such Noteholder is capable of sustaining any loss resulting therefrom without material injury, (iv) it understands that no federal or state agency has passed upon the merits or risks of an investment in the Common Stock or made any finding or determination concerning the fairness or advisability of its investment in the Exchanged Shares or the Exchange, and none of the Company or its representatives or Affiliates is acting as a fiduciary or financial or investment advisor to such Noteholder, (v) it is not relying, and has not relied, upon any statement, advice (whether accounting, tax, financial, legal or other), representation or warranty made by the Company or any of its Affiliates or representatives, except for the representations and warranties made by the Company in this Agreement, (vi) no statement or written material contrary to this Agreement has been made or given to such Noteholder by or on behalf of the Company and (vii) such Noteholder has such knowledge and experience in financial and business matters as to be capable of evaluating the merits and risks of the prospective investment in the Exchanged Shares and has the ability to bear the economic risks of its investment and can afford the complete loss of such investment.</w:t>
      </w:r>
    </w:p>
    <w:p>
      <w:pPr>
        <w:spacing w:after="0" w:line="341" w:lineRule="exact"/>
        <w:rPr>
          <w:sz w:val="20"/>
          <w:szCs w:val="20"/>
          <w:color w:val="auto"/>
        </w:rPr>
      </w:pPr>
    </w:p>
    <w:p>
      <w:pPr>
        <w:jc w:val="both"/>
        <w:ind w:firstLine="1527"/>
        <w:spacing w:after="0" w:line="243" w:lineRule="auto"/>
        <w:rPr>
          <w:sz w:val="20"/>
          <w:szCs w:val="20"/>
          <w:color w:val="auto"/>
        </w:rPr>
      </w:pPr>
      <w:r>
        <w:rPr>
          <w:rFonts w:ascii="Times New Roman" w:cs="Times New Roman" w:eastAsia="Times New Roman" w:hAnsi="Times New Roman"/>
          <w:sz w:val="16"/>
          <w:szCs w:val="16"/>
          <w:color w:val="auto"/>
        </w:rPr>
        <w:t>The Undersigned and each Noteholder also specifically acknowledges that the Company would not enter into this Agreement or any related documents in the absence of the Undersigned’s and each Noteholder’s representations and acknowledgments set out in this Agreement, and that this Agreement, including such representations and acknowledgments, are a fundamental inducement to the Company, and a substantial portion of the consideration provided by the Undersigned and each Noteholder, in this transaction, and that the Company would not enter into this transaction but for this inducement.</w:t>
      </w:r>
    </w:p>
    <w:p>
      <w:pPr>
        <w:spacing w:after="0" w:line="8" w:lineRule="exact"/>
        <w:rPr>
          <w:sz w:val="20"/>
          <w:szCs w:val="20"/>
          <w:color w:val="auto"/>
        </w:rPr>
      </w:pPr>
    </w:p>
    <w:p>
      <w:pPr>
        <w:jc w:val="both"/>
        <w:ind w:firstLine="1527"/>
        <w:spacing w:after="0" w:line="259" w:lineRule="auto"/>
        <w:rPr>
          <w:sz w:val="20"/>
          <w:szCs w:val="20"/>
          <w:color w:val="auto"/>
        </w:rPr>
      </w:pPr>
      <w:r>
        <w:rPr>
          <w:rFonts w:ascii="Times New Roman" w:cs="Times New Roman" w:eastAsia="Times New Roman" w:hAnsi="Times New Roman"/>
          <w:sz w:val="16"/>
          <w:szCs w:val="16"/>
          <w:color w:val="auto"/>
        </w:rPr>
        <w:t>The Undersigned agrees that it shall and it shall cause each Noteholder to, upon request, execute and deliver any additional documents reasonably deemed by the Company, the Trustee or the transfer agent for the Common Stock to be necessary or desirable to complete the Exchange.</w:t>
      </w:r>
    </w:p>
    <w:p>
      <w:pPr>
        <w:spacing w:after="0" w:line="165" w:lineRule="exact"/>
        <w:rPr>
          <w:sz w:val="20"/>
          <w:szCs w:val="20"/>
          <w:color w:val="auto"/>
        </w:rPr>
      </w:pPr>
    </w:p>
    <w:p>
      <w:pPr>
        <w:jc w:val="both"/>
        <w:ind w:firstLine="1014"/>
        <w:spacing w:after="0" w:line="281" w:lineRule="auto"/>
        <w:tabs>
          <w:tab w:leader="none" w:pos="1355"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Consequences of the Exchange</w:t>
      </w:r>
      <w:r>
        <w:rPr>
          <w:rFonts w:ascii="Times New Roman" w:cs="Times New Roman" w:eastAsia="Times New Roman" w:hAnsi="Times New Roman"/>
          <w:sz w:val="14"/>
          <w:szCs w:val="14"/>
          <w:color w:val="auto"/>
        </w:rPr>
        <w:t>. The Undersigned and each Noteholder understands that the tax consequences of the Exchange will depend in part on its own tax circumstances. The Undersigned and each Noteholder acknowledges that it must consult its own tax adviser about the federal, foreign, state and local tax consequences peculiar to its circumstances. On or prior to the Closing, the Undersigned, on behalf of each Noteholder, shall deliver to the Company completed IRS Forms W-9 or W-8, as applicable, with regards to each such Noteholder. The Undersigned and Noteholder acknowledges that it has not relied on and will not rely on the Company with respect to any tax consequences related to the Exchange. The Undersigned and each Noteholder assumes full responsibility for all such consequences and for the preparation and filing of any tax returns and elections which may or must be filed in connection with its beneficial ownership of the Exchanged Notes, the Exchanged Shares or the Exchange.</w:t>
      </w:r>
    </w:p>
    <w:p>
      <w:pPr>
        <w:sectPr>
          <w:pgSz w:w="11900" w:h="16838" w:orient="portrait"/>
          <w:cols w:equalWidth="0" w:num="1">
            <w:col w:w="11120"/>
          </w:cols>
          <w:pgMar w:left="380" w:top="1139" w:right="399" w:bottom="1440" w:gutter="0" w:footer="0" w:header="0"/>
        </w:sectPr>
      </w:pPr>
    </w:p>
    <w:bookmarkStart w:id="208" w:name="page209"/>
    <w:bookmarkEnd w:id="208"/>
    <w:p>
      <w:pPr>
        <w:ind w:left="-505" w:firstLine="1014"/>
        <w:spacing w:after="0" w:line="259" w:lineRule="auto"/>
        <w:tabs>
          <w:tab w:leader="none" w:pos="816"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Proceedings</w:t>
      </w:r>
      <w:r>
        <w:rPr>
          <w:rFonts w:ascii="Times New Roman" w:cs="Times New Roman" w:eastAsia="Times New Roman" w:hAnsi="Times New Roman"/>
          <w:sz w:val="16"/>
          <w:szCs w:val="16"/>
          <w:color w:val="auto"/>
        </w:rPr>
        <w:t>. Neither the Undersigned nor any of the Noteholders know of any proceedings relating to the Exchanged Notes or the Exchange that are pending or threatened before any court, arbitrator or administrative or governmental body that would adversely affect the completion of the Exchange.</w:t>
      </w:r>
    </w:p>
    <w:p>
      <w:pPr>
        <w:spacing w:after="0" w:line="165" w:lineRule="exact"/>
        <w:rPr>
          <w:rFonts w:ascii="Times New Roman" w:cs="Times New Roman" w:eastAsia="Times New Roman" w:hAnsi="Times New Roman"/>
          <w:sz w:val="16"/>
          <w:szCs w:val="16"/>
          <w:color w:val="auto"/>
        </w:rPr>
      </w:pPr>
    </w:p>
    <w:p>
      <w:pPr>
        <w:ind w:left="-505" w:firstLine="1014"/>
        <w:spacing w:after="0" w:line="259" w:lineRule="auto"/>
        <w:tabs>
          <w:tab w:leader="none" w:pos="848"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Full Satisfaction of Obligations</w:t>
      </w:r>
      <w:r>
        <w:rPr>
          <w:rFonts w:ascii="Times New Roman" w:cs="Times New Roman" w:eastAsia="Times New Roman" w:hAnsi="Times New Roman"/>
          <w:sz w:val="16"/>
          <w:szCs w:val="16"/>
          <w:color w:val="auto"/>
        </w:rPr>
        <w:t>. The Undersigned and each Noteholder acknowledges that upon the issuance of the Exchanged Shares and the payment of the Cash Payment, the obligations of the Company to the Undersigned and the Noteholders under the Exchanged Notes shall have been satisfied in full.</w:t>
      </w:r>
    </w:p>
    <w:p>
      <w:pPr>
        <w:spacing w:after="0" w:line="154" w:lineRule="exact"/>
        <w:rPr>
          <w:rFonts w:ascii="Times New Roman" w:cs="Times New Roman" w:eastAsia="Times New Roman" w:hAnsi="Times New Roman"/>
          <w:sz w:val="16"/>
          <w:szCs w:val="16"/>
          <w:color w:val="auto"/>
        </w:rPr>
      </w:pPr>
    </w:p>
    <w:p>
      <w:pPr>
        <w:ind w:left="-505" w:firstLine="1014"/>
        <w:spacing w:after="0" w:line="259" w:lineRule="auto"/>
        <w:tabs>
          <w:tab w:leader="none" w:pos="918"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Broker’s Fees. The Undersigned and the Noteholders have not incurred nor become liable for any broker’s commissions or finder’s fee relating to the transactions contemplated by this Agreement.</w:t>
      </w:r>
    </w:p>
    <w:p>
      <w:pPr>
        <w:spacing w:after="0" w:line="165" w:lineRule="exact"/>
        <w:rPr>
          <w:rFonts w:ascii="Times New Roman" w:cs="Times New Roman" w:eastAsia="Times New Roman" w:hAnsi="Times New Roman"/>
          <w:sz w:val="16"/>
          <w:szCs w:val="16"/>
          <w:color w:val="auto"/>
        </w:rPr>
      </w:pPr>
    </w:p>
    <w:p>
      <w:pPr>
        <w:ind w:left="275" w:hanging="275"/>
        <w:spacing w:after="0"/>
        <w:tabs>
          <w:tab w:leader="none" w:pos="27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The Company represents and warrants to the Undersigned and each of the Noteholders as follows:</w:t>
      </w:r>
    </w:p>
    <w:p>
      <w:pPr>
        <w:spacing w:after="0" w:line="187" w:lineRule="exact"/>
        <w:rPr>
          <w:rFonts w:ascii="Times New Roman" w:cs="Times New Roman" w:eastAsia="Times New Roman" w:hAnsi="Times New Roman"/>
          <w:sz w:val="16"/>
          <w:szCs w:val="16"/>
          <w:color w:val="auto"/>
        </w:rPr>
      </w:pPr>
    </w:p>
    <w:p>
      <w:pPr>
        <w:jc w:val="both"/>
        <w:ind w:left="-505" w:firstLine="1014"/>
        <w:spacing w:after="0" w:line="276" w:lineRule="auto"/>
        <w:tabs>
          <w:tab w:leader="none" w:pos="946"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Existence; Authority; Binding Effect</w:t>
      </w:r>
      <w:r>
        <w:rPr>
          <w:rFonts w:ascii="Times New Roman" w:cs="Times New Roman" w:eastAsia="Times New Roman" w:hAnsi="Times New Roman"/>
          <w:sz w:val="14"/>
          <w:szCs w:val="14"/>
          <w:color w:val="auto"/>
        </w:rPr>
        <w:t xml:space="preserve"> . The Company is (i) duly incorporated, validly existing and in good standing under the laws of its jurisdiction of organization and has full power and authority to own, lease and operate its properties and to carry on its business as it is now being conducted and (ii) duly qualified or licensed as a foreign corporation to do business, and is in good standing, in each jurisdiction where the character of the properties owned, leased or operated by it or the nature of its business makes such qualification or licensing necessary, except for any such failures to be so qualified or licensed and in good standing as that, individually or in the aggregate, have not had and would not reasonably be expected to have a material adverse effect on the Company and its subsidiaries, taken as a whole. The execution and delivery of this Agreement and any other agreements or instruments executed or to be executed and delivered in connection herewith, and the consummation of the transactions contemplated hereby and thereby, by the Company, including the issuance and delivery of the Exchanged Shares to the Noteholder pursuant to this Agreement, have been duly and validly authorized and approved by all necessary corporate actions of the Company and no other actions on the part of the Company are necessary in respect thereof other than those that will be taken prior to the Closing. This Agreement is, and each agreement and instrument executed hereunder by the Company in connection herewith will be, a valid and binding obligation of the Company, enforceable in accordance with its respective terms, except as enforcement thereof may be limited by the Enforceability Exceptions.</w:t>
      </w:r>
    </w:p>
    <w:p>
      <w:pPr>
        <w:spacing w:after="0" w:line="179" w:lineRule="exact"/>
        <w:rPr>
          <w:rFonts w:ascii="Times New Roman" w:cs="Times New Roman" w:eastAsia="Times New Roman" w:hAnsi="Times New Roman"/>
          <w:sz w:val="14"/>
          <w:szCs w:val="14"/>
          <w:color w:val="auto"/>
        </w:rPr>
      </w:pPr>
    </w:p>
    <w:p>
      <w:pPr>
        <w:jc w:val="both"/>
        <w:ind w:left="-505" w:firstLine="1014"/>
        <w:spacing w:after="0" w:line="238" w:lineRule="auto"/>
        <w:tabs>
          <w:tab w:leader="none" w:pos="861"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Violation</w:t>
      </w:r>
      <w:r>
        <w:rPr>
          <w:rFonts w:ascii="Times New Roman" w:cs="Times New Roman" w:eastAsia="Times New Roman" w:hAnsi="Times New Roman"/>
          <w:sz w:val="16"/>
          <w:szCs w:val="16"/>
          <w:color w:val="auto"/>
        </w:rPr>
        <w:t>. None of the execution, delivery or performance of this Agreement and each of the other agreements or instruments executed and delivered by the Company in connection herewith, will conflict with, or result in any violation of, or default (with or without notice or lapse of time, or both) under or give rise to a right of termination, cancellation, modification or acceleration of any obligation or to a loss of a benefit under, or result in the creation of any lien upon any of the properties or assets of the Company under (i) the certificate of incorporation, bylaws or similar organizational documents of the Company; (ii) any law, regulation, order, writ, injunction or decree applicable to the Company or by which any property or asset of the Company is bound or affected; or (iii) any note, bond, mortgage, indenture, contract, agreement, lease, license, permit, franchise, or other instrument or obligation to which the Company is a party or by which the Company or any property or asset of the Company is bound or affected, except, in the case of clause (ii) or (iii) above, for any such conflict, violation or default that would not be reasonably expected to have a material adverse effect on the Company and its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-2585085</wp:posOffset>
            </wp:positionV>
            <wp:extent cx="73279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732790" cy="6985"/>
                    </a:xfrm>
                    <a:prstGeom prst="rect">
                      <a:avLst/>
                    </a:prstGeom>
                    <a:noFill/>
                  </pic:spPr>
                </pic:pic>
              </a:graphicData>
            </a:graphic>
          </wp:anchor>
        </w:drawing>
      </w:r>
    </w:p>
    <w:p>
      <w:pPr>
        <w:sectPr>
          <w:pgSz w:w="11900" w:h="16838" w:orient="portrait"/>
          <w:cols w:equalWidth="0" w:num="1">
            <w:col w:w="10615"/>
          </w:cols>
          <w:pgMar w:left="885" w:top="1139" w:right="399" w:bottom="1440" w:gutter="0" w:footer="0" w:header="0"/>
        </w:sectPr>
      </w:pPr>
    </w:p>
    <w:bookmarkStart w:id="209" w:name="page210"/>
    <w:bookmarkEnd w:id="209"/>
    <w:p>
      <w:pPr>
        <w:jc w:val="both"/>
        <w:ind w:firstLine="1014"/>
        <w:spacing w:after="0" w:line="241" w:lineRule="auto"/>
        <w:tabs>
          <w:tab w:leader="none" w:pos="1347"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 and Approvals</w:t>
      </w:r>
      <w:r>
        <w:rPr>
          <w:rFonts w:ascii="Times New Roman" w:cs="Times New Roman" w:eastAsia="Times New Roman" w:hAnsi="Times New Roman"/>
          <w:sz w:val="16"/>
          <w:szCs w:val="16"/>
          <w:color w:val="auto"/>
        </w:rPr>
        <w:t>. No consent, approval, order or authorization of, or registration, declaration, filing with or notice to, any governmental entity or any other person is required to be obtained, made or given by or with respect to the Company in connection with the execution and delivery of this Agreement or other agreements or instruments executed and delivered hereunder or thereunder by the Company, or the performance of any obligations hereunder or thereunder by the Company, including the Exchange, other than those that will be obtained prior to Closing and other than such filings or notices that will be made by the Company in accordance with applicable deadline requirements.</w:t>
      </w:r>
    </w:p>
    <w:p>
      <w:pPr>
        <w:spacing w:after="0" w:line="169" w:lineRule="exact"/>
        <w:rPr>
          <w:rFonts w:ascii="Times New Roman" w:cs="Times New Roman" w:eastAsia="Times New Roman" w:hAnsi="Times New Roman"/>
          <w:sz w:val="16"/>
          <w:szCs w:val="16"/>
          <w:color w:val="auto"/>
        </w:rPr>
      </w:pPr>
    </w:p>
    <w:p>
      <w:pPr>
        <w:jc w:val="both"/>
        <w:ind w:firstLine="1014"/>
        <w:spacing w:after="0"/>
        <w:tabs>
          <w:tab w:leader="none" w:pos="1419"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Issuance of the Common Stock</w:t>
      </w:r>
      <w:r>
        <w:rPr>
          <w:rFonts w:ascii="Times New Roman" w:cs="Times New Roman" w:eastAsia="Times New Roman" w:hAnsi="Times New Roman"/>
          <w:sz w:val="16"/>
          <w:szCs w:val="16"/>
          <w:color w:val="auto"/>
        </w:rPr>
        <w:t>. The Exchanged Shares (i) have been duly authorized and, upon their issuance pursuant to the Exchange against delivery of the Exchanged Notes, will be validly issued, fully paid and non-assessable, (ii) will not, at the Closing, be subject to any preemptive, participation, rights of first refusal or other similar rights, (iii) assuming the accuracy of the Noteholder’s representations and warranties hereunder, will be issued in the Exchange exempt from the registration requirements of the Securities Act pursuant to Section 4(a)(2) of the Securities Act, and (iv) will be issued without any legends that restrict the transfer of such Exchange Shares under the U.S. federal securities laws. Upon delivery of such Exchange Shares to the Noteholders pursuant to this Agreement, such Exchange Shares shall be free and clear of all Liens created by the Company.</w:t>
      </w:r>
    </w:p>
    <w:p>
      <w:pPr>
        <w:spacing w:after="0" w:line="179"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Broker’s Fees . The Company has not incurred nor become liable for any broker’s commissions or finder’s fee relating to the transactions contemplated</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by this Agreement.</w:t>
      </w:r>
    </w:p>
    <w:p>
      <w:pPr>
        <w:spacing w:after="0" w:line="179" w:lineRule="exact"/>
        <w:rPr>
          <w:rFonts w:ascii="Times New Roman" w:cs="Times New Roman" w:eastAsia="Times New Roman" w:hAnsi="Times New Roman"/>
          <w:sz w:val="14"/>
          <w:szCs w:val="14"/>
          <w:color w:val="auto"/>
        </w:rPr>
      </w:pPr>
    </w:p>
    <w:p>
      <w:pPr>
        <w:ind w:firstLine="505"/>
        <w:spacing w:after="0" w:line="259" w:lineRule="auto"/>
        <w:tabs>
          <w:tab w:leader="none" w:pos="81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to Closing</w:t>
      </w:r>
      <w:r>
        <w:rPr>
          <w:rFonts w:ascii="Times New Roman" w:cs="Times New Roman" w:eastAsia="Times New Roman" w:hAnsi="Times New Roman"/>
          <w:sz w:val="16"/>
          <w:szCs w:val="16"/>
          <w:color w:val="auto"/>
        </w:rPr>
        <w:t>. The obligation of each party to effect the Exchange, and to execute and deliver documents, at the Closing is subject to the satisfaction at or prior to the Closing of the following conditions:</w:t>
      </w:r>
    </w:p>
    <w:p>
      <w:pPr>
        <w:spacing w:after="0" w:line="154" w:lineRule="exact"/>
        <w:rPr>
          <w:rFonts w:ascii="Times New Roman" w:cs="Times New Roman" w:eastAsia="Times New Roman" w:hAnsi="Times New Roman"/>
          <w:sz w:val="16"/>
          <w:szCs w:val="16"/>
          <w:color w:val="auto"/>
        </w:rPr>
      </w:pPr>
    </w:p>
    <w:p>
      <w:pPr>
        <w:ind w:firstLine="1014"/>
        <w:spacing w:after="0" w:line="259" w:lineRule="auto"/>
        <w:tabs>
          <w:tab w:leader="none" w:pos="1366"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Noteholders contained in Section 4 hereof shall be true and correct in all respects as of the date of this Agreement and as of the Closing, with the same force and effect as though made on and as of such date; and</w:t>
      </w:r>
    </w:p>
    <w:p>
      <w:pPr>
        <w:spacing w:after="0" w:line="165" w:lineRule="exact"/>
        <w:rPr>
          <w:rFonts w:ascii="Times New Roman" w:cs="Times New Roman" w:eastAsia="Times New Roman" w:hAnsi="Times New Roman"/>
          <w:sz w:val="16"/>
          <w:szCs w:val="16"/>
          <w:color w:val="auto"/>
        </w:rPr>
      </w:pPr>
    </w:p>
    <w:p>
      <w:pPr>
        <w:ind w:firstLine="1014"/>
        <w:spacing w:after="0" w:line="259" w:lineRule="auto"/>
        <w:tabs>
          <w:tab w:leader="none" w:pos="1359"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Company contained in Section 5 hereof shall be true and correct in all respects as of the date of this Agreement and as of the Closing, with the same force and effect as though made on and as of such date.</w:t>
      </w:r>
    </w:p>
    <w:p>
      <w:pPr>
        <w:spacing w:after="0" w:line="165" w:lineRule="exact"/>
        <w:rPr>
          <w:rFonts w:ascii="Times New Roman" w:cs="Times New Roman" w:eastAsia="Times New Roman" w:hAnsi="Times New Roman"/>
          <w:sz w:val="16"/>
          <w:szCs w:val="16"/>
          <w:color w:val="auto"/>
        </w:rPr>
      </w:pPr>
    </w:p>
    <w:p>
      <w:pPr>
        <w:ind w:left="780" w:hanging="275"/>
        <w:spacing w:after="0"/>
        <w:tabs>
          <w:tab w:leader="none" w:pos="7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240" w:lineRule="exact"/>
        <w:rPr>
          <w:rFonts w:ascii="Times New Roman" w:cs="Times New Roman" w:eastAsia="Times New Roman" w:hAnsi="Times New Roman"/>
          <w:sz w:val="16"/>
          <w:szCs w:val="16"/>
          <w:color w:val="auto"/>
        </w:rPr>
      </w:pPr>
    </w:p>
    <w:p>
      <w:pPr>
        <w:ind w:firstLine="1014"/>
        <w:spacing w:after="0" w:line="259" w:lineRule="auto"/>
        <w:tabs>
          <w:tab w:leader="none" w:pos="144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any documents and agreements executed in connection with the Exchange embody the entire agreement and understanding of the parties hereto with respect to the subject matter hereof and supersede all prior and contemporaneous oral or written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-1836420</wp:posOffset>
            </wp:positionV>
            <wp:extent cx="75057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750570" cy="6985"/>
                    </a:xfrm>
                    <a:prstGeom prst="rect">
                      <a:avLst/>
                    </a:prstGeom>
                    <a:noFill/>
                  </pic:spPr>
                </pic:pic>
              </a:graphicData>
            </a:graphic>
          </wp:anchor>
        </w:drawing>
      </w:r>
    </w:p>
    <w:p>
      <w:pPr>
        <w:spacing w:after="0" w:line="259" w:lineRule="auto"/>
        <w:rPr>
          <w:sz w:val="20"/>
          <w:szCs w:val="20"/>
          <w:color w:val="auto"/>
        </w:rPr>
      </w:pPr>
      <w:r>
        <w:rPr>
          <w:rFonts w:ascii="Times New Roman" w:cs="Times New Roman" w:eastAsia="Times New Roman" w:hAnsi="Times New Roman"/>
          <w:sz w:val="16"/>
          <w:szCs w:val="16"/>
          <w:color w:val="auto"/>
        </w:rPr>
        <w:t>representations, warranties, contracts, correspondence, conversations, memoranda and understandings between or among the parties or any of their agents, representatives or Affiliates relative to such subject matter, including, without limitation, any term sheets, emails or draft documents.</w:t>
      </w:r>
    </w:p>
    <w:p>
      <w:pPr>
        <w:spacing w:after="0" w:line="155" w:lineRule="exact"/>
        <w:rPr>
          <w:sz w:val="20"/>
          <w:szCs w:val="20"/>
          <w:color w:val="auto"/>
        </w:rPr>
      </w:pPr>
    </w:p>
    <w:p>
      <w:pPr>
        <w:ind w:firstLine="1014"/>
        <w:spacing w:after="0" w:line="259" w:lineRule="auto"/>
        <w:tabs>
          <w:tab w:leader="none" w:pos="142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Amendments or modifications to this Agreement may only be made, and compliance with any term, covenant, agreement, condition or provision set</w:t>
      </w:r>
    </w:p>
    <w:p>
      <w:pPr>
        <w:sectPr>
          <w:pgSz w:w="11900" w:h="16838" w:orient="portrait"/>
          <w:cols w:equalWidth="0" w:num="1">
            <w:col w:w="11120"/>
          </w:cols>
          <w:pgMar w:left="380" w:top="1341" w:right="3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color w:val="auto"/>
        </w:rPr>
        <w:t>forth herein may only be omitted or waived (either generally or in a particular instance and either retroactively or prospectively), upon the written consent of each party hereto.</w:t>
      </w:r>
    </w:p>
    <w:p>
      <w:pPr>
        <w:spacing w:after="0" w:line="221" w:lineRule="exact"/>
        <w:rPr>
          <w:sz w:val="20"/>
          <w:szCs w:val="20"/>
          <w:color w:val="auto"/>
        </w:rPr>
      </w:pPr>
    </w:p>
    <w:p>
      <w:pPr>
        <w:jc w:val="both"/>
        <w:ind w:firstLine="1014"/>
        <w:spacing w:after="0" w:line="289" w:lineRule="auto"/>
        <w:tabs>
          <w:tab w:leader="none" w:pos="1389"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References in the singular shall include the plural, and vice versa, unless the context otherwise requires. References in the masculine shall include the feminine and neuter, and vice versa, unless the context otherwise requires. Headings in this Agreement are for convenience of reference only and shall not limit or otherwise affect the meanings of the provisions hereof. Neither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137" w:lineRule="exact"/>
        <w:rPr>
          <w:rFonts w:ascii="Times New Roman" w:cs="Times New Roman" w:eastAsia="Times New Roman" w:hAnsi="Times New Roman"/>
          <w:sz w:val="14"/>
          <w:szCs w:val="14"/>
          <w:color w:val="auto"/>
        </w:rPr>
      </w:pPr>
    </w:p>
    <w:p>
      <w:pPr>
        <w:ind w:firstLine="1014"/>
        <w:spacing w:after="0" w:line="259" w:lineRule="auto"/>
        <w:tabs>
          <w:tab w:leader="none" w:pos="136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Costs and Expenses</w:t>
      </w:r>
      <w:r>
        <w:rPr>
          <w:rFonts w:ascii="Times New Roman" w:cs="Times New Roman" w:eastAsia="Times New Roman" w:hAnsi="Times New Roman"/>
          <w:sz w:val="16"/>
          <w:szCs w:val="16"/>
          <w:color w:val="auto"/>
        </w:rPr>
        <w:t>. The Noteholders and the Company shall each pay their own respective costs and expenses incurred in connection with the negotiation, preparation, execution and performance of this Agreement, including, but not limited to, attorneys’ fees.</w:t>
      </w:r>
    </w:p>
    <w:p>
      <w:pPr>
        <w:spacing w:after="0" w:line="165" w:lineRule="exact"/>
        <w:rPr>
          <w:rFonts w:ascii="Times New Roman" w:cs="Times New Roman" w:eastAsia="Times New Roman" w:hAnsi="Times New Roman"/>
          <w:sz w:val="16"/>
          <w:szCs w:val="16"/>
          <w:color w:val="auto"/>
        </w:rPr>
      </w:pPr>
    </w:p>
    <w:p>
      <w:pPr>
        <w:jc w:val="both"/>
        <w:ind w:firstLine="1014"/>
        <w:spacing w:after="0" w:line="273" w:lineRule="auto"/>
        <w:tabs>
          <w:tab w:leader="none" w:pos="141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shall in all respects be construed in accordance with and governed by the substantive laws of the State of New York, without reference to any choice of law rules (whether of the State of New York or any other jurisdictions) to the extent such rules would cause the application of the laws of any jurisdictions other than the State of New York. Each party hereby irrevocably submits to the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w:t>
      </w:r>
      <w:r>
        <w:rPr>
          <w:rFonts w:ascii="Times New Roman" w:cs="Times New Roman" w:eastAsia="Times New Roman" w:hAnsi="Times New Roman"/>
          <w:sz w:val="14"/>
          <w:szCs w:val="14"/>
          <w:b w:val="1"/>
          <w:bCs w:val="1"/>
          <w:color w:val="auto"/>
        </w:rPr>
        <w:t>EACH PARTY HEREBY IRREVOCABLY WAIVES ANY</w:t>
      </w:r>
    </w:p>
    <w:p>
      <w:pPr>
        <w:spacing w:after="0" w:line="1" w:lineRule="exact"/>
        <w:rPr>
          <w:rFonts w:ascii="Times New Roman" w:cs="Times New Roman" w:eastAsia="Times New Roman" w:hAnsi="Times New Roman"/>
          <w:sz w:val="14"/>
          <w:szCs w:val="14"/>
          <w:color w:val="auto"/>
        </w:rPr>
      </w:pPr>
    </w:p>
    <w:p>
      <w:pPr>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RIGHT IT MAY HAVE, AND AGREES NOT TO REQUEST, A JURY TRIAL FOR THE ADJUDICATION OF ANY DISPUTE HEREUNDER OR IN CONNECTION WITH OR ARISING OUT OF THIS AGREEMENT OR ANY TRANSACTION CONTEMPLATED HEREBY</w:t>
      </w:r>
      <w:r>
        <w:rPr>
          <w:rFonts w:ascii="Times New Roman" w:cs="Times New Roman" w:eastAsia="Times New Roman" w:hAnsi="Times New Roman"/>
          <w:sz w:val="16"/>
          <w:szCs w:val="16"/>
          <w:color w:val="auto"/>
        </w:rPr>
        <w:t>.</w:t>
      </w:r>
    </w:p>
    <w:p>
      <w:pPr>
        <w:spacing w:after="0" w:line="179" w:lineRule="exact"/>
        <w:rPr>
          <w:rFonts w:ascii="Times New Roman" w:cs="Times New Roman" w:eastAsia="Times New Roman" w:hAnsi="Times New Roman"/>
          <w:sz w:val="14"/>
          <w:szCs w:val="14"/>
          <w:color w:val="auto"/>
        </w:rPr>
      </w:pPr>
    </w:p>
    <w:p>
      <w:pPr>
        <w:jc w:val="both"/>
        <w:ind w:firstLine="1014"/>
        <w:spacing w:after="0" w:line="247" w:lineRule="auto"/>
        <w:tabs>
          <w:tab w:leader="none" w:pos="135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counterparts, each of which shall be deemed an original, but all of which taken together shall constitute one and the same instrument. Any counterpart or other signature hereon delivered by email shall be deemed for all purposes as constituting good and valid execution and delivery of this Agreement by such party.</w:t>
      </w:r>
    </w:p>
    <w:p>
      <w:pPr>
        <w:spacing w:after="0" w:line="164" w:lineRule="exact"/>
        <w:rPr>
          <w:rFonts w:ascii="Times New Roman" w:cs="Times New Roman" w:eastAsia="Times New Roman" w:hAnsi="Times New Roman"/>
          <w:sz w:val="16"/>
          <w:szCs w:val="16"/>
          <w:color w:val="auto"/>
        </w:rPr>
      </w:pPr>
    </w:p>
    <w:p>
      <w:pPr>
        <w:jc w:val="both"/>
        <w:ind w:firstLine="1014"/>
        <w:spacing w:after="0" w:line="247" w:lineRule="auto"/>
        <w:tabs>
          <w:tab w:leader="none" w:pos="140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party hereto shall do and perform, or cause to be done and performed, all such further acts and things, and shall execute and deliver all such other agreements, certificates, instruments and documents, as any other party hereto may reasonably request in order to carry out the intent and accomplish the purposes of this Agreement and the consummation of the transactions contemplated hereby.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ectPr>
          <w:pgSz w:w="11900" w:h="16838" w:orient="portrait"/>
          <w:cols w:equalWidth="0" w:num="1">
            <w:col w:w="11120"/>
          </w:cols>
          <w:pgMar w:left="380" w:top="1139" w:right="399" w:bottom="1440" w:gutter="0" w:footer="0" w:header="0"/>
        </w:sectPr>
      </w:pPr>
    </w:p>
    <w:bookmarkStart w:id="211" w:name="page212"/>
    <w:bookmarkEnd w:id="211"/>
    <w:p>
      <w:pPr>
        <w:spacing w:after="0"/>
        <w:rPr>
          <w:sz w:val="20"/>
          <w:szCs w:val="20"/>
          <w:color w:val="auto"/>
        </w:rPr>
      </w:pPr>
      <w:r>
        <w:rPr>
          <w:rFonts w:ascii="Arial" w:cs="Arial" w:eastAsia="Arial" w:hAnsi="Arial"/>
          <w:sz w:val="11"/>
          <w:szCs w:val="11"/>
          <w:color w:val="auto"/>
        </w:rPr>
        <w:t>DocuSign Envelope ID: 5F2069CD-FADD-47AA-8795-824C667D6A12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above written.</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ENPHASE ENERGY, INC.</w:t>
      </w:r>
    </w:p>
    <w:p>
      <w:pPr>
        <w:spacing w:after="0" w:line="391" w:lineRule="exact"/>
        <w:rPr>
          <w:sz w:val="20"/>
          <w:szCs w:val="20"/>
          <w:color w:val="auto"/>
        </w:rPr>
      </w:pPr>
    </w:p>
    <w:p>
      <w:pPr>
        <w:jc w:val="right"/>
        <w:ind w:right="7879"/>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2"/>
          <w:szCs w:val="12"/>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68262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682625" cy="6985"/>
                    </a:xfrm>
                    <a:prstGeom prst="rect">
                      <a:avLst/>
                    </a:prstGeom>
                    <a:noFill/>
                  </pic:spPr>
                </pic:pic>
              </a:graphicData>
            </a:graphic>
          </wp:anchor>
        </w:drawing>
      </w:r>
    </w:p>
    <w:p>
      <w:pPr>
        <w:spacing w:after="0" w:line="15" w:lineRule="exact"/>
        <w:rPr>
          <w:sz w:val="20"/>
          <w:szCs w:val="20"/>
          <w:color w:val="auto"/>
        </w:rPr>
      </w:pPr>
    </w:p>
    <w:p>
      <w:pPr>
        <w:jc w:val="right"/>
        <w:ind w:right="7839"/>
        <w:spacing w:after="0"/>
        <w:rPr>
          <w:sz w:val="20"/>
          <w:szCs w:val="20"/>
          <w:color w:val="auto"/>
        </w:rPr>
      </w:pPr>
      <w:r>
        <w:rPr>
          <w:rFonts w:ascii="Times New Roman" w:cs="Times New Roman" w:eastAsia="Times New Roman" w:hAnsi="Times New Roman"/>
          <w:sz w:val="13"/>
          <w:szCs w:val="13"/>
          <w:color w:val="auto"/>
        </w:rPr>
        <w:t>Eric Branderiz</w:t>
      </w:r>
    </w:p>
    <w:p>
      <w:pPr>
        <w:ind w:left="8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-21590</wp:posOffset>
            </wp:positionV>
            <wp:extent cx="9906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ectPr>
          <w:pgSz w:w="11900" w:h="16838" w:orient="portrait"/>
          <w:cols w:equalWidth="0" w:num="1">
            <w:col w:w="9919"/>
          </w:cols>
          <w:pgMar w:left="540" w:top="1190" w:right="1440" w:bottom="1440" w:gutter="0" w:footer="0" w:header="0"/>
        </w:sectPr>
      </w:pPr>
    </w:p>
    <w:p>
      <w:pPr>
        <w:spacing w:after="0" w:line="1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73660</wp:posOffset>
            </wp:positionV>
            <wp:extent cx="9906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ind w:right="4579"/>
        <w:spacing w:after="0"/>
        <w:rPr>
          <w:sz w:val="20"/>
          <w:szCs w:val="20"/>
          <w:color w:val="auto"/>
        </w:rPr>
      </w:pPr>
      <w:r>
        <w:rPr>
          <w:rFonts w:ascii="Times New Roman" w:cs="Times New Roman" w:eastAsia="Times New Roman" w:hAnsi="Times New Roman"/>
          <w:sz w:val="16"/>
          <w:szCs w:val="16"/>
          <w:color w:val="auto"/>
        </w:rPr>
        <w:t>Signature Page to Exchange Agreement</w:t>
      </w:r>
    </w:p>
    <w:p>
      <w:pPr>
        <w:sectPr>
          <w:pgSz w:w="11900" w:h="16838" w:orient="portrait"/>
          <w:cols w:equalWidth="0" w:num="2">
            <w:col w:w="1200" w:space="160"/>
            <w:col w:w="8559"/>
          </w:cols>
          <w:pgMar w:left="540" w:top="1190" w:right="1440"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color w:val="auto"/>
        </w:rPr>
        <w:t>IN WITNESS WHEREOF, each of the parties hereto has caused this Agreement to be executed as of the date first above written.</w:t>
      </w:r>
    </w:p>
    <w:p>
      <w:pPr>
        <w:sectPr>
          <w:pgSz w:w="11900" w:h="16838" w:orient="portrait"/>
          <w:cols w:equalWidth="0" w:num="1">
            <w:col w:w="9579"/>
          </w:cols>
          <w:pgMar w:left="880" w:top="1171" w:right="1440" w:bottom="1440" w:gutter="0" w:footer="0" w:header="0"/>
        </w:sectPr>
      </w:pPr>
    </w:p>
    <w:p>
      <w:pPr>
        <w:spacing w:after="0" w:line="3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"Undersigned"</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LINDEN ADVISORS LP</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By: Linden Advisors LP, in its capacities described</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the first paragraph hereof</w:t>
      </w:r>
    </w:p>
    <w:p>
      <w:pPr>
        <w:spacing w:after="0" w:line="171" w:lineRule="exact"/>
        <w:rPr>
          <w:sz w:val="20"/>
          <w:szCs w:val="20"/>
          <w:color w:val="auto"/>
        </w:rPr>
      </w:pPr>
    </w:p>
    <w:p>
      <w:pPr>
        <w:jc w:val="right"/>
        <w:ind w:right="8139"/>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2"/>
          <w:szCs w:val="12"/>
          <w:color w:val="auto"/>
        </w:rPr>
        <w:t>/S/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-10160</wp:posOffset>
            </wp:positionV>
            <wp:extent cx="51181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511810" cy="6985"/>
                    </a:xfrm>
                    <a:prstGeom prst="rect">
                      <a:avLst/>
                    </a:prstGeom>
                    <a:noFill/>
                  </pic:spPr>
                </pic:pic>
              </a:graphicData>
            </a:graphic>
          </wp:anchor>
        </w:drawing>
      </w:r>
    </w:p>
    <w:p>
      <w:pPr>
        <w:spacing w:after="0" w:line="25" w:lineRule="exact"/>
        <w:rPr>
          <w:sz w:val="20"/>
          <w:szCs w:val="20"/>
          <w:color w:val="auto"/>
        </w:rPr>
      </w:pPr>
    </w:p>
    <w:p>
      <w:pPr>
        <w:jc w:val="right"/>
        <w:ind w:right="8119"/>
        <w:spacing w:after="0"/>
        <w:rPr>
          <w:sz w:val="20"/>
          <w:szCs w:val="20"/>
          <w:color w:val="auto"/>
        </w:rPr>
      </w:pPr>
      <w:r>
        <w:rPr>
          <w:rFonts w:ascii="Times New Roman" w:cs="Times New Roman" w:eastAsia="Times New Roman" w:hAnsi="Times New Roman"/>
          <w:sz w:val="13"/>
          <w:szCs w:val="13"/>
          <w:color w:val="auto"/>
        </w:rPr>
        <w:t>Saul Ahn</w:t>
      </w:r>
    </w:p>
    <w:p>
      <w:pPr>
        <w:ind w:left="52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-21590</wp:posOffset>
            </wp:positionV>
            <wp:extent cx="9906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ectPr>
          <w:pgSz w:w="11900" w:h="16838" w:orient="portrait"/>
          <w:cols w:equalWidth="0" w:num="1">
            <w:col w:w="9579"/>
          </w:cols>
          <w:pgMar w:left="880" w:top="1171" w:right="1440" w:bottom="1440" w:gutter="0" w:footer="0" w:header="0"/>
          <w:type w:val="continuous"/>
        </w:sectPr>
      </w:pP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General Counsel /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73660</wp:posOffset>
            </wp:positionV>
            <wp:extent cx="9906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5539"/>
        <w:spacing w:after="0"/>
        <w:rPr>
          <w:sz w:val="20"/>
          <w:szCs w:val="20"/>
          <w:color w:val="auto"/>
        </w:rPr>
      </w:pPr>
      <w:r>
        <w:rPr>
          <w:rFonts w:ascii="Times New Roman" w:cs="Times New Roman" w:eastAsia="Times New Roman" w:hAnsi="Times New Roman"/>
          <w:sz w:val="16"/>
          <w:szCs w:val="16"/>
          <w:color w:val="auto"/>
        </w:rPr>
        <w:t>Signature Page to Exchange Agreement</w:t>
      </w:r>
    </w:p>
    <w:p>
      <w:pPr>
        <w:sectPr>
          <w:pgSz w:w="11900" w:h="16838" w:orient="portrait"/>
          <w:cols w:equalWidth="0" w:num="2">
            <w:col w:w="860" w:space="160"/>
            <w:col w:w="8559"/>
          </w:cols>
          <w:pgMar w:left="880" w:top="1171" w:right="1440" w:bottom="1440"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p>
      <w:pPr>
        <w:sectPr>
          <w:pgSz w:w="11900" w:h="16838" w:orient="portrait"/>
          <w:cols w:equalWidth="0" w:num="1">
            <w:col w:w="9019"/>
          </w:cols>
          <w:pgMar w:left="1440" w:top="1137" w:right="1440"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37" w:right="1440" w:bottom="1440" w:gutter="0" w:footer="0" w:header="0"/>
          <w:type w:val="continuous"/>
        </w:sectPr>
      </w:pPr>
    </w:p>
    <w:bookmarkStart w:id="214" w:name="page215"/>
    <w:bookmarkEnd w:id="2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B</w:t>
      </w:r>
    </w:p>
    <w:p>
      <w:pPr>
        <w:sectPr>
          <w:pgSz w:w="11900" w:h="16838" w:orient="portrait"/>
          <w:cols w:equalWidth="0" w:num="1">
            <w:col w:w="9019"/>
          </w:cols>
          <w:pgMar w:left="1440" w:top="1180" w:right="1440"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80" w:right="1440" w:bottom="1440" w:gutter="0" w:footer="0" w:header="0"/>
          <w:type w:val="continuous"/>
        </w:sectPr>
      </w:pPr>
    </w:p>
    <w:bookmarkStart w:id="215" w:name="page216"/>
    <w:bookmarkEnd w:id="215"/>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A-1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9019"/>
          </w:cols>
          <w:pgMar w:left="1440" w:top="1440" w:right="1440" w:bottom="1440" w:gutter="0" w:footer="0" w:header="0"/>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A-2</w:t>
      </w:r>
    </w:p>
    <w:p>
      <w:pPr>
        <w:sectPr>
          <w:pgSz w:w="11900" w:h="16838" w:orient="portrait"/>
          <w:cols w:equalWidth="0" w:num="1">
            <w:col w:w="9019"/>
          </w:cols>
          <w:pgMar w:left="1440" w:top="1335"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9019"/>
          </w:cols>
          <w:pgMar w:left="1440" w:top="1335" w:right="1440" w:bottom="1440" w:gutter="0" w:footer="0" w:header="0"/>
          <w:type w:val="continuous"/>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A-3</w:t>
      </w:r>
    </w:p>
    <w:p>
      <w:pPr>
        <w:sectPr>
          <w:pgSz w:w="11900" w:h="16838" w:orient="portrait"/>
          <w:cols w:equalWidth="0" w:num="1">
            <w:col w:w="9019"/>
          </w:cols>
          <w:pgMar w:left="1440" w:top="1335"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9019"/>
          </w:cols>
          <w:pgMar w:left="1440" w:top="1335" w:right="1440" w:bottom="1440" w:gutter="0" w:footer="0" w:header="0"/>
          <w:type w:val="continuous"/>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A-4</w:t>
      </w:r>
    </w:p>
    <w:p>
      <w:pPr>
        <w:sectPr>
          <w:pgSz w:w="11900" w:h="16838" w:orient="portrait"/>
          <w:cols w:equalWidth="0" w:num="1">
            <w:col w:w="9019"/>
          </w:cols>
          <w:pgMar w:left="1440" w:top="1335"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9019"/>
          </w:cols>
          <w:pgMar w:left="1440" w:top="1335" w:right="1440" w:bottom="1440"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6"/>
          <w:szCs w:val="16"/>
          <w:b w:val="1"/>
          <w:bCs w:val="1"/>
          <w:color w:val="auto"/>
        </w:rPr>
        <w:t>EXHIBIT B-1</w:t>
      </w:r>
    </w:p>
    <w:p>
      <w:pPr>
        <w:sectPr>
          <w:pgSz w:w="11900" w:h="16838" w:orient="portrait"/>
          <w:cols w:equalWidth="0" w:num="1">
            <w:col w:w="9019"/>
          </w:cols>
          <w:pgMar w:left="1440" w:top="114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ectPr>
          <w:pgSz w:w="11900" w:h="16838" w:orient="portrait"/>
          <w:cols w:equalWidth="0" w:num="1">
            <w:col w:w="9019"/>
          </w:cols>
          <w:pgMar w:left="1440" w:top="1144" w:right="1440" w:bottom="1440" w:gutter="0" w:footer="0" w:header="0"/>
          <w:type w:val="continuous"/>
        </w:sectPr>
      </w:pPr>
    </w:p>
    <w:bookmarkStart w:id="220" w:name="page221"/>
    <w:bookmarkEnd w:id="220"/>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B-2</w:t>
      </w:r>
    </w:p>
    <w:p>
      <w:pPr>
        <w:sectPr>
          <w:pgSz w:w="11900" w:h="16838" w:orient="portrait"/>
          <w:cols w:equalWidth="0" w:num="1">
            <w:col w:w="9019"/>
          </w:cols>
          <w:pgMar w:left="1440" w:top="1440"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ectPr>
          <w:pgSz w:w="11900" w:h="16838" w:orient="portrait"/>
          <w:cols w:equalWidth="0" w:num="1">
            <w:col w:w="9019"/>
          </w:cols>
          <w:pgMar w:left="1440" w:top="1440" w:right="1440" w:bottom="1440" w:gutter="0" w:footer="0" w:header="0"/>
          <w:type w:val="continuous"/>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6"/>
          <w:szCs w:val="16"/>
          <w:b w:val="1"/>
          <w:bCs w:val="1"/>
          <w:color w:val="auto"/>
        </w:rPr>
        <w:t>EXHIBIT B-3</w:t>
      </w:r>
    </w:p>
    <w:p>
      <w:pPr>
        <w:sectPr>
          <w:pgSz w:w="11900" w:h="16838" w:orient="portrait"/>
          <w:cols w:equalWidth="0" w:num="1">
            <w:col w:w="9019"/>
          </w:cols>
          <w:pgMar w:left="1440" w:top="1335"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w:t>
      </w:r>
    </w:p>
    <w:p>
      <w:pPr>
        <w:sectPr>
          <w:pgSz w:w="11900" w:h="16838" w:orient="portrait"/>
          <w:cols w:equalWidth="0" w:num="1">
            <w:col w:w="9019"/>
          </w:cols>
          <w:pgMar w:left="1440" w:top="1335" w:right="1440" w:bottom="1440" w:gutter="0" w:footer="0" w:header="0"/>
          <w:type w:val="continuous"/>
        </w:sectPr>
      </w:pPr>
    </w:p>
    <w:bookmarkStart w:id="222" w:name="page223"/>
    <w:bookmarkEnd w:id="222"/>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B-4</w:t>
      </w:r>
    </w:p>
    <w:p>
      <w:pPr>
        <w:sectPr>
          <w:pgSz w:w="11900" w:h="16838" w:orient="portrait"/>
          <w:cols w:equalWidth="0" w:num="1">
            <w:col w:w="9019"/>
          </w:cols>
          <w:pgMar w:left="1440" w:top="1440"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B-8</w:t>
      </w:r>
    </w:p>
    <w:p>
      <w:pPr>
        <w:sectPr>
          <w:pgSz w:w="11900" w:h="16838" w:orient="portrait"/>
          <w:cols w:equalWidth="0" w:num="1">
            <w:col w:w="9019"/>
          </w:cols>
          <w:pgMar w:left="1440" w:top="1440" w:right="1440" w:bottom="1440" w:gutter="0" w:footer="0" w:header="0"/>
          <w:type w:val="continuous"/>
        </w:sectPr>
      </w:pPr>
    </w:p>
    <w:bookmarkStart w:id="223" w:name="page224"/>
    <w:bookmarkEnd w:id="223"/>
    <w:p>
      <w:pPr>
        <w:ind w:left="10541"/>
        <w:spacing w:after="0"/>
        <w:rPr>
          <w:sz w:val="20"/>
          <w:szCs w:val="20"/>
          <w:color w:val="auto"/>
        </w:rPr>
      </w:pPr>
      <w:r>
        <w:rPr>
          <w:rFonts w:ascii="Times New Roman" w:cs="Times New Roman" w:eastAsia="Times New Roman" w:hAnsi="Times New Roman"/>
          <w:sz w:val="14"/>
          <w:szCs w:val="14"/>
          <w:i w:val="1"/>
          <w:iCs w:val="1"/>
          <w:color w:val="auto"/>
        </w:rPr>
        <w:t>Execution</w:t>
      </w:r>
    </w:p>
    <w:p>
      <w:pPr>
        <w:spacing w:after="0" w:line="200" w:lineRule="exact"/>
        <w:rPr>
          <w:sz w:val="20"/>
          <w:szCs w:val="20"/>
          <w:color w:val="auto"/>
        </w:rPr>
      </w:pPr>
    </w:p>
    <w:p>
      <w:pPr>
        <w:spacing w:after="0" w:line="2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PARTIAL UNWIND AGREEMENT</w:t>
      </w:r>
    </w:p>
    <w:p>
      <w:pPr>
        <w:spacing w:after="0" w:line="28" w:lineRule="exact"/>
        <w:rPr>
          <w:sz w:val="20"/>
          <w:szCs w:val="20"/>
          <w:color w:val="auto"/>
        </w:rPr>
      </w:pPr>
    </w:p>
    <w:p>
      <w:pPr>
        <w:ind w:left="3061"/>
        <w:spacing w:after="0"/>
        <w:rPr>
          <w:sz w:val="20"/>
          <w:szCs w:val="20"/>
          <w:color w:val="auto"/>
        </w:rPr>
      </w:pPr>
      <w:r>
        <w:rPr>
          <w:rFonts w:ascii="Times New Roman" w:cs="Times New Roman" w:eastAsia="Times New Roman" w:hAnsi="Times New Roman"/>
          <w:sz w:val="17"/>
          <w:szCs w:val="17"/>
          <w:b w:val="1"/>
          <w:bCs w:val="1"/>
          <w:color w:val="auto"/>
        </w:rPr>
        <w:t>with respect to the Base Call Option Confirmation, dated May 30, 2019</w:t>
      </w:r>
    </w:p>
    <w:p>
      <w:pPr>
        <w:spacing w:after="0" w:line="6" w:lineRule="exact"/>
        <w:rPr>
          <w:sz w:val="20"/>
          <w:szCs w:val="20"/>
          <w:color w:val="auto"/>
        </w:rPr>
      </w:pPr>
    </w:p>
    <w:p>
      <w:pPr>
        <w:ind w:left="3721"/>
        <w:spacing w:after="0"/>
        <w:rPr>
          <w:sz w:val="20"/>
          <w:szCs w:val="20"/>
          <w:color w:val="auto"/>
        </w:rPr>
      </w:pPr>
      <w:r>
        <w:rPr>
          <w:rFonts w:ascii="Times New Roman" w:cs="Times New Roman" w:eastAsia="Times New Roman" w:hAnsi="Times New Roman"/>
          <w:sz w:val="17"/>
          <w:szCs w:val="17"/>
          <w:b w:val="1"/>
          <w:bCs w:val="1"/>
          <w:color w:val="auto"/>
        </w:rPr>
        <w:t>between Enphase Energy, Inc. and Barclays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-20320</wp:posOffset>
            </wp:positionV>
            <wp:extent cx="263652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263652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left="581" w:firstLine="509"/>
        <w:spacing w:after="0" w:line="271" w:lineRule="auto"/>
        <w:rPr>
          <w:sz w:val="20"/>
          <w:szCs w:val="20"/>
          <w:color w:val="auto"/>
        </w:rPr>
      </w:pPr>
      <w:r>
        <w:rPr>
          <w:rFonts w:ascii="Times New Roman" w:cs="Times New Roman" w:eastAsia="Times New Roman" w:hAnsi="Times New Roman"/>
          <w:sz w:val="14"/>
          <w:szCs w:val="14"/>
          <w:color w:val="auto"/>
        </w:rPr>
        <w:t>THIS PARTIAL UNWIND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with respect to the Base Call Option Confirmation (as defined below) and the Additional Call Option Confirmation (as defined below) is made as of December 14, 2020 between Enphase Energy,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Barclays Bank PLC (“</w:t>
      </w:r>
      <w:r>
        <w:rPr>
          <w:rFonts w:ascii="Times New Roman" w:cs="Times New Roman" w:eastAsia="Times New Roman" w:hAnsi="Times New Roman"/>
          <w:sz w:val="14"/>
          <w:szCs w:val="14"/>
          <w:b w:val="1"/>
          <w:bCs w:val="1"/>
          <w:color w:val="auto"/>
        </w:rPr>
        <w:t>Dealer</w:t>
      </w:r>
      <w:r>
        <w:rPr>
          <w:rFonts w:ascii="Times New Roman" w:cs="Times New Roman" w:eastAsia="Times New Roman" w:hAnsi="Times New Roman"/>
          <w:sz w:val="14"/>
          <w:szCs w:val="14"/>
          <w:color w:val="auto"/>
        </w:rPr>
        <w:t>”), acting through its agent Barclays Capital Inc.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left="581" w:right="20" w:firstLine="509"/>
        <w:spacing w:after="0" w:line="271" w:lineRule="auto"/>
        <w:rPr>
          <w:sz w:val="20"/>
          <w:szCs w:val="20"/>
          <w:color w:val="auto"/>
        </w:rPr>
      </w:pPr>
      <w:r>
        <w:rPr>
          <w:rFonts w:ascii="Times New Roman" w:cs="Times New Roman" w:eastAsia="Times New Roman" w:hAnsi="Times New Roman"/>
          <w:sz w:val="14"/>
          <w:szCs w:val="14"/>
          <w:color w:val="auto"/>
        </w:rPr>
        <w:t>WHEREAS, the Company and Dealer entered into (i) a Base Call Option confirmation, dated as of May 30, 2019 (the “</w:t>
      </w:r>
      <w:r>
        <w:rPr>
          <w:rFonts w:ascii="Times New Roman" w:cs="Times New Roman" w:eastAsia="Times New Roman" w:hAnsi="Times New Roman"/>
          <w:sz w:val="14"/>
          <w:szCs w:val="14"/>
          <w:b w:val="1"/>
          <w:bCs w:val="1"/>
          <w:color w:val="auto"/>
        </w:rPr>
        <w:t>Base Call Option Confirmation</w:t>
      </w:r>
      <w:r>
        <w:rPr>
          <w:rFonts w:ascii="Times New Roman" w:cs="Times New Roman" w:eastAsia="Times New Roman" w:hAnsi="Times New Roman"/>
          <w:sz w:val="14"/>
          <w:szCs w:val="14"/>
          <w:color w:val="auto"/>
        </w:rPr>
        <w:t>”) (ii) an Additional Call Option confirmation, dated as of June 4, 2019 (the “</w:t>
      </w:r>
      <w:r>
        <w:rPr>
          <w:rFonts w:ascii="Times New Roman" w:cs="Times New Roman" w:eastAsia="Times New Roman" w:hAnsi="Times New Roman"/>
          <w:sz w:val="14"/>
          <w:szCs w:val="14"/>
          <w:b w:val="1"/>
          <w:bCs w:val="1"/>
          <w:color w:val="auto"/>
        </w:rPr>
        <w:t>Additional Call Option Confirmation</w:t>
      </w:r>
      <w:r>
        <w:rPr>
          <w:rFonts w:ascii="Times New Roman" w:cs="Times New Roman" w:eastAsia="Times New Roman" w:hAnsi="Times New Roman"/>
          <w:sz w:val="14"/>
          <w:szCs w:val="14"/>
          <w:color w:val="auto"/>
        </w:rPr>
        <w:t>" and together with the Base Call Option Confirmation, the “</w:t>
      </w:r>
      <w:r>
        <w:rPr>
          <w:rFonts w:ascii="Times New Roman" w:cs="Times New Roman" w:eastAsia="Times New Roman" w:hAnsi="Times New Roman"/>
          <w:sz w:val="14"/>
          <w:szCs w:val="14"/>
          <w:b w:val="1"/>
          <w:bCs w:val="1"/>
          <w:color w:val="auto"/>
        </w:rPr>
        <w:t>Call Option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Confirmations</w:t>
      </w:r>
      <w:r>
        <w:rPr>
          <w:rFonts w:ascii="Times New Roman" w:cs="Times New Roman" w:eastAsia="Times New Roman" w:hAnsi="Times New Roman"/>
          <w:sz w:val="14"/>
          <w:szCs w:val="14"/>
          <w:color w:val="auto"/>
        </w:rPr>
        <w:t>”), pursuant to which the Dealer issued to the Company options to purchase shares of common stock of the Company (the “</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left="581" w:firstLine="509"/>
        <w:spacing w:after="0" w:line="290" w:lineRule="auto"/>
        <w:rPr>
          <w:sz w:val="20"/>
          <w:szCs w:val="20"/>
          <w:color w:val="auto"/>
        </w:rPr>
      </w:pPr>
      <w:r>
        <w:rPr>
          <w:rFonts w:ascii="Times New Roman" w:cs="Times New Roman" w:eastAsia="Times New Roman" w:hAnsi="Times New Roman"/>
          <w:sz w:val="14"/>
          <w:szCs w:val="14"/>
          <w:color w:val="auto"/>
        </w:rPr>
        <w:t>WHEREAS, the Company has requested, and Dealer has agreed, to unwind the Base Call Option Confirmation with respect to 38,500 Options (the “</w:t>
      </w:r>
      <w:r>
        <w:rPr>
          <w:rFonts w:ascii="Times New Roman" w:cs="Times New Roman" w:eastAsia="Times New Roman" w:hAnsi="Times New Roman"/>
          <w:sz w:val="14"/>
          <w:szCs w:val="14"/>
          <w:b w:val="1"/>
          <w:bCs w:val="1"/>
          <w:color w:val="auto"/>
        </w:rPr>
        <w:t>Unwind Options</w:t>
      </w:r>
      <w:r>
        <w:rPr>
          <w:rFonts w:ascii="Times New Roman" w:cs="Times New Roman" w:eastAsia="Times New Roman" w:hAnsi="Times New Roman"/>
          <w:sz w:val="14"/>
          <w:szCs w:val="14"/>
          <w:color w:val="auto"/>
        </w:rPr>
        <w:t>”) underlying the Base Call Option Confirmation;</w:t>
      </w:r>
    </w:p>
    <w:p>
      <w:pPr>
        <w:spacing w:after="0" w:line="143" w:lineRule="exact"/>
        <w:rPr>
          <w:sz w:val="20"/>
          <w:szCs w:val="20"/>
          <w:color w:val="auto"/>
        </w:rPr>
      </w:pPr>
    </w:p>
    <w:p>
      <w:pPr>
        <w:ind w:left="1081"/>
        <w:spacing w:after="0"/>
        <w:rPr>
          <w:sz w:val="20"/>
          <w:szCs w:val="20"/>
          <w:color w:val="auto"/>
        </w:rPr>
      </w:pPr>
      <w:r>
        <w:rPr>
          <w:rFonts w:ascii="Times New Roman" w:cs="Times New Roman" w:eastAsia="Times New Roman" w:hAnsi="Times New Roman"/>
          <w:sz w:val="14"/>
          <w:szCs w:val="14"/>
          <w:color w:val="auto"/>
        </w:rPr>
        <w:t>NOW, THEREFORE, in consideration of their mutual covenants herein contained, the parties hereto, intending to be legally bound, hereby mutually covenant and agree as</w:t>
      </w:r>
    </w:p>
    <w:p>
      <w:pPr>
        <w:spacing w:after="0" w:line="23"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4"/>
          <w:szCs w:val="14"/>
          <w:color w:val="auto"/>
        </w:rPr>
        <w:t>follows:</w:t>
      </w:r>
    </w:p>
    <w:p>
      <w:pPr>
        <w:spacing w:after="0" w:line="196" w:lineRule="exact"/>
        <w:rPr>
          <w:sz w:val="20"/>
          <w:szCs w:val="20"/>
          <w:color w:val="auto"/>
        </w:rPr>
      </w:pPr>
    </w:p>
    <w:p>
      <w:pPr>
        <w:ind w:left="1341" w:hanging="252"/>
        <w:spacing w:after="0"/>
        <w:tabs>
          <w:tab w:leader="none" w:pos="1341"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Any capitalized term not otherwise defined herein shall have the meaning set forth for such term in the Call Option Confirmations.</w:t>
      </w:r>
    </w:p>
    <w:p>
      <w:pPr>
        <w:spacing w:after="0" w:line="199" w:lineRule="exact"/>
        <w:rPr>
          <w:rFonts w:ascii="Times New Roman" w:cs="Times New Roman" w:eastAsia="Times New Roman" w:hAnsi="Times New Roman"/>
          <w:sz w:val="14"/>
          <w:szCs w:val="14"/>
          <w:color w:val="auto"/>
        </w:rPr>
      </w:pPr>
    </w:p>
    <w:p>
      <w:pPr>
        <w:ind w:left="581" w:firstLine="508"/>
        <w:spacing w:after="0" w:line="287" w:lineRule="auto"/>
        <w:tabs>
          <w:tab w:leader="none" w:pos="1348"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Options Unwind</w:t>
      </w:r>
      <w:r>
        <w:rPr>
          <w:rFonts w:ascii="Times New Roman" w:cs="Times New Roman" w:eastAsia="Times New Roman" w:hAnsi="Times New Roman"/>
          <w:sz w:val="14"/>
          <w:szCs w:val="14"/>
          <w:color w:val="auto"/>
        </w:rPr>
        <w:t>. On the Delivery Date (as defined below), the Number of Options in the Base Call Option Confirmation shall be reduced by the number of Unwind Options, from 120,000 to 81,500.</w:t>
      </w:r>
    </w:p>
    <w:p>
      <w:pPr>
        <w:spacing w:after="0" w:line="187" w:lineRule="exact"/>
        <w:rPr>
          <w:rFonts w:ascii="Times New Roman" w:cs="Times New Roman" w:eastAsia="Times New Roman" w:hAnsi="Times New Roman"/>
          <w:sz w:val="14"/>
          <w:szCs w:val="14"/>
          <w:color w:val="auto"/>
        </w:rPr>
      </w:pPr>
    </w:p>
    <w:p>
      <w:pPr>
        <w:ind w:left="581" w:hanging="581"/>
        <w:spacing w:after="0"/>
        <w:tabs>
          <w:tab w:leader="none" w:pos="581"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51"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75"/>
              </w:rPr>
              <w:t>4.</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u w:val="single" w:color="auto"/>
                <w:color w:val="auto"/>
              </w:rPr>
              <w:t>Procedures for Partial Unwind</w:t>
            </w:r>
            <w:r>
              <w:rPr>
                <w:rFonts w:ascii="Times New Roman" w:cs="Times New Roman" w:eastAsia="Times New Roman" w:hAnsi="Times New Roman"/>
                <w:sz w:val="14"/>
                <w:szCs w:val="14"/>
                <w:color w:val="auto"/>
              </w:rPr>
              <w:t>.</w:t>
            </w:r>
          </w:p>
        </w:tc>
        <w:tc>
          <w:tcPr>
            <w:tcW w:w="46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Pursuant to the terms of this Agreement, during the Hedge Unwind</w:t>
            </w:r>
          </w:p>
        </w:tc>
        <w:tc>
          <w:tcPr>
            <w:tcW w:w="0" w:type="dxa"/>
            <w:vAlign w:val="bottom"/>
          </w:tcPr>
          <w:p>
            <w:pPr>
              <w:spacing w:after="0"/>
              <w:rPr>
                <w:sz w:val="1"/>
                <w:szCs w:val="1"/>
                <w:color w:val="auto"/>
              </w:rPr>
            </w:pPr>
          </w:p>
        </w:tc>
      </w:tr>
      <w:tr>
        <w:trPr>
          <w:trHeight w:val="64"/>
        </w:trPr>
        <w:tc>
          <w:tcPr>
            <w:tcW w:w="44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4"/>
          <w:szCs w:val="14"/>
          <w:color w:val="auto"/>
        </w:rPr>
        <w:t>Period (as defined below) Dealer (or an affiliate of Dealer), for the account of Dealer, shall unwind a portion of its hedge of the Options underlying the Base Call Option Confirmation.</w:t>
      </w:r>
    </w:p>
    <w:p>
      <w:pPr>
        <w:spacing w:after="0" w:line="210" w:lineRule="exact"/>
        <w:rPr>
          <w:sz w:val="20"/>
          <w:szCs w:val="20"/>
          <w:color w:val="auto"/>
        </w:rPr>
      </w:pPr>
    </w:p>
    <w:p>
      <w:pPr>
        <w:jc w:val="both"/>
        <w:ind w:left="581" w:firstLine="508"/>
        <w:spacing w:after="0" w:line="261" w:lineRule="auto"/>
        <w:tabs>
          <w:tab w:leader="none" w:pos="1359"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w:t>
      </w:r>
      <w:r>
        <w:rPr>
          <w:rFonts w:ascii="Times New Roman" w:cs="Times New Roman" w:eastAsia="Times New Roman" w:hAnsi="Times New Roman"/>
          <w:sz w:val="14"/>
          <w:szCs w:val="14"/>
          <w:color w:val="auto"/>
        </w:rPr>
        <w:t>. On the first Scheduled Trading Day following the conclusion of the Hedge Unwind Period, or if such day is not a Currency Business Day, on the next Currency Business Day immediately following such day (the “</w:t>
      </w:r>
      <w:r>
        <w:rPr>
          <w:rFonts w:ascii="Times New Roman" w:cs="Times New Roman" w:eastAsia="Times New Roman" w:hAnsi="Times New Roman"/>
          <w:sz w:val="14"/>
          <w:szCs w:val="14"/>
          <w:b w:val="1"/>
          <w:bCs w:val="1"/>
          <w:color w:val="auto"/>
        </w:rPr>
        <w:t>Delivery Date</w:t>
      </w:r>
      <w:r>
        <w:rPr>
          <w:rFonts w:ascii="Times New Roman" w:cs="Times New Roman" w:eastAsia="Times New Roman" w:hAnsi="Times New Roman"/>
          <w:sz w:val="14"/>
          <w:szCs w:val="14"/>
          <w:color w:val="auto"/>
        </w:rPr>
        <w:t xml:space="preserve">”), Dealer shall deliver to the Company a number of Shares equal to an amount equal to the </w:t>
      </w: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xml:space="preserve"> of (i) the number of Unwind Options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Cash Settlement Amount per Option in respect of such Hedge Unwind Period (as determined based on the grid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(iii) the VWAP Price (as defined on the attached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b w:val="1"/>
          <w:bCs w:val="1"/>
          <w:color w:val="auto"/>
        </w:rPr>
        <w:t>Hedge Unwind Period</w:t>
      </w:r>
      <w:r>
        <w:rPr>
          <w:rFonts w:ascii="Times New Roman" w:cs="Times New Roman" w:eastAsia="Times New Roman" w:hAnsi="Times New Roman"/>
          <w:sz w:val="14"/>
          <w:szCs w:val="14"/>
          <w:color w:val="auto"/>
        </w:rPr>
        <w:t>” means December 15, 2020, subject to the immediately succeeding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1121"/>
          </w:cols>
          <w:pgMar w:left="319" w:top="1385" w:right="459" w:bottom="1440" w:gutter="0" w:footer="0" w:header="0"/>
        </w:sectPr>
      </w:pPr>
    </w:p>
    <w:bookmarkStart w:id="224" w:name="page225"/>
    <w:bookmarkEnd w:id="224"/>
    <w:p>
      <w:pPr>
        <w:jc w:val="both"/>
        <w:ind w:right="60" w:firstLine="1019"/>
        <w:spacing w:after="0" w:line="257" w:lineRule="auto"/>
        <w:rPr>
          <w:sz w:val="20"/>
          <w:szCs w:val="20"/>
          <w:color w:val="auto"/>
        </w:rPr>
      </w:pPr>
      <w:r>
        <w:rPr>
          <w:rFonts w:ascii="Times New Roman" w:cs="Times New Roman" w:eastAsia="Times New Roman" w:hAnsi="Times New Roman"/>
          <w:sz w:val="14"/>
          <w:szCs w:val="14"/>
          <w:color w:val="auto"/>
        </w:rPr>
        <w:t>Notwithstanding anything to the contrary in this Agreement, if (i) the Scheduled Trading Day during any Hedge Unwind Period is a Disrupted Day (as defined in the Call Option Confirmations) or (ii) Dealer determines, based on the advice of counsel, that on any Scheduled Trading Day during the Hedge Unwind Period an extension of such Hedge Unwind Period is reasonably necessary or advisable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related policies and procedures applicable to Dealer, then the Daily Price for such Scheduled Trading Day(s) shall be the volume-weighted average price per Share on such Scheduled Trading Day on the Exchange, as determined by the Calculation Agent based on transactions in the Shares on such Scheduled Trading Day taking into account, if applicable, the nature and duration of such Market Disruption Event, and the number of Scheduled Trading Days and the Cash Settlement Amount per Option related to the Hedge Unwind Period shall be adjusted by the Calculation Agent to account for such disruption and/or extension.</w:t>
      </w:r>
    </w:p>
    <w:p>
      <w:pPr>
        <w:spacing w:after="0" w:line="181" w:lineRule="exact"/>
        <w:rPr>
          <w:sz w:val="20"/>
          <w:szCs w:val="20"/>
          <w:color w:val="auto"/>
        </w:rPr>
      </w:pPr>
    </w:p>
    <w:p>
      <w:pPr>
        <w:ind w:left="760" w:hanging="252"/>
        <w:spacing w:after="0"/>
        <w:tabs>
          <w:tab w:leader="none" w:pos="7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Dealer on the date hereof that:</w:t>
      </w:r>
    </w:p>
    <w:p>
      <w:pPr>
        <w:spacing w:after="0" w:line="252" w:lineRule="exact"/>
        <w:rPr>
          <w:rFonts w:ascii="Times New Roman" w:cs="Times New Roman" w:eastAsia="Times New Roman" w:hAnsi="Times New Roman"/>
          <w:sz w:val="14"/>
          <w:szCs w:val="14"/>
          <w:color w:val="auto"/>
        </w:rPr>
      </w:pPr>
    </w:p>
    <w:p>
      <w:pPr>
        <w:ind w:firstLine="1018"/>
        <w:spacing w:after="0" w:line="287" w:lineRule="auto"/>
        <w:tabs>
          <w:tab w:leader="none" w:pos="1324"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45" w:lineRule="exact"/>
        <w:rPr>
          <w:rFonts w:ascii="Times New Roman" w:cs="Times New Roman" w:eastAsia="Times New Roman" w:hAnsi="Times New Roman"/>
          <w:sz w:val="14"/>
          <w:szCs w:val="14"/>
          <w:color w:val="auto"/>
        </w:rPr>
      </w:pPr>
    </w:p>
    <w:p>
      <w:pPr>
        <w:ind w:firstLine="1018"/>
        <w:spacing w:after="0" w:line="287" w:lineRule="auto"/>
        <w:tabs>
          <w:tab w:leader="none" w:pos="1364"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the Company, any provision of its constitutional documents, any order or judgment of any court or other agency of government applicable to it or any of its assets or any contractual restriction binding on or affecting it or any of its assets;</w:t>
      </w:r>
    </w:p>
    <w:p>
      <w:pPr>
        <w:spacing w:after="0" w:line="145" w:lineRule="exact"/>
        <w:rPr>
          <w:rFonts w:ascii="Times New Roman" w:cs="Times New Roman" w:eastAsia="Times New Roman" w:hAnsi="Times New Roman"/>
          <w:sz w:val="14"/>
          <w:szCs w:val="14"/>
          <w:color w:val="auto"/>
        </w:rPr>
      </w:pPr>
    </w:p>
    <w:p>
      <w:pPr>
        <w:ind w:firstLine="1018"/>
        <w:spacing w:after="0" w:line="287" w:lineRule="auto"/>
        <w:tabs>
          <w:tab w:leader="none" w:pos="1358"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the Company with respect to this Agreement have been obtained and are in full force and effect and all conditions of any such consents have been complied with;</w:t>
      </w:r>
    </w:p>
    <w:p>
      <w:pPr>
        <w:spacing w:after="0" w:line="156" w:lineRule="exact"/>
        <w:rPr>
          <w:rFonts w:ascii="Times New Roman" w:cs="Times New Roman" w:eastAsia="Times New Roman" w:hAnsi="Times New Roman"/>
          <w:sz w:val="14"/>
          <w:szCs w:val="14"/>
          <w:color w:val="auto"/>
        </w:rPr>
      </w:pPr>
    </w:p>
    <w:p>
      <w:pPr>
        <w:jc w:val="both"/>
        <w:ind w:firstLine="1018"/>
        <w:spacing w:after="0" w:line="270" w:lineRule="auto"/>
        <w:tabs>
          <w:tab w:leader="none" w:pos="1342"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67" w:lineRule="exact"/>
        <w:rPr>
          <w:rFonts w:ascii="Times New Roman" w:cs="Times New Roman" w:eastAsia="Times New Roman" w:hAnsi="Times New Roman"/>
          <w:sz w:val="14"/>
          <w:szCs w:val="14"/>
          <w:color w:val="auto"/>
        </w:rPr>
      </w:pPr>
    </w:p>
    <w:p>
      <w:pPr>
        <w:ind w:left="1320" w:hanging="302"/>
        <w:spacing w:after="0"/>
        <w:tabs>
          <w:tab w:leader="none" w:pos="1320"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affiliates is not in possession of any material nonpublic information regarding the Company or its common stock;</w:t>
      </w:r>
    </w:p>
    <w:p>
      <w:pPr>
        <w:spacing w:after="0" w:line="210" w:lineRule="exact"/>
        <w:rPr>
          <w:rFonts w:ascii="Times New Roman" w:cs="Times New Roman" w:eastAsia="Times New Roman" w:hAnsi="Times New Roman"/>
          <w:sz w:val="14"/>
          <w:szCs w:val="14"/>
          <w:color w:val="auto"/>
        </w:rPr>
      </w:pPr>
    </w:p>
    <w:p>
      <w:pPr>
        <w:jc w:val="both"/>
        <w:ind w:firstLine="1018"/>
        <w:spacing w:after="0" w:line="270" w:lineRule="auto"/>
        <w:tabs>
          <w:tab w:leader="none" w:pos="1320"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156" w:lineRule="exact"/>
        <w:rPr>
          <w:rFonts w:ascii="Times New Roman" w:cs="Times New Roman" w:eastAsia="Times New Roman" w:hAnsi="Times New Roman"/>
          <w:sz w:val="14"/>
          <w:szCs w:val="14"/>
          <w:color w:val="auto"/>
        </w:rPr>
      </w:pPr>
    </w:p>
    <w:p>
      <w:pPr>
        <w:jc w:val="both"/>
        <w:ind w:firstLine="1018"/>
        <w:spacing w:after="0" w:line="270" w:lineRule="auto"/>
        <w:tabs>
          <w:tab w:leader="none" w:pos="1333"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entering into this Agreement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600"/>
          </w:cols>
          <w:pgMar w:left="900" w:top="1143" w:right="399" w:bottom="1440" w:gutter="0" w:footer="0" w:header="0"/>
        </w:sectPr>
      </w:pPr>
    </w:p>
    <w:bookmarkStart w:id="225" w:name="page226"/>
    <w:bookmarkEnd w:id="225"/>
    <w:p>
      <w:pPr>
        <w:ind w:left="-508" w:firstLine="1018"/>
        <w:spacing w:after="0" w:line="287" w:lineRule="auto"/>
        <w:tabs>
          <w:tab w:leader="none" w:pos="826"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 “eligible contract participant” (as such term is defined in Section 1a(18) of the Commodity Exchange Act, as amended, other than a person that is an eligible contract participant under Section 1a(18)(C) of the Commodity Exchange Act);</w:t>
      </w:r>
    </w:p>
    <w:p>
      <w:pPr>
        <w:spacing w:after="0" w:line="156" w:lineRule="exact"/>
        <w:rPr>
          <w:rFonts w:ascii="Times New Roman" w:cs="Times New Roman" w:eastAsia="Times New Roman" w:hAnsi="Times New Roman"/>
          <w:sz w:val="14"/>
          <w:szCs w:val="14"/>
          <w:color w:val="auto"/>
        </w:rPr>
      </w:pPr>
    </w:p>
    <w:p>
      <w:pPr>
        <w:ind w:left="-508" w:firstLine="1018"/>
        <w:spacing w:after="0" w:line="287" w:lineRule="auto"/>
        <w:tabs>
          <w:tab w:leader="none" w:pos="80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after consummation of the transactions contemplated hereby, will not be required to register as an “investment company” as such term is defined in the Investment Company Act of 1940, as amended;</w:t>
      </w:r>
    </w:p>
    <w:p>
      <w:pPr>
        <w:spacing w:after="0" w:line="145" w:lineRule="exact"/>
        <w:rPr>
          <w:rFonts w:ascii="Times New Roman" w:cs="Times New Roman" w:eastAsia="Times New Roman" w:hAnsi="Times New Roman"/>
          <w:sz w:val="14"/>
          <w:szCs w:val="14"/>
          <w:color w:val="auto"/>
        </w:rPr>
      </w:pPr>
    </w:p>
    <w:p>
      <w:pPr>
        <w:jc w:val="both"/>
        <w:ind w:left="-508" w:firstLine="1018"/>
        <w:spacing w:after="0" w:line="264" w:lineRule="auto"/>
        <w:tabs>
          <w:tab w:leader="none" w:pos="785"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day during the Hedge Unwind Period, the Shares shall not be subject to a “restricted period,” as such term is defined in Regulation M under the Exchange Act and that the Company shall not engage in any “distribution,” as such term is defined in Regulation M under the Exchange Act, other than a distribution meeting the requirements of the exceptions set forth in sections 101(b)(10) and 102(b)(7) of Regulation M under the Exchange Act, until the second Exchange Business Day immediately following the last day of the Hedge Unwind Period;</w:t>
      </w:r>
    </w:p>
    <w:p>
      <w:pPr>
        <w:spacing w:after="0" w:line="172" w:lineRule="exact"/>
        <w:rPr>
          <w:rFonts w:ascii="Times New Roman" w:cs="Times New Roman" w:eastAsia="Times New Roman" w:hAnsi="Times New Roman"/>
          <w:sz w:val="14"/>
          <w:szCs w:val="14"/>
          <w:color w:val="auto"/>
        </w:rPr>
      </w:pPr>
    </w:p>
    <w:p>
      <w:pPr>
        <w:jc w:val="both"/>
        <w:ind w:left="-508" w:firstLine="1018"/>
        <w:spacing w:after="0" w:line="264" w:lineRule="auto"/>
        <w:tabs>
          <w:tab w:leader="none" w:pos="821"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Scheduled Trading Day during the Hedge Unwind Period, neither the Company nor any “affiliated purchaser” (as defined in Rule 10b-18 of the Exchange Act)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and</w:t>
      </w:r>
    </w:p>
    <w:p>
      <w:pPr>
        <w:spacing w:after="0" w:line="172" w:lineRule="exact"/>
        <w:rPr>
          <w:rFonts w:ascii="Times New Roman" w:cs="Times New Roman" w:eastAsia="Times New Roman" w:hAnsi="Times New Roman"/>
          <w:sz w:val="14"/>
          <w:szCs w:val="14"/>
          <w:color w:val="auto"/>
        </w:rPr>
      </w:pPr>
    </w:p>
    <w:p>
      <w:pPr>
        <w:jc w:val="both"/>
        <w:ind w:left="-508" w:firstLine="1018"/>
        <w:spacing w:after="0" w:line="270" w:lineRule="auto"/>
        <w:tabs>
          <w:tab w:leader="none" w:pos="791"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prior to the date hereof it has notified Dealer of the total number of Shares, if any, purchased by or for the Company or any of its affiliated purchasers in Rule 10b-18 purchases of blocks (all as defined in Rule 10b-18 under the Exchange Act) pursuant to the once-a-week block exception set forth in Rule 10b-18(b)(4) during the four full calendar weeks immediately preceding the date hereof.</w:t>
      </w:r>
    </w:p>
    <w:p>
      <w:pPr>
        <w:spacing w:after="0" w:line="167" w:lineRule="exact"/>
        <w:rPr>
          <w:rFonts w:ascii="Times New Roman" w:cs="Times New Roman" w:eastAsia="Times New Roman" w:hAnsi="Times New Roman"/>
          <w:sz w:val="14"/>
          <w:szCs w:val="14"/>
          <w:color w:val="auto"/>
        </w:rPr>
      </w:pPr>
    </w:p>
    <w:p>
      <w:pPr>
        <w:ind w:left="252" w:hanging="252"/>
        <w:spacing w:after="0"/>
        <w:tabs>
          <w:tab w:leader="none" w:pos="25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D</w:t>
      </w:r>
      <w:r>
        <w:rPr>
          <w:rFonts w:ascii="Times New Roman" w:cs="Times New Roman" w:eastAsia="Times New Roman" w:hAnsi="Times New Roman"/>
          <w:sz w:val="14"/>
          <w:szCs w:val="14"/>
          <w:color w:val="auto"/>
        </w:rPr>
        <w:t>ealer. Dealer represents and warrants to the Company on the date hereof that: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08" w:firstLine="1018"/>
        <w:spacing w:after="0" w:line="287" w:lineRule="auto"/>
        <w:tabs>
          <w:tab w:leader="none" w:pos="845"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56" w:lineRule="exact"/>
        <w:rPr>
          <w:rFonts w:ascii="Times New Roman" w:cs="Times New Roman" w:eastAsia="Times New Roman" w:hAnsi="Times New Roman"/>
          <w:sz w:val="14"/>
          <w:szCs w:val="14"/>
          <w:color w:val="auto"/>
        </w:rPr>
      </w:pPr>
    </w:p>
    <w:p>
      <w:pPr>
        <w:ind w:left="-508" w:firstLine="1018"/>
        <w:spacing w:after="0" w:line="287" w:lineRule="auto"/>
        <w:tabs>
          <w:tab w:leader="none" w:pos="839"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Dealer, any provision of its constitutional documents, any order or judgment of any court or other agency of government applicable to it or any of its assets or any contractual restriction binding on or affecting it or any of its assets;</w:t>
      </w:r>
    </w:p>
    <w:p>
      <w:pPr>
        <w:spacing w:after="0" w:line="145" w:lineRule="exact"/>
        <w:rPr>
          <w:rFonts w:ascii="Times New Roman" w:cs="Times New Roman" w:eastAsia="Times New Roman" w:hAnsi="Times New Roman"/>
          <w:sz w:val="14"/>
          <w:szCs w:val="14"/>
          <w:color w:val="auto"/>
        </w:rPr>
      </w:pPr>
    </w:p>
    <w:p>
      <w:pPr>
        <w:ind w:left="-508" w:firstLine="1018"/>
        <w:spacing w:after="0" w:line="287" w:lineRule="auto"/>
        <w:tabs>
          <w:tab w:leader="none" w:pos="825"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Dealer with respect to this Agreement have been obtained and are in full force and effect and all conditions of any such consents have been complied with; and</w:t>
      </w:r>
    </w:p>
    <w:p>
      <w:pPr>
        <w:spacing w:after="0" w:line="156" w:lineRule="exact"/>
        <w:rPr>
          <w:rFonts w:ascii="Times New Roman" w:cs="Times New Roman" w:eastAsia="Times New Roman" w:hAnsi="Times New Roman"/>
          <w:sz w:val="14"/>
          <w:szCs w:val="14"/>
          <w:color w:val="auto"/>
        </w:rPr>
      </w:pPr>
    </w:p>
    <w:p>
      <w:pPr>
        <w:jc w:val="both"/>
        <w:ind w:left="-508" w:firstLine="1018"/>
        <w:spacing w:after="0" w:line="270" w:lineRule="auto"/>
        <w:tabs>
          <w:tab w:leader="none" w:pos="898"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92"/>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092"/>
          </w:cols>
          <w:pgMar w:left="1408" w:top="1143" w:right="399" w:bottom="1440" w:gutter="0" w:footer="0" w:header="0"/>
        </w:sectPr>
      </w:pPr>
    </w:p>
    <w:bookmarkStart w:id="226" w:name="page227"/>
    <w:bookmarkEnd w:id="226"/>
    <w:p>
      <w:pPr>
        <w:ind w:left="252" w:hanging="252"/>
        <w:spacing w:after="0"/>
        <w:tabs>
          <w:tab w:leader="none" w:pos="252"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 for Payment to the Company</w:t>
      </w:r>
      <w:r>
        <w:rPr>
          <w:rFonts w:ascii="Times New Roman" w:cs="Times New Roman" w:eastAsia="Times New Roman" w:hAnsi="Times New Roman"/>
          <w:sz w:val="14"/>
          <w:szCs w:val="14"/>
          <w:color w:val="auto"/>
        </w:rPr>
        <w:t>:</w:t>
      </w:r>
    </w:p>
    <w:p>
      <w:pPr>
        <w:spacing w:after="0" w:line="25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4"/>
          <w:szCs w:val="14"/>
          <w:color w:val="auto"/>
        </w:rPr>
        <w:t>To be advised.</w:t>
      </w:r>
    </w:p>
    <w:p>
      <w:pPr>
        <w:spacing w:after="0" w:line="210" w:lineRule="exact"/>
        <w:rPr>
          <w:sz w:val="20"/>
          <w:szCs w:val="20"/>
          <w:color w:val="auto"/>
        </w:rPr>
      </w:pPr>
    </w:p>
    <w:p>
      <w:pPr>
        <w:ind w:left="252" w:hanging="252"/>
        <w:spacing w:after="0"/>
        <w:tabs>
          <w:tab w:leader="none" w:pos="252"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laws of the State of New York (without reference to choice of law doctrine).</w:t>
      </w:r>
    </w:p>
    <w:p>
      <w:pPr>
        <w:spacing w:after="0" w:line="210" w:lineRule="exact"/>
        <w:rPr>
          <w:rFonts w:ascii="Times New Roman" w:cs="Times New Roman" w:eastAsia="Times New Roman" w:hAnsi="Times New Roman"/>
          <w:sz w:val="14"/>
          <w:szCs w:val="14"/>
          <w:color w:val="auto"/>
        </w:rPr>
      </w:pPr>
    </w:p>
    <w:p>
      <w:pPr>
        <w:ind w:left="-508" w:firstLine="508"/>
        <w:spacing w:after="0" w:line="287" w:lineRule="auto"/>
        <w:tabs>
          <w:tab w:leader="none" w:pos="319"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Changes</w:t>
      </w:r>
      <w:r>
        <w:rPr>
          <w:rFonts w:ascii="Times New Roman" w:cs="Times New Roman" w:eastAsia="Times New Roman" w:hAnsi="Times New Roman"/>
          <w:sz w:val="14"/>
          <w:szCs w:val="14"/>
          <w:color w:val="auto"/>
        </w:rPr>
        <w:t>. Except as expressly set forth herein, all of the terms and conditions of the Call Option Confirmations shall remain in full force and effect and are hereby confirmed in all respects.</w:t>
      </w:r>
    </w:p>
    <w:p>
      <w:pPr>
        <w:spacing w:after="0" w:line="156" w:lineRule="exact"/>
        <w:rPr>
          <w:rFonts w:ascii="Times New Roman" w:cs="Times New Roman" w:eastAsia="Times New Roman" w:hAnsi="Times New Roman"/>
          <w:sz w:val="14"/>
          <w:szCs w:val="14"/>
          <w:color w:val="auto"/>
        </w:rPr>
      </w:pPr>
    </w:p>
    <w:p>
      <w:pPr>
        <w:ind w:left="-508" w:right="20" w:firstLine="508"/>
        <w:spacing w:after="0" w:line="287" w:lineRule="auto"/>
        <w:tabs>
          <w:tab w:leader="none" w:pos="335"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w:t>
      </w:r>
      <w:r>
        <w:rPr>
          <w:rFonts w:ascii="Times New Roman" w:cs="Times New Roman" w:eastAsia="Times New Roman" w:hAnsi="Times New Roman"/>
          <w:sz w:val="14"/>
          <w:szCs w:val="14"/>
          <w:color w:val="auto"/>
        </w:rPr>
        <w:t>s. This Agreement may be signed in any number of counterparts, each of which shall be an original, with the same effect as if all of the signatures thereto and hereto were upon the same instrument.</w:t>
      </w:r>
    </w:p>
    <w:p>
      <w:pPr>
        <w:spacing w:after="0" w:line="145" w:lineRule="exact"/>
        <w:rPr>
          <w:rFonts w:ascii="Times New Roman" w:cs="Times New Roman" w:eastAsia="Times New Roman" w:hAnsi="Times New Roman"/>
          <w:sz w:val="14"/>
          <w:szCs w:val="14"/>
          <w:color w:val="auto"/>
        </w:rPr>
      </w:pPr>
    </w:p>
    <w:p>
      <w:pPr>
        <w:jc w:val="both"/>
        <w:ind w:left="-508" w:firstLine="508"/>
        <w:spacing w:after="0" w:line="270" w:lineRule="auto"/>
        <w:tabs>
          <w:tab w:leader="none" w:pos="319"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Reliance, etc</w:t>
      </w:r>
      <w:r>
        <w:rPr>
          <w:rFonts w:ascii="Times New Roman" w:cs="Times New Roman" w:eastAsia="Times New Roman" w:hAnsi="Times New Roman"/>
          <w:sz w:val="14"/>
          <w:szCs w:val="14"/>
          <w:color w:val="auto"/>
        </w:rPr>
        <w:t>. The Company hereby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67" w:lineRule="exact"/>
        <w:rPr>
          <w:rFonts w:ascii="Times New Roman" w:cs="Times New Roman" w:eastAsia="Times New Roman" w:hAnsi="Times New Roman"/>
          <w:sz w:val="14"/>
          <w:szCs w:val="14"/>
          <w:color w:val="auto"/>
        </w:rPr>
      </w:pPr>
    </w:p>
    <w:p>
      <w:pPr>
        <w:jc w:val="both"/>
        <w:ind w:left="-508" w:firstLine="508"/>
        <w:spacing w:after="0" w:line="261" w:lineRule="auto"/>
        <w:tabs>
          <w:tab w:leader="none" w:pos="319"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Acknowledgments and Agreeme</w:t>
      </w:r>
      <w:r>
        <w:rPr>
          <w:rFonts w:ascii="Times New Roman" w:cs="Times New Roman" w:eastAsia="Times New Roman" w:hAnsi="Times New Roman"/>
          <w:sz w:val="14"/>
          <w:szCs w:val="14"/>
          <w:color w:val="auto"/>
        </w:rPr>
        <w:t>nts. The Company acknowledges and agrees that (i) the Company does not have, and shall not attempt to exercise, any influence over how, when or whether to effect sales of the Shares by Dealer (or its agent or affiliate) in connection with this Agreement and (ii) the Company is entering into this Agreement in good faith and not as part of a plan or scheme to evade compliance with federal securities laws including, without limitation, Rule 10b-5 promulgated under the Securities Exchange Act of 1934, as amended. For the avoidance of doubt, the Company agrees that Section 13.2 of the Equity Definitions remains applicable with respect to any Hedge Positions and Hedging Activities of Dealer in respect of the Transactions subject to the Call Option Confirmations and the transactions contemplated by this Agreement.</w:t>
      </w:r>
    </w:p>
    <w:p>
      <w:pPr>
        <w:spacing w:after="0" w:line="175" w:lineRule="exact"/>
        <w:rPr>
          <w:rFonts w:ascii="Times New Roman" w:cs="Times New Roman" w:eastAsia="Times New Roman" w:hAnsi="Times New Roman"/>
          <w:sz w:val="14"/>
          <w:szCs w:val="14"/>
          <w:color w:val="auto"/>
        </w:rPr>
      </w:pPr>
    </w:p>
    <w:p>
      <w:pPr>
        <w:jc w:val="both"/>
        <w:ind w:left="-508" w:firstLine="508"/>
        <w:spacing w:after="0" w:line="270" w:lineRule="auto"/>
        <w:tabs>
          <w:tab w:leader="none" w:pos="351"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Unwind Options</w:t>
      </w:r>
      <w:r>
        <w:rPr>
          <w:rFonts w:ascii="Times New Roman" w:cs="Times New Roman" w:eastAsia="Times New Roman" w:hAnsi="Times New Roman"/>
          <w:sz w:val="14"/>
          <w:szCs w:val="14"/>
          <w:color w:val="auto"/>
        </w:rPr>
        <w:t xml:space="preserve">. Except for the delivery pursuant to this Agreement, the parties agree that no payments or deliveries shall become due or payable and no exercises shall occur, with respect to the Unwind Options;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until the last day of the Hedge Unwind Period, the “Cash Settlement Amount per Option” shall remain subject to adjustment by the Calculation Agent in a manner consistent with, and for the same events that would result in an adjustment to the terms of, the Call Option Confirmations.</w:t>
      </w:r>
    </w:p>
    <w:p>
      <w:pPr>
        <w:spacing w:after="0" w:line="156"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210" w:lineRule="exact"/>
        <w:rPr>
          <w:rFonts w:ascii="Times New Roman" w:cs="Times New Roman" w:eastAsia="Times New Roman" w:hAnsi="Times New Roman"/>
          <w:sz w:val="14"/>
          <w:szCs w:val="14"/>
          <w:color w:val="auto"/>
        </w:rPr>
      </w:pPr>
    </w:p>
    <w:p>
      <w:pPr>
        <w:jc w:val="both"/>
        <w:ind w:left="-508" w:firstLine="508"/>
        <w:spacing w:after="0" w:line="261" w:lineRule="auto"/>
        <w:tabs>
          <w:tab w:leader="none" w:pos="33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Role of Agent</w:t>
      </w:r>
      <w:r>
        <w:rPr>
          <w:rFonts w:ascii="Times New Roman" w:cs="Times New Roman" w:eastAsia="Times New Roman" w:hAnsi="Times New Roman"/>
          <w:sz w:val="14"/>
          <w:szCs w:val="14"/>
          <w:color w:val="auto"/>
        </w:rPr>
        <w:t>. Each of Dealer and the Company acknowledges to and agrees with the other party hereto and to and with the Agent that (i) 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the Company is not relying (for purposes of making any investment decision or otherwise) upon, any statements, opinions or representations (whether written or oral) of Dealer or the Agent,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92"/>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092"/>
          </w:cols>
          <w:pgMar w:left="1408" w:top="1143" w:right="399" w:bottom="1440" w:gutter="0" w:footer="0" w:header="0"/>
        </w:sectPr>
      </w:pPr>
    </w:p>
    <w:bookmarkStart w:id="227" w:name="page228"/>
    <w:bookmarkEnd w:id="227"/>
    <w:p>
      <w:pPr>
        <w:jc w:val="both"/>
        <w:spacing w:after="0" w:line="270" w:lineRule="auto"/>
        <w:rPr>
          <w:sz w:val="20"/>
          <w:szCs w:val="20"/>
          <w:color w:val="auto"/>
        </w:rPr>
      </w:pPr>
      <w:r>
        <w:rPr>
          <w:rFonts w:ascii="Times New Roman" w:cs="Times New Roman" w:eastAsia="Times New Roman" w:hAnsi="Times New Roman"/>
          <w:sz w:val="14"/>
          <w:szCs w:val="14"/>
          <w:color w:val="auto"/>
        </w:rPr>
        <w:t>representations expressly set forth in this Agreement, and (v) each party agrees to proceed solely against the other party, and not the Agent, to collect or recover any money or securities owed to it in connection with the Transactions. Each party hereto acknowledges and agrees that the Agent is an intended third party beneficiary hereunder. Company acknowledges that the Agent is an affiliate of Dealer. Dealer will be acting for its own account in respect of this Agreement and the Transactions contemplated in the Confirmations thereunder.</w:t>
      </w:r>
    </w:p>
    <w:p>
      <w:pPr>
        <w:spacing w:after="0" w:line="168"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u w:val="single" w:color="auto"/>
          <w:color w:val="auto"/>
        </w:rPr>
        <w:t>Side Letters</w:t>
      </w:r>
      <w:r>
        <w:rPr>
          <w:rFonts w:ascii="Times New Roman" w:cs="Times New Roman" w:eastAsia="Times New Roman" w:hAnsi="Times New Roman"/>
          <w:sz w:val="14"/>
          <w:szCs w:val="14"/>
          <w:color w:val="auto"/>
        </w:rPr>
        <w:t>. The parties further agree that each of the following side letters to the Transactions shall continue in full force and effect:</w:t>
      </w:r>
    </w:p>
    <w:p>
      <w:pPr>
        <w:spacing w:after="0" w:line="285" w:lineRule="exact"/>
        <w:rPr>
          <w:sz w:val="20"/>
          <w:szCs w:val="20"/>
          <w:color w:val="auto"/>
        </w:rPr>
      </w:pPr>
    </w:p>
    <w:p>
      <w:pPr>
        <w:ind w:right="520" w:firstLine="508"/>
        <w:spacing w:after="0" w:line="287" w:lineRule="auto"/>
        <w:tabs>
          <w:tab w:leader="none" w:pos="805"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agreement by and between Dealer and the Company dated as of May 30, 2019, specifying certain additional terms and conditions of the Base Call Option Confirmation issued by Dealer to the Company; and</w:t>
      </w:r>
    </w:p>
    <w:p>
      <w:pPr>
        <w:spacing w:after="0" w:line="240" w:lineRule="exact"/>
        <w:rPr>
          <w:rFonts w:ascii="Times New Roman" w:cs="Times New Roman" w:eastAsia="Times New Roman" w:hAnsi="Times New Roman"/>
          <w:sz w:val="14"/>
          <w:szCs w:val="14"/>
          <w:color w:val="auto"/>
        </w:rPr>
      </w:pPr>
    </w:p>
    <w:p>
      <w:pPr>
        <w:ind w:right="680" w:firstLine="508"/>
        <w:spacing w:after="0" w:line="287" w:lineRule="auto"/>
        <w:tabs>
          <w:tab w:leader="none" w:pos="813"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agreement by and between Dealer and the Company dated as of June 4, 2019, specifying certain additional terms and conditions of the Additional Call Option Confirmation issued by Dealer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600"/>
          </w:cols>
          <w:pgMar w:left="900" w:top="1196" w:right="39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the day and the year first above written.</w:t>
      </w:r>
    </w:p>
    <w:p>
      <w:pPr>
        <w:spacing w:after="0" w:line="200" w:lineRule="exact"/>
        <w:rPr>
          <w:sz w:val="20"/>
          <w:szCs w:val="20"/>
          <w:color w:val="auto"/>
        </w:rPr>
      </w:pPr>
    </w:p>
    <w:p>
      <w:pPr>
        <w:spacing w:after="0" w:line="38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231F20"/>
        </w:rPr>
        <w:t>ENPHASE ENERGY, INC.</w:t>
      </w:r>
    </w:p>
    <w:p>
      <w:pPr>
        <w:spacing w:after="0" w:line="2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76073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760730" cy="698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231F20"/>
        </w:rPr>
        <w:t>BARCLAYS BANK PLC</w:t>
      </w:r>
    </w:p>
    <w:p>
      <w:pPr>
        <w:spacing w:after="0" w:line="202"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Faiz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-4445</wp:posOffset>
            </wp:positionV>
            <wp:extent cx="60579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159"/>
          </w:cols>
          <w:pgMar w:left="300" w:top="1440" w:right="1440" w:bottom="1440" w:gutter="0" w:footer="0" w:header="0"/>
        </w:sectPr>
      </w:pPr>
    </w:p>
    <w:bookmarkStart w:id="229" w:name="page230"/>
    <w:bookmarkEnd w:id="229"/>
    <w:p>
      <w:pPr>
        <w:spacing w:after="0" w:line="328" w:lineRule="exact"/>
        <w:rPr>
          <w:sz w:val="20"/>
          <w:szCs w:val="20"/>
          <w:color w:val="auto"/>
        </w:rPr>
      </w:pPr>
    </w:p>
    <w:tbl>
      <w:tblPr>
        <w:tblLayout w:type="fixed"/>
        <w:tblInd w:w="149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456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b w:val="1"/>
                <w:bCs w:val="1"/>
                <w:color w:val="auto"/>
              </w:rPr>
              <w:t>EXHIBIT A</w:t>
            </w:r>
          </w:p>
        </w:tc>
      </w:tr>
      <w:tr>
        <w:trPr>
          <w:trHeight w:val="404"/>
        </w:trPr>
        <w:tc>
          <w:tcPr>
            <w:tcW w:w="2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181"/>
        </w:trPr>
        <w:tc>
          <w:tcPr>
            <w:tcW w:w="2600" w:type="dxa"/>
            <w:vAlign w:val="bottom"/>
            <w:tcBorders>
              <w:left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VWAP Price</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Cash Settlement Amount per Option</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$2,234.02</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$2,253.53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$2,273.04</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$2,292.55</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$2,312.06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$2,331.57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$141.00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$2,351.08</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$142.00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$2,370.60</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$143.00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$2,390.11</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$144.00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$2,409.62</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$2,429.13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$2,448.64</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$2,468.15</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$2,487.66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$2,507.17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$150.00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$2,526.69</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the VWAP Price is not specified on the grid above, the Cash Settlement Amount per Option shall be determined based on a straight-line interpolation between the VWAP Prices or extrapolation from the VWAP Prices (as the case may be) specified on the grid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VWAP Price</w:t>
      </w:r>
      <w:r>
        <w:rPr>
          <w:rFonts w:ascii="Times New Roman" w:cs="Times New Roman" w:eastAsia="Times New Roman" w:hAnsi="Times New Roman"/>
          <w:sz w:val="14"/>
          <w:szCs w:val="14"/>
          <w:color w:val="auto"/>
        </w:rPr>
        <w:t>” means the arithmetic average of the Daily Prices for all Scheduled Trading Days in the Hedge Unwind Period.</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Daily Price</w:t>
      </w:r>
      <w:r>
        <w:rPr>
          <w:rFonts w:ascii="Times New Roman" w:cs="Times New Roman" w:eastAsia="Times New Roman" w:hAnsi="Times New Roman"/>
          <w:sz w:val="14"/>
          <w:szCs w:val="14"/>
          <w:color w:val="auto"/>
        </w:rPr>
        <w:t>” for any Scheduled Trading Day means the per Share volume-weighted average price as displayed under the heading “Bloomberg VWAP” on Bloomberg page ENPH &lt;equity&gt; AQR (or any successor thereto) in respect of the period from 9:30 a.m. to 4:00 p.m. (New York City time) on such Scheduled Trading Day (or if such volume-weighted average price is unavailable or manifestly incorrect, the market value of one Share on such Scheduled Trading Day, as determined by the Calculation Agent).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600"/>
          </w:cols>
          <w:pgMar w:left="900" w:top="1440" w:right="3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t>Execution</w:t>
      </w:r>
    </w:p>
    <w:p>
      <w:pPr>
        <w:spacing w:after="0" w:line="200" w:lineRule="exact"/>
        <w:rPr>
          <w:sz w:val="20"/>
          <w:szCs w:val="20"/>
          <w:color w:val="auto"/>
        </w:rPr>
      </w:pPr>
    </w:p>
    <w:p>
      <w:pPr>
        <w:spacing w:after="0" w:line="20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PARTIAL UNWIND AGREEMENT</w:t>
      </w:r>
    </w:p>
    <w:p>
      <w:pPr>
        <w:spacing w:after="0" w:line="2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with respect to the Base Call Option Confirmation, dated May 30, 2019</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between Enphase Energy, Inc. and Credit Suisse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-20320</wp:posOffset>
            </wp:positionV>
            <wp:extent cx="294449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2944495"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right="160" w:firstLine="509"/>
        <w:spacing w:after="0" w:line="271" w:lineRule="auto"/>
        <w:rPr>
          <w:sz w:val="20"/>
          <w:szCs w:val="20"/>
          <w:color w:val="auto"/>
        </w:rPr>
      </w:pPr>
      <w:r>
        <w:rPr>
          <w:rFonts w:ascii="Times New Roman" w:cs="Times New Roman" w:eastAsia="Times New Roman" w:hAnsi="Times New Roman"/>
          <w:sz w:val="14"/>
          <w:szCs w:val="14"/>
          <w:color w:val="auto"/>
        </w:rPr>
        <w:t>THIS PARTIAL UNWIND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with respect to the Base Call Option Confirmation (as defined below) and the Additional Call Option Confirmation (as defined below) is made as of December 14, 2020 between Enphase Energy,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Credit Suisse Capital LLC (“</w:t>
      </w:r>
      <w:r>
        <w:rPr>
          <w:rFonts w:ascii="Times New Roman" w:cs="Times New Roman" w:eastAsia="Times New Roman" w:hAnsi="Times New Roman"/>
          <w:sz w:val="14"/>
          <w:szCs w:val="14"/>
          <w:b w:val="1"/>
          <w:bCs w:val="1"/>
          <w:color w:val="auto"/>
        </w:rPr>
        <w:t>Dealer</w:t>
      </w:r>
      <w:r>
        <w:rPr>
          <w:rFonts w:ascii="Times New Roman" w:cs="Times New Roman" w:eastAsia="Times New Roman" w:hAnsi="Times New Roman"/>
          <w:sz w:val="14"/>
          <w:szCs w:val="14"/>
          <w:color w:val="auto"/>
        </w:rPr>
        <w:t>”), acting through its agent Credit Suisse Securities (USA) LLC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right="200" w:firstLine="509"/>
        <w:spacing w:after="0" w:line="271" w:lineRule="auto"/>
        <w:rPr>
          <w:sz w:val="20"/>
          <w:szCs w:val="20"/>
          <w:color w:val="auto"/>
        </w:rPr>
      </w:pPr>
      <w:r>
        <w:rPr>
          <w:rFonts w:ascii="Times New Roman" w:cs="Times New Roman" w:eastAsia="Times New Roman" w:hAnsi="Times New Roman"/>
          <w:sz w:val="14"/>
          <w:szCs w:val="14"/>
          <w:color w:val="auto"/>
        </w:rPr>
        <w:t>WHEREAS, the Company and Dealer entered into (i) a Base Call Option confirmation, dated as of May 30, 2019 (the “</w:t>
      </w:r>
      <w:r>
        <w:rPr>
          <w:rFonts w:ascii="Times New Roman" w:cs="Times New Roman" w:eastAsia="Times New Roman" w:hAnsi="Times New Roman"/>
          <w:sz w:val="14"/>
          <w:szCs w:val="14"/>
          <w:b w:val="1"/>
          <w:bCs w:val="1"/>
          <w:color w:val="auto"/>
        </w:rPr>
        <w:t>Base Call Option Confirmation</w:t>
      </w:r>
      <w:r>
        <w:rPr>
          <w:rFonts w:ascii="Times New Roman" w:cs="Times New Roman" w:eastAsia="Times New Roman" w:hAnsi="Times New Roman"/>
          <w:sz w:val="14"/>
          <w:szCs w:val="14"/>
          <w:color w:val="auto"/>
        </w:rPr>
        <w:t>”) (ii) an Additional Call Option confirmation, dated as of June 4, 2019 (the “</w:t>
      </w:r>
      <w:r>
        <w:rPr>
          <w:rFonts w:ascii="Times New Roman" w:cs="Times New Roman" w:eastAsia="Times New Roman" w:hAnsi="Times New Roman"/>
          <w:sz w:val="14"/>
          <w:szCs w:val="14"/>
          <w:b w:val="1"/>
          <w:bCs w:val="1"/>
          <w:color w:val="auto"/>
        </w:rPr>
        <w:t>Additional Call Option Confirmation</w:t>
      </w:r>
      <w:r>
        <w:rPr>
          <w:rFonts w:ascii="Times New Roman" w:cs="Times New Roman" w:eastAsia="Times New Roman" w:hAnsi="Times New Roman"/>
          <w:sz w:val="14"/>
          <w:szCs w:val="14"/>
          <w:color w:val="auto"/>
        </w:rPr>
        <w:t>" and together with the Base Call Option Confirmation, the “</w:t>
      </w:r>
      <w:r>
        <w:rPr>
          <w:rFonts w:ascii="Times New Roman" w:cs="Times New Roman" w:eastAsia="Times New Roman" w:hAnsi="Times New Roman"/>
          <w:sz w:val="14"/>
          <w:szCs w:val="14"/>
          <w:b w:val="1"/>
          <w:bCs w:val="1"/>
          <w:color w:val="auto"/>
        </w:rPr>
        <w:t>Call Option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Confirmations</w:t>
      </w:r>
      <w:r>
        <w:rPr>
          <w:rFonts w:ascii="Times New Roman" w:cs="Times New Roman" w:eastAsia="Times New Roman" w:hAnsi="Times New Roman"/>
          <w:sz w:val="14"/>
          <w:szCs w:val="14"/>
          <w:color w:val="auto"/>
        </w:rPr>
        <w:t>”), pursuant to which the Dealer issued to the Company options to purchase shares of common stock of the Company (the “</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right="160" w:firstLine="509"/>
        <w:spacing w:after="0" w:line="290" w:lineRule="auto"/>
        <w:rPr>
          <w:sz w:val="20"/>
          <w:szCs w:val="20"/>
          <w:color w:val="auto"/>
        </w:rPr>
      </w:pPr>
      <w:r>
        <w:rPr>
          <w:rFonts w:ascii="Times New Roman" w:cs="Times New Roman" w:eastAsia="Times New Roman" w:hAnsi="Times New Roman"/>
          <w:sz w:val="14"/>
          <w:szCs w:val="14"/>
          <w:color w:val="auto"/>
        </w:rPr>
        <w:t>WHEREAS, the Company has requested, and Dealer has agreed, to unwind the Base Call Option Confirmation with respect to 38,500 Options (the “</w:t>
      </w:r>
      <w:r>
        <w:rPr>
          <w:rFonts w:ascii="Times New Roman" w:cs="Times New Roman" w:eastAsia="Times New Roman" w:hAnsi="Times New Roman"/>
          <w:sz w:val="14"/>
          <w:szCs w:val="14"/>
          <w:b w:val="1"/>
          <w:bCs w:val="1"/>
          <w:color w:val="auto"/>
        </w:rPr>
        <w:t>Unwind Options</w:t>
      </w:r>
      <w:r>
        <w:rPr>
          <w:rFonts w:ascii="Times New Roman" w:cs="Times New Roman" w:eastAsia="Times New Roman" w:hAnsi="Times New Roman"/>
          <w:sz w:val="14"/>
          <w:szCs w:val="14"/>
          <w:color w:val="auto"/>
        </w:rPr>
        <w:t>”) underlying the Base Call Option Confirmation;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in consideration of their mutual covenants herein contained, the parties hereto, intending to be legally bound, hereby mutually covenant and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185" w:lineRule="exact"/>
        <w:rPr>
          <w:sz w:val="20"/>
          <w:szCs w:val="20"/>
          <w:color w:val="auto"/>
        </w:rPr>
      </w:pPr>
    </w:p>
    <w:p>
      <w:pPr>
        <w:ind w:left="760" w:hanging="244"/>
        <w:spacing w:after="0"/>
        <w:tabs>
          <w:tab w:leader="none" w:pos="7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Any capitalized term not otherwise defined herein shall have the meaning set forth for such term in the Call Option Confirmations.</w:t>
      </w:r>
    </w:p>
    <w:p>
      <w:pPr>
        <w:spacing w:after="0" w:line="199" w:lineRule="exact"/>
        <w:rPr>
          <w:rFonts w:ascii="Times New Roman" w:cs="Times New Roman" w:eastAsia="Times New Roman" w:hAnsi="Times New Roman"/>
          <w:sz w:val="14"/>
          <w:szCs w:val="14"/>
          <w:color w:val="auto"/>
        </w:rPr>
      </w:pPr>
    </w:p>
    <w:p>
      <w:pPr>
        <w:ind w:right="180" w:firstLine="516"/>
        <w:spacing w:after="0" w:line="287" w:lineRule="auto"/>
        <w:tabs>
          <w:tab w:leader="none" w:pos="757"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Options Unwind</w:t>
      </w:r>
      <w:r>
        <w:rPr>
          <w:rFonts w:ascii="Times New Roman" w:cs="Times New Roman" w:eastAsia="Times New Roman" w:hAnsi="Times New Roman"/>
          <w:sz w:val="14"/>
          <w:szCs w:val="14"/>
          <w:color w:val="auto"/>
        </w:rPr>
        <w:t>. On the Delivery Date (as defined below), the Number of Options in the Base Call Option Confirmation shall be reduced by the number of Unwind Options, from 120,000 to 81,500.</w:t>
      </w:r>
    </w:p>
    <w:p>
      <w:pPr>
        <w:spacing w:after="0" w:line="145" w:lineRule="exact"/>
        <w:rPr>
          <w:rFonts w:ascii="Times New Roman" w:cs="Times New Roman" w:eastAsia="Times New Roman" w:hAnsi="Times New Roman"/>
          <w:sz w:val="14"/>
          <w:szCs w:val="14"/>
          <w:color w:val="auto"/>
        </w:rPr>
      </w:pPr>
    </w:p>
    <w:p>
      <w:pPr>
        <w:ind w:left="760" w:hanging="244"/>
        <w:spacing w:after="0"/>
        <w:tabs>
          <w:tab w:leader="none" w:pos="7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99" w:lineRule="exact"/>
        <w:rPr>
          <w:rFonts w:ascii="Times New Roman" w:cs="Times New Roman" w:eastAsia="Times New Roman" w:hAnsi="Times New Roman"/>
          <w:sz w:val="14"/>
          <w:szCs w:val="14"/>
          <w:color w:val="auto"/>
        </w:rPr>
      </w:pPr>
    </w:p>
    <w:p>
      <w:pPr>
        <w:ind w:right="180" w:firstLine="516"/>
        <w:spacing w:after="0" w:line="287" w:lineRule="auto"/>
        <w:tabs>
          <w:tab w:leader="none" w:pos="799"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Procedures for Partial Unwind</w:t>
      </w:r>
      <w:r>
        <w:rPr>
          <w:rFonts w:ascii="Times New Roman" w:cs="Times New Roman" w:eastAsia="Times New Roman" w:hAnsi="Times New Roman"/>
          <w:sz w:val="14"/>
          <w:szCs w:val="14"/>
          <w:color w:val="auto"/>
        </w:rPr>
        <w:t>. Pursuant to the terms of this Agreement, during the Hedge Unwind Period (as defined below) Dealer (or an affiliate of Dealer), for the account of Dealer, shall unwind a portion of its hedge of the Options underlying the Base Call Option Confirmation.</w:t>
      </w:r>
    </w:p>
    <w:p>
      <w:pPr>
        <w:spacing w:after="0" w:line="156" w:lineRule="exact"/>
        <w:rPr>
          <w:rFonts w:ascii="Times New Roman" w:cs="Times New Roman" w:eastAsia="Times New Roman" w:hAnsi="Times New Roman"/>
          <w:sz w:val="14"/>
          <w:szCs w:val="14"/>
          <w:color w:val="auto"/>
        </w:rPr>
      </w:pPr>
    </w:p>
    <w:p>
      <w:pPr>
        <w:jc w:val="both"/>
        <w:ind w:right="160" w:firstLine="516"/>
        <w:spacing w:after="0" w:line="261" w:lineRule="auto"/>
        <w:tabs>
          <w:tab w:leader="none" w:pos="767"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w:t>
      </w:r>
      <w:r>
        <w:rPr>
          <w:rFonts w:ascii="Times New Roman" w:cs="Times New Roman" w:eastAsia="Times New Roman" w:hAnsi="Times New Roman"/>
          <w:sz w:val="14"/>
          <w:szCs w:val="14"/>
          <w:color w:val="auto"/>
        </w:rPr>
        <w:t>. On the first Scheduled Trading Day following the conclusion of the Hedge Unwind Period, or if such day is not a Currency Business Day, on the next Currency Business Day immediately following such day (the “</w:t>
      </w:r>
      <w:r>
        <w:rPr>
          <w:rFonts w:ascii="Times New Roman" w:cs="Times New Roman" w:eastAsia="Times New Roman" w:hAnsi="Times New Roman"/>
          <w:sz w:val="14"/>
          <w:szCs w:val="14"/>
          <w:b w:val="1"/>
          <w:bCs w:val="1"/>
          <w:color w:val="auto"/>
        </w:rPr>
        <w:t>Delivery Date</w:t>
      </w:r>
      <w:r>
        <w:rPr>
          <w:rFonts w:ascii="Times New Roman" w:cs="Times New Roman" w:eastAsia="Times New Roman" w:hAnsi="Times New Roman"/>
          <w:sz w:val="14"/>
          <w:szCs w:val="14"/>
          <w:color w:val="auto"/>
        </w:rPr>
        <w:t xml:space="preserve">”), the Dealer shall deliver to the Company a number of Shares equal to an amount equal to the </w:t>
      </w: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xml:space="preserve"> of (i) the number of Unwind Options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Cash Settlement Amount per Option in respect of such Hedge Unwind Period (as determined based on the grid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(iii) the VWAP Price (as defined on the attached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b w:val="1"/>
          <w:bCs w:val="1"/>
          <w:color w:val="auto"/>
        </w:rPr>
        <w:t>Hedge Unwind Period</w:t>
      </w:r>
      <w:r>
        <w:rPr>
          <w:rFonts w:ascii="Times New Roman" w:cs="Times New Roman" w:eastAsia="Times New Roman" w:hAnsi="Times New Roman"/>
          <w:sz w:val="14"/>
          <w:szCs w:val="14"/>
          <w:color w:val="auto"/>
        </w:rPr>
        <w:t>” means December 15, 2020, subject to the immediately succeeding paragraph.</w:t>
      </w:r>
    </w:p>
    <w:p>
      <w:pPr>
        <w:sectPr>
          <w:pgSz w:w="11900" w:h="16838" w:orient="portrait"/>
          <w:cols w:equalWidth="0" w:num="1">
            <w:col w:w="10660"/>
          </w:cols>
          <w:pgMar w:left="920" w:top="1385" w:right="319" w:bottom="1440" w:gutter="0" w:footer="0" w:header="0"/>
        </w:sectPr>
      </w:pPr>
    </w:p>
    <w:bookmarkStart w:id="231" w:name="page232"/>
    <w:bookmarkEnd w:id="231"/>
    <w:p>
      <w:pPr>
        <w:jc w:val="both"/>
        <w:ind w:right="100" w:firstLine="10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t>Notwithstanding anything to the contrary in this Agreement, if (i) the Scheduled Trading Day during any Hedge Unwind Period is a Disrupted Day (as defined in the Call Option Confirmations) or (ii) Dealer determines, based on the advice of counsel, that on any Scheduled Trading Day during the Hedge Unwind Period an extension of such Hedge Unwind Period is reasonably necessary or advisable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related policies and procedures applicable to Dealer, then the Daily Price for such Scheduled Trading Day(s) shall be the volume-weighted average price per Share on such Scheduled Trading Day on the Exchange, as determined by the Calculation Agent based on transactions in the Shares on such Scheduled Trading Day taking into account, if applicable, the nature and duration of such Market Disruption Event, and the number of Scheduled Trading Days and the Cash Settlement Amount per Option related to the Hedge Unwind Period shall be adjusted by the Calculation Agent to account for such disruption and/or extension.</w:t>
      </w:r>
    </w:p>
    <w:p>
      <w:pPr>
        <w:spacing w:after="0" w:line="170" w:lineRule="exact"/>
        <w:rPr>
          <w:sz w:val="20"/>
          <w:szCs w:val="20"/>
          <w:color w:val="auto"/>
        </w:rPr>
      </w:pPr>
    </w:p>
    <w:p>
      <w:pPr>
        <w:ind w:left="760" w:hanging="244"/>
        <w:spacing w:after="0"/>
        <w:tabs>
          <w:tab w:leader="none" w:pos="7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Dealer on the date hereof that:</w:t>
      </w:r>
    </w:p>
    <w:p>
      <w:pPr>
        <w:spacing w:after="0" w:line="199" w:lineRule="exact"/>
        <w:rPr>
          <w:rFonts w:ascii="Times New Roman" w:cs="Times New Roman" w:eastAsia="Times New Roman" w:hAnsi="Times New Roman"/>
          <w:sz w:val="14"/>
          <w:szCs w:val="14"/>
          <w:color w:val="auto"/>
        </w:rPr>
      </w:pPr>
    </w:p>
    <w:p>
      <w:pPr>
        <w:ind w:firstLine="1026"/>
        <w:spacing w:after="0" w:line="287" w:lineRule="auto"/>
        <w:tabs>
          <w:tab w:leader="none" w:pos="132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45" w:lineRule="exact"/>
        <w:rPr>
          <w:rFonts w:ascii="Times New Roman" w:cs="Times New Roman" w:eastAsia="Times New Roman" w:hAnsi="Times New Roman"/>
          <w:sz w:val="14"/>
          <w:szCs w:val="14"/>
          <w:color w:val="auto"/>
        </w:rPr>
      </w:pPr>
    </w:p>
    <w:p>
      <w:pPr>
        <w:ind w:firstLine="1026"/>
        <w:spacing w:after="0" w:line="287" w:lineRule="auto"/>
        <w:tabs>
          <w:tab w:leader="none" w:pos="1359"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the Company, any provision of its constitutional documents, any order or judgment of any court or other agency of government applicable to it or any of its assets or any contractual restriction binding on or affecting it or any of its assets;</w:t>
      </w:r>
    </w:p>
    <w:p>
      <w:pPr>
        <w:spacing w:after="0" w:line="156" w:lineRule="exact"/>
        <w:rPr>
          <w:rFonts w:ascii="Times New Roman" w:cs="Times New Roman" w:eastAsia="Times New Roman" w:hAnsi="Times New Roman"/>
          <w:sz w:val="14"/>
          <w:szCs w:val="14"/>
          <w:color w:val="auto"/>
        </w:rPr>
      </w:pPr>
    </w:p>
    <w:p>
      <w:pPr>
        <w:ind w:firstLine="1026"/>
        <w:spacing w:after="0" w:line="287" w:lineRule="auto"/>
        <w:tabs>
          <w:tab w:leader="none" w:pos="1355"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the Company with respect to this Agreement have been obtained and are in full force and effect and all conditions of any such consents have been complied with;</w:t>
      </w:r>
    </w:p>
    <w:p>
      <w:pPr>
        <w:spacing w:after="0" w:line="145" w:lineRule="exact"/>
        <w:rPr>
          <w:rFonts w:ascii="Times New Roman" w:cs="Times New Roman" w:eastAsia="Times New Roman" w:hAnsi="Times New Roman"/>
          <w:sz w:val="14"/>
          <w:szCs w:val="14"/>
          <w:color w:val="auto"/>
        </w:rPr>
      </w:pPr>
    </w:p>
    <w:p>
      <w:pPr>
        <w:jc w:val="both"/>
        <w:ind w:firstLine="1026"/>
        <w:spacing w:after="0" w:line="270" w:lineRule="auto"/>
        <w:tabs>
          <w:tab w:leader="none" w:pos="1337"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56" w:lineRule="exact"/>
        <w:rPr>
          <w:rFonts w:ascii="Times New Roman" w:cs="Times New Roman" w:eastAsia="Times New Roman" w:hAnsi="Times New Roman"/>
          <w:sz w:val="14"/>
          <w:szCs w:val="14"/>
          <w:color w:val="auto"/>
        </w:rPr>
      </w:pPr>
    </w:p>
    <w:p>
      <w:pPr>
        <w:ind w:left="1320" w:hanging="294"/>
        <w:spacing w:after="0"/>
        <w:tabs>
          <w:tab w:leader="none" w:pos="132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affiliates is not in possession of any material nonpublic information regarding the Company or its common stock;</w:t>
      </w:r>
    </w:p>
    <w:p>
      <w:pPr>
        <w:spacing w:after="0" w:line="210" w:lineRule="exact"/>
        <w:rPr>
          <w:rFonts w:ascii="Times New Roman" w:cs="Times New Roman" w:eastAsia="Times New Roman" w:hAnsi="Times New Roman"/>
          <w:sz w:val="14"/>
          <w:szCs w:val="14"/>
          <w:color w:val="auto"/>
        </w:rPr>
      </w:pPr>
    </w:p>
    <w:p>
      <w:pPr>
        <w:jc w:val="both"/>
        <w:ind w:firstLine="1026"/>
        <w:spacing w:after="0" w:line="270" w:lineRule="auto"/>
        <w:tabs>
          <w:tab w:leader="none" w:pos="1317"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 dealer in writing; and (C) has total assets of at least $50 million;</w:t>
      </w:r>
    </w:p>
    <w:p>
      <w:pPr>
        <w:spacing w:after="0" w:line="156" w:lineRule="exact"/>
        <w:rPr>
          <w:rFonts w:ascii="Times New Roman" w:cs="Times New Roman" w:eastAsia="Times New Roman" w:hAnsi="Times New Roman"/>
          <w:sz w:val="14"/>
          <w:szCs w:val="14"/>
          <w:color w:val="auto"/>
        </w:rPr>
      </w:pPr>
    </w:p>
    <w:p>
      <w:pPr>
        <w:jc w:val="both"/>
        <w:ind w:firstLine="1026"/>
        <w:spacing w:after="0" w:line="270" w:lineRule="auto"/>
        <w:tabs>
          <w:tab w:leader="none" w:pos="1331"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entering into this Agreement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w:t>
      </w:r>
    </w:p>
    <w:p>
      <w:pPr>
        <w:sectPr>
          <w:pgSz w:w="11900" w:h="16838" w:orient="portrait"/>
          <w:cols w:equalWidth="0" w:num="1">
            <w:col w:w="10580"/>
          </w:cols>
          <w:pgMar w:left="920" w:top="1143" w:right="399" w:bottom="1440" w:gutter="0" w:footer="0" w:header="0"/>
        </w:sectPr>
      </w:pPr>
    </w:p>
    <w:bookmarkStart w:id="232" w:name="page233"/>
    <w:bookmarkEnd w:id="232"/>
    <w:p>
      <w:pPr>
        <w:ind w:left="-516" w:firstLine="1026"/>
        <w:spacing w:after="0" w:line="287" w:lineRule="auto"/>
        <w:tabs>
          <w:tab w:leader="none" w:pos="814"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t>the Company is an “eligible contract participant” (as such term is defined in Section 1a(18) of the Commodity Exchange Act, as amended, other than a person that is an eligible contract participant under Section 1a(18)(C) of the Commodity Exchange Act);</w:t>
      </w:r>
    </w:p>
    <w:p>
      <w:pPr>
        <w:spacing w:after="0" w:line="145" w:lineRule="exact"/>
        <w:rPr>
          <w:rFonts w:ascii="Times New Roman" w:cs="Times New Roman" w:eastAsia="Times New Roman" w:hAnsi="Times New Roman"/>
          <w:sz w:val="14"/>
          <w:szCs w:val="14"/>
          <w:color w:val="auto"/>
        </w:rPr>
      </w:pPr>
    </w:p>
    <w:p>
      <w:pPr>
        <w:ind w:left="-516" w:firstLine="1026"/>
        <w:spacing w:after="0" w:line="287" w:lineRule="auto"/>
        <w:tabs>
          <w:tab w:leader="none" w:pos="796"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after consummation of the transactions contemplated hereby, will not be required to register as an “investment company” as such term is defined in the Investment Company Act of 1940, as amended;</w:t>
      </w:r>
    </w:p>
    <w:p>
      <w:pPr>
        <w:spacing w:after="0" w:line="156" w:lineRule="exact"/>
        <w:rPr>
          <w:rFonts w:ascii="Times New Roman" w:cs="Times New Roman" w:eastAsia="Times New Roman" w:hAnsi="Times New Roman"/>
          <w:sz w:val="14"/>
          <w:szCs w:val="14"/>
          <w:color w:val="auto"/>
        </w:rPr>
      </w:pPr>
    </w:p>
    <w:p>
      <w:pPr>
        <w:jc w:val="both"/>
        <w:ind w:left="-516" w:firstLine="1026"/>
        <w:spacing w:after="0" w:line="264" w:lineRule="auto"/>
        <w:tabs>
          <w:tab w:leader="none" w:pos="859"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day during the Hedge Unwind Period, the Shares shall not be subject to a “restricted period,” as such term is defined in Regulation M under the Exchange Act and that the Company shall not engage in any “distribution,” as such term is defined in Regulation M under the Exchange Act, other than a distribution meeting the requirements of the exceptions set forth in sections 101(b)(10) and 102(b)(7) of Regulation M under the Exchange Act, until the second Exchange Business Day immediately following the last day of the Hedge Unwind Period;</w:t>
      </w:r>
    </w:p>
    <w:p>
      <w:pPr>
        <w:spacing w:after="0" w:line="161" w:lineRule="exact"/>
        <w:rPr>
          <w:rFonts w:ascii="Times New Roman" w:cs="Times New Roman" w:eastAsia="Times New Roman" w:hAnsi="Times New Roman"/>
          <w:sz w:val="14"/>
          <w:szCs w:val="14"/>
          <w:color w:val="auto"/>
        </w:rPr>
      </w:pPr>
    </w:p>
    <w:p>
      <w:pPr>
        <w:jc w:val="both"/>
        <w:ind w:left="-516" w:firstLine="1026"/>
        <w:spacing w:after="0" w:line="264" w:lineRule="auto"/>
        <w:tabs>
          <w:tab w:leader="none" w:pos="808"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Scheduled Trading Day during the Hedge Unwind Period, neither the Company nor any “affiliated purchaser” (as defined in Rule 10b-18 of the Exchange Act)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and</w:t>
      </w:r>
    </w:p>
    <w:p>
      <w:pPr>
        <w:spacing w:after="0" w:line="161" w:lineRule="exact"/>
        <w:rPr>
          <w:rFonts w:ascii="Times New Roman" w:cs="Times New Roman" w:eastAsia="Times New Roman" w:hAnsi="Times New Roman"/>
          <w:sz w:val="14"/>
          <w:szCs w:val="14"/>
          <w:color w:val="auto"/>
        </w:rPr>
      </w:pPr>
    </w:p>
    <w:p>
      <w:pPr>
        <w:jc w:val="both"/>
        <w:ind w:left="-516" w:firstLine="1026"/>
        <w:spacing w:after="0" w:line="270" w:lineRule="auto"/>
        <w:tabs>
          <w:tab w:leader="none" w:pos="779"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prior to the date hereof it has notified Dealer of the total number of Shares, if any, purchased by or for the Company or any of its affiliated purchasers in Rule 10b-18 purchases of blocks (all as defined in Rule 10b-18 under the Exchange Act) pursuant to the once-a-week block exception set forth in Rule 10b-18(b)(4) during the four full calendar weeks immediately preceding the date hereof.</w:t>
      </w:r>
    </w:p>
    <w:p>
      <w:pPr>
        <w:spacing w:after="0" w:line="167"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Dealer</w:t>
      </w:r>
      <w:r>
        <w:rPr>
          <w:rFonts w:ascii="Times New Roman" w:cs="Times New Roman" w:eastAsia="Times New Roman" w:hAnsi="Times New Roman"/>
          <w:sz w:val="14"/>
          <w:szCs w:val="14"/>
          <w:color w:val="auto"/>
        </w:rPr>
        <w:t>. Dealer represents and warrants to the Company on the date hereof that:</w:t>
      </w:r>
    </w:p>
    <w:p>
      <w:pPr>
        <w:spacing w:after="0" w:line="23" w:lineRule="exact"/>
        <w:rPr>
          <w:rFonts w:ascii="Times New Roman" w:cs="Times New Roman" w:eastAsia="Times New Roman" w:hAnsi="Times New Roman"/>
          <w:sz w:val="14"/>
          <w:szCs w:val="14"/>
          <w:color w:val="auto"/>
        </w:rPr>
      </w:pPr>
    </w:p>
    <w:p>
      <w:pPr>
        <w:ind w:left="-516" w:right="20" w:firstLine="1026"/>
        <w:spacing w:after="0" w:line="266" w:lineRule="auto"/>
        <w:tabs>
          <w:tab w:leader="none" w:pos="829"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59" w:lineRule="exact"/>
        <w:rPr>
          <w:rFonts w:ascii="Times New Roman" w:cs="Times New Roman" w:eastAsia="Times New Roman" w:hAnsi="Times New Roman"/>
          <w:sz w:val="14"/>
          <w:szCs w:val="14"/>
          <w:color w:val="auto"/>
        </w:rPr>
      </w:pPr>
    </w:p>
    <w:p>
      <w:pPr>
        <w:ind w:left="-516" w:firstLine="1026"/>
        <w:spacing w:after="0" w:line="287" w:lineRule="auto"/>
        <w:tabs>
          <w:tab w:leader="none" w:pos="827"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Dealer, any provision of its constitutional documents, any order or judgment of any court or other agency of government applicable to it or any of its assets or any contractual restriction binding on or affecting it or any of its assets;</w:t>
      </w:r>
    </w:p>
    <w:p>
      <w:pPr>
        <w:spacing w:after="0" w:line="145" w:lineRule="exact"/>
        <w:rPr>
          <w:rFonts w:ascii="Times New Roman" w:cs="Times New Roman" w:eastAsia="Times New Roman" w:hAnsi="Times New Roman"/>
          <w:sz w:val="14"/>
          <w:szCs w:val="14"/>
          <w:color w:val="auto"/>
        </w:rPr>
      </w:pPr>
    </w:p>
    <w:p>
      <w:pPr>
        <w:ind w:left="-516" w:firstLine="1026"/>
        <w:spacing w:after="0" w:line="287" w:lineRule="auto"/>
        <w:tabs>
          <w:tab w:leader="none" w:pos="813"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Dealer with respect to this Agreement have been obtained and are in full force and effect and all conditions of any such consents have been complied with; and</w:t>
      </w:r>
    </w:p>
    <w:p>
      <w:pPr>
        <w:spacing w:after="0" w:line="145" w:lineRule="exact"/>
        <w:rPr>
          <w:rFonts w:ascii="Times New Roman" w:cs="Times New Roman" w:eastAsia="Times New Roman" w:hAnsi="Times New Roman"/>
          <w:sz w:val="14"/>
          <w:szCs w:val="14"/>
          <w:color w:val="auto"/>
        </w:rPr>
      </w:pPr>
    </w:p>
    <w:p>
      <w:pPr>
        <w:jc w:val="both"/>
        <w:ind w:left="-516" w:firstLine="1026"/>
        <w:spacing w:after="0" w:line="270" w:lineRule="auto"/>
        <w:tabs>
          <w:tab w:leader="none" w:pos="884"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56" w:lineRule="exact"/>
        <w:rPr>
          <w:rFonts w:ascii="Times New Roman" w:cs="Times New Roman" w:eastAsia="Times New Roman" w:hAnsi="Times New Roman"/>
          <w:sz w:val="14"/>
          <w:szCs w:val="14"/>
          <w:color w:val="auto"/>
        </w:rPr>
      </w:pPr>
    </w:p>
    <w:p>
      <w:pPr>
        <w:ind w:left="244" w:hanging="244"/>
        <w:spacing w:after="0"/>
        <w:tabs>
          <w:tab w:leader="none" w:pos="244"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 for Payment to the Company</w:t>
      </w:r>
      <w:r>
        <w:rPr>
          <w:rFonts w:ascii="Times New Roman" w:cs="Times New Roman" w:eastAsia="Times New Roman" w:hAnsi="Times New Roman"/>
          <w:sz w:val="14"/>
          <w:szCs w:val="14"/>
          <w:color w:val="auto"/>
        </w:rPr>
        <w:t>:</w:t>
      </w:r>
    </w:p>
    <w:p>
      <w:pPr>
        <w:spacing w:after="0" w:line="263"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4"/>
          <w:szCs w:val="14"/>
          <w:color w:val="auto"/>
        </w:rPr>
        <w:t>To be advised.</w:t>
      </w:r>
    </w:p>
    <w:p>
      <w:pPr>
        <w:sectPr>
          <w:pgSz w:w="11900" w:h="16838" w:orient="portrait"/>
          <w:cols w:equalWidth="0" w:num="1">
            <w:col w:w="10064"/>
          </w:cols>
          <w:pgMar w:left="1436" w:top="1143" w:right="399" w:bottom="1440" w:gutter="0" w:footer="0" w:header="0"/>
        </w:sectPr>
      </w:pPr>
    </w:p>
    <w:bookmarkStart w:id="233" w:name="page234"/>
    <w:bookmarkEnd w:id="233"/>
    <w:p>
      <w:pPr>
        <w:ind w:left="760" w:hanging="244"/>
        <w:spacing w:after="0"/>
        <w:tabs>
          <w:tab w:leader="none" w:pos="76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t>Governing Law</w:t>
      </w:r>
      <w:r>
        <w:rPr>
          <w:rFonts w:ascii="Times New Roman" w:cs="Times New Roman" w:eastAsia="Times New Roman" w:hAnsi="Times New Roman"/>
          <w:sz w:val="14"/>
          <w:szCs w:val="14"/>
          <w:color w:val="auto"/>
        </w:rPr>
        <w:t>. This Agreement shall be governed by and construed in accordance with the laws of the State of New York (without reference to choice of law doctrine).</w:t>
      </w:r>
    </w:p>
    <w:p>
      <w:pPr>
        <w:spacing w:after="0" w:line="199" w:lineRule="exact"/>
        <w:rPr>
          <w:rFonts w:ascii="Times New Roman" w:cs="Times New Roman" w:eastAsia="Times New Roman" w:hAnsi="Times New Roman"/>
          <w:sz w:val="14"/>
          <w:szCs w:val="14"/>
          <w:color w:val="auto"/>
        </w:rPr>
      </w:pPr>
    </w:p>
    <w:p>
      <w:pPr>
        <w:ind w:right="20" w:firstLine="516"/>
        <w:spacing w:after="0" w:line="287" w:lineRule="auto"/>
        <w:tabs>
          <w:tab w:leader="none" w:pos="827"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Changes</w:t>
      </w:r>
      <w:r>
        <w:rPr>
          <w:rFonts w:ascii="Times New Roman" w:cs="Times New Roman" w:eastAsia="Times New Roman" w:hAnsi="Times New Roman"/>
          <w:sz w:val="14"/>
          <w:szCs w:val="14"/>
          <w:color w:val="auto"/>
        </w:rPr>
        <w:t>. Except as expressly set forth herein, all of the terms and conditions of the Call Option Confirmations shall remain in full force and effect and are hereby confirmed in all respects.</w:t>
      </w:r>
    </w:p>
    <w:p>
      <w:pPr>
        <w:spacing w:after="0" w:line="145" w:lineRule="exact"/>
        <w:rPr>
          <w:rFonts w:ascii="Times New Roman" w:cs="Times New Roman" w:eastAsia="Times New Roman" w:hAnsi="Times New Roman"/>
          <w:sz w:val="14"/>
          <w:szCs w:val="14"/>
          <w:color w:val="auto"/>
        </w:rPr>
      </w:pPr>
    </w:p>
    <w:p>
      <w:pPr>
        <w:ind w:right="20" w:firstLine="516"/>
        <w:spacing w:after="0" w:line="287" w:lineRule="auto"/>
        <w:tabs>
          <w:tab w:leader="none" w:pos="833"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signed in any number of counterparts, each of which shall be an original, with the same effect as if all of the signatures thereto and hereto were upon the same instrument.</w:t>
      </w:r>
    </w:p>
    <w:p>
      <w:pPr>
        <w:spacing w:after="0" w:line="145" w:lineRule="exact"/>
        <w:rPr>
          <w:rFonts w:ascii="Times New Roman" w:cs="Times New Roman" w:eastAsia="Times New Roman" w:hAnsi="Times New Roman"/>
          <w:sz w:val="14"/>
          <w:szCs w:val="14"/>
          <w:color w:val="auto"/>
        </w:rPr>
      </w:pPr>
    </w:p>
    <w:p>
      <w:pPr>
        <w:jc w:val="both"/>
        <w:ind w:firstLine="516"/>
        <w:spacing w:after="0" w:line="270" w:lineRule="auto"/>
        <w:tabs>
          <w:tab w:leader="none" w:pos="849"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Reliance, etc</w:t>
      </w:r>
      <w:r>
        <w:rPr>
          <w:rFonts w:ascii="Times New Roman" w:cs="Times New Roman" w:eastAsia="Times New Roman" w:hAnsi="Times New Roman"/>
          <w:sz w:val="14"/>
          <w:szCs w:val="14"/>
          <w:color w:val="auto"/>
        </w:rPr>
        <w:t>. The Company hereby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56" w:lineRule="exact"/>
        <w:rPr>
          <w:rFonts w:ascii="Times New Roman" w:cs="Times New Roman" w:eastAsia="Times New Roman" w:hAnsi="Times New Roman"/>
          <w:sz w:val="14"/>
          <w:szCs w:val="14"/>
          <w:color w:val="auto"/>
        </w:rPr>
      </w:pPr>
    </w:p>
    <w:p>
      <w:pPr>
        <w:jc w:val="both"/>
        <w:ind w:firstLine="516"/>
        <w:spacing w:after="0" w:line="261" w:lineRule="auto"/>
        <w:tabs>
          <w:tab w:leader="none" w:pos="827"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Acknowledgments and Agreements</w:t>
      </w:r>
      <w:r>
        <w:rPr>
          <w:rFonts w:ascii="Times New Roman" w:cs="Times New Roman" w:eastAsia="Times New Roman" w:hAnsi="Times New Roman"/>
          <w:sz w:val="14"/>
          <w:szCs w:val="14"/>
          <w:color w:val="auto"/>
        </w:rPr>
        <w:t>. The Company acknowledges and agrees that (i) the Company does not have, and shall not attempt to exercise, any influence over how, when or whether to effect sales of the Shares by Dealer (or its agent or affiliate) in connection with this Agreement and (ii) the Company is entering into this Agreement in good faith and not as part of a plan or scheme to evade compliance with federal securities laws including, without limitation, Rule 10b-5 promulgated under the Securities Exchange Act of 1934, as amended. For the avoidance of doubt, the Company agrees that Section 13.2 of the Equity Definitions remains applicable with respect to any Hedge Positions and Hedging Activities of Dealer in respect of the Transactions subject to the Call Option Confirmations and the transactions contemplated by this Agreement.</w:t>
      </w:r>
    </w:p>
    <w:p>
      <w:pPr>
        <w:spacing w:after="0" w:line="164" w:lineRule="exact"/>
        <w:rPr>
          <w:rFonts w:ascii="Times New Roman" w:cs="Times New Roman" w:eastAsia="Times New Roman" w:hAnsi="Times New Roman"/>
          <w:sz w:val="14"/>
          <w:szCs w:val="14"/>
          <w:color w:val="auto"/>
        </w:rPr>
      </w:pPr>
    </w:p>
    <w:p>
      <w:pPr>
        <w:jc w:val="both"/>
        <w:ind w:firstLine="516"/>
        <w:spacing w:after="0" w:line="270" w:lineRule="auto"/>
        <w:tabs>
          <w:tab w:leader="none" w:pos="849"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Unwind Options</w:t>
      </w:r>
      <w:r>
        <w:rPr>
          <w:rFonts w:ascii="Times New Roman" w:cs="Times New Roman" w:eastAsia="Times New Roman" w:hAnsi="Times New Roman"/>
          <w:sz w:val="14"/>
          <w:szCs w:val="14"/>
          <w:color w:val="auto"/>
        </w:rPr>
        <w:t xml:space="preserve">. Except for the delivery pursuant to this Agreement, the parties agree that no payments or deliveries shall become due or payable and no exercises shall occur, with respect to the Unwind Options;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until the last day of the Hedge Unwind Period, the “Cash Settlement Amount per Option” shall remain subject to adjustment by the Calculation Agent in a manner consistent with, and for the same events that would result in an adjustment to the terms of, the Call Option Confirmations.</w:t>
      </w:r>
    </w:p>
    <w:p>
      <w:pPr>
        <w:spacing w:after="0" w:line="156" w:lineRule="exact"/>
        <w:rPr>
          <w:rFonts w:ascii="Times New Roman" w:cs="Times New Roman" w:eastAsia="Times New Roman" w:hAnsi="Times New Roman"/>
          <w:sz w:val="14"/>
          <w:szCs w:val="14"/>
          <w:color w:val="auto"/>
        </w:rPr>
      </w:pPr>
    </w:p>
    <w:p>
      <w:pPr>
        <w:ind w:left="840" w:hanging="324"/>
        <w:spacing w:after="0"/>
        <w:tabs>
          <w:tab w:leader="none" w:pos="8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 Stay Regulations</w:t>
      </w:r>
      <w:r>
        <w:rPr>
          <w:rFonts w:ascii="Times New Roman" w:cs="Times New Roman" w:eastAsia="Times New Roman" w:hAnsi="Times New Roman"/>
          <w:sz w:val="14"/>
          <w:szCs w:val="14"/>
          <w:color w:val="auto"/>
        </w:rPr>
        <w:t>. The parties agree that (i) to the extent that prior to the date hereof both parties have adhered to the 2018 ISDA U.S. Resolution Stay Protocol (the</w:t>
      </w:r>
    </w:p>
    <w:p>
      <w:pPr>
        <w:spacing w:after="0" w:line="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Protocol</w:t>
      </w:r>
      <w:r>
        <w:rPr>
          <w:rFonts w:ascii="Times New Roman" w:cs="Times New Roman" w:eastAsia="Times New Roman" w:hAnsi="Times New Roman"/>
          <w:sz w:val="14"/>
          <w:szCs w:val="14"/>
          <w:color w:val="auto"/>
        </w:rPr>
        <w:t>”), the terms of the Protocol are incorporated into and form a part of this Agreement, and for such purposes this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4"/>
          <w:szCs w:val="14"/>
          <w:b w:val="1"/>
          <w:bCs w:val="1"/>
          <w:color w:val="auto"/>
        </w:rPr>
        <w:t>Bilateral Terms</w:t>
      </w:r>
      <w:r>
        <w:rPr>
          <w:rFonts w:ascii="Times New Roman" w:cs="Times New Roman" w:eastAsia="Times New Roman" w:hAnsi="Times New Roman"/>
          <w:sz w:val="14"/>
          <w:szCs w:val="14"/>
          <w:color w:val="auto"/>
        </w:rPr>
        <w:t>”) of the form of bilateral template entitled “Full- 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Dealer shall be deemed a “Covered Entity” and the Company shall be deemed a “Counterparty Entity.” In the event that, after the date of</w:t>
      </w:r>
    </w:p>
    <w:p>
      <w:pPr>
        <w:sectPr>
          <w:pgSz w:w="11900" w:h="16838" w:orient="portrait"/>
          <w:cols w:equalWidth="0" w:num="1">
            <w:col w:w="10580"/>
          </w:cols>
          <w:pgMar w:left="920" w:top="1345" w:right="399" w:bottom="1440" w:gutter="0" w:footer="0" w:header="0"/>
        </w:sectPr>
      </w:pPr>
    </w:p>
    <w:bookmarkStart w:id="234" w:name="page235"/>
    <w:bookmarkEnd w:id="234"/>
    <w:p>
      <w:pPr>
        <w:ind w:right="40"/>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t>this Agreement, both parties hereto become adhering parties to the Protocol, the terms of the Protocol will replace the terms of this paragraph. In the event of any inconsistencies between this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QFC Stay Rules</w:t>
      </w:r>
      <w:r>
        <w:rPr>
          <w:rFonts w:ascii="Times New Roman" w:cs="Times New Roman" w:eastAsia="Times New Roman" w:hAnsi="Times New Roman"/>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61" w:lineRule="exact"/>
        <w:rPr>
          <w:sz w:val="20"/>
          <w:szCs w:val="20"/>
          <w:color w:val="auto"/>
        </w:rPr>
      </w:pPr>
    </w:p>
    <w:p>
      <w:pPr>
        <w:ind w:left="840" w:hanging="324"/>
        <w:spacing w:after="0"/>
        <w:tabs>
          <w:tab w:leader="none" w:pos="8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Role of Agent</w:t>
      </w:r>
      <w:r>
        <w:rPr>
          <w:rFonts w:ascii="Times New Roman" w:cs="Times New Roman" w:eastAsia="Times New Roman" w:hAnsi="Times New Roman"/>
          <w:sz w:val="14"/>
          <w:szCs w:val="14"/>
          <w:color w:val="auto"/>
        </w:rPr>
        <w:t>. Agent has no obligation hereunder, by guaranty, endorsement or otherwise, with respect to performance of Dealer’s obligations hereunder or under the</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w:t>
      </w:r>
    </w:p>
    <w:p>
      <w:pPr>
        <w:spacing w:after="0" w:line="185" w:lineRule="exact"/>
        <w:rPr>
          <w:rFonts w:ascii="Times New Roman" w:cs="Times New Roman" w:eastAsia="Times New Roman" w:hAnsi="Times New Roman"/>
          <w:sz w:val="14"/>
          <w:szCs w:val="14"/>
          <w:color w:val="auto"/>
        </w:rPr>
      </w:pPr>
    </w:p>
    <w:p>
      <w:pPr>
        <w:ind w:left="840" w:hanging="324"/>
        <w:spacing w:after="0"/>
        <w:tabs>
          <w:tab w:leader="none" w:pos="8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Side Letters</w:t>
      </w:r>
      <w:r>
        <w:rPr>
          <w:rFonts w:ascii="Times New Roman" w:cs="Times New Roman" w:eastAsia="Times New Roman" w:hAnsi="Times New Roman"/>
          <w:sz w:val="14"/>
          <w:szCs w:val="14"/>
          <w:color w:val="auto"/>
        </w:rPr>
        <w:t>. The parties further agree that each of the following side letters to the Transactions shall continue in full force and effect:</w:t>
      </w:r>
    </w:p>
    <w:p>
      <w:pPr>
        <w:spacing w:after="0" w:line="295" w:lineRule="exact"/>
        <w:rPr>
          <w:sz w:val="20"/>
          <w:szCs w:val="20"/>
          <w:color w:val="auto"/>
        </w:rPr>
      </w:pPr>
    </w:p>
    <w:p>
      <w:pPr>
        <w:ind w:right="500" w:firstLine="516"/>
        <w:spacing w:after="0" w:line="287" w:lineRule="auto"/>
        <w:tabs>
          <w:tab w:leader="none" w:pos="805"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agreement by and between Dealer and the Company dated as of May 30, 2019, specifying certain additional terms and conditions of the Base Call Option Confirmation issued by Dealer to the Company; and</w:t>
      </w:r>
    </w:p>
    <w:p>
      <w:pPr>
        <w:spacing w:after="0" w:line="240" w:lineRule="exact"/>
        <w:rPr>
          <w:rFonts w:ascii="Times New Roman" w:cs="Times New Roman" w:eastAsia="Times New Roman" w:hAnsi="Times New Roman"/>
          <w:sz w:val="14"/>
          <w:szCs w:val="14"/>
          <w:color w:val="auto"/>
        </w:rPr>
      </w:pPr>
    </w:p>
    <w:p>
      <w:pPr>
        <w:ind w:right="660" w:firstLine="516"/>
        <w:spacing w:after="0" w:line="287" w:lineRule="auto"/>
        <w:tabs>
          <w:tab w:leader="none" w:pos="813"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agreement by and between Dealer and the Company dated as of June 4, 2019, specifying certain additional terms and conditions of the Additional Call Option Confirmation issued by Dealer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the day and the year first above written.</w:t>
      </w:r>
    </w:p>
    <w:p>
      <w:pPr>
        <w:sectPr>
          <w:pgSz w:w="11900" w:h="16838" w:orient="portrait"/>
          <w:cols w:equalWidth="0" w:num="1">
            <w:col w:w="10580"/>
          </w:cols>
          <w:pgMar w:left="920" w:top="1143" w:right="399" w:bottom="1440" w:gutter="0" w:footer="0" w:header="0"/>
        </w:sectPr>
      </w:pPr>
    </w:p>
    <w:bookmarkStart w:id="235" w:name="page236"/>
    <w:bookmarkEnd w:id="235"/>
    <w:p>
      <w:pPr>
        <w:ind w:left="3140"/>
        <w:spacing w:after="0"/>
        <w:rPr>
          <w:sz w:val="20"/>
          <w:szCs w:val="20"/>
          <w:color w:val="auto"/>
        </w:rPr>
      </w:pPr>
      <w:r>
        <w:rPr>
          <w:rFonts w:ascii="Times New Roman" w:cs="Times New Roman" w:eastAsia="Times New Roman" w:hAnsi="Times New Roman"/>
          <w:sz w:val="14"/>
          <w:szCs w:val="14"/>
          <w:b w:val="1"/>
          <w:bCs w:val="1"/>
          <w:color w:val="231F20"/>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t>ENPHASE ENERGY, INC.</w:t>
      </w:r>
    </w:p>
    <w:p>
      <w:pPr>
        <w:spacing w:after="0" w:line="2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76073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76073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37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231F20"/>
        </w:rPr>
        <w:t>CREDIT SUISSE CAPITAL LLC</w:t>
      </w:r>
    </w:p>
    <w:p>
      <w:pPr>
        <w:spacing w:after="0" w:line="2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86296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8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Erica Hryniuk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-4445</wp:posOffset>
            </wp:positionV>
            <wp:extent cx="74549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74549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8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231F20"/>
        </w:rPr>
        <w:t>CREDIT SUISSE SECURITIES (USA) LLC, AS AGENT</w:t>
      </w:r>
    </w:p>
    <w:p>
      <w:pPr>
        <w:spacing w:after="0" w:line="2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86296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41" w:right="1440" w:bottom="1440" w:gutter="0" w:footer="0" w:header="0"/>
        </w:sectPr>
      </w:pPr>
    </w:p>
    <w:bookmarkStart w:id="236" w:name="page237"/>
    <w:bookmarkEnd w:id="23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2425700" cy="876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2425700" cy="87630"/>
                    </a:xfrm>
                    <a:prstGeom prst="rect">
                      <a:avLst/>
                    </a:prstGeom>
                    <a:noFill/>
                  </pic:spPr>
                </pic:pic>
              </a:graphicData>
            </a:graphic>
          </wp:anchor>
        </w:drawing>
      </w:r>
    </w:p>
    <w:tbl>
      <w:tblPr>
        <w:tblLayout w:type="fixed"/>
        <w:tblInd w:w="147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456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b w:val="1"/>
                <w:bCs w:val="1"/>
                <w:color w:val="auto"/>
              </w:rPr>
              <w:t>EXHIBIT A</w:t>
            </w:r>
          </w:p>
        </w:tc>
      </w:tr>
      <w:tr>
        <w:trPr>
          <w:trHeight w:val="404"/>
        </w:trPr>
        <w:tc>
          <w:tcPr>
            <w:tcW w:w="2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181"/>
        </w:trPr>
        <w:tc>
          <w:tcPr>
            <w:tcW w:w="2600" w:type="dxa"/>
            <w:vAlign w:val="bottom"/>
            <w:tcBorders>
              <w:left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VWAP Price</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Cash Settlement Amount per Option</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$3,351.03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$3,380.29</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$3,409.56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$3,438.83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$3,468.09</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$3,497.36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$141.00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$3,526.63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$142.00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$3,555.89</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$143.00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$3,585.16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$144.00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$3,614.43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$3,643.69</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$3,672.96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$3,702.23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$3,731.50</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$3,760.76</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$150.00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rPr>
              <w:t>$3,790.03</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the VWAP Price is not specified on the grid above, the Cash Settlement Amount per Option shall be determined based on a straight-line interpolation between the VWAP Prices or extrapolation from the VWAP Prices (as the case may be) specified on the grid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VWAP Price</w:t>
      </w:r>
      <w:r>
        <w:rPr>
          <w:rFonts w:ascii="Times New Roman" w:cs="Times New Roman" w:eastAsia="Times New Roman" w:hAnsi="Times New Roman"/>
          <w:sz w:val="14"/>
          <w:szCs w:val="14"/>
          <w:color w:val="auto"/>
        </w:rPr>
        <w:t>” means the arithmetic average of the Daily Prices for all Scheduled Trading Days in the Hedge Unwind Period.</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Daily Price</w:t>
      </w:r>
      <w:r>
        <w:rPr>
          <w:rFonts w:ascii="Times New Roman" w:cs="Times New Roman" w:eastAsia="Times New Roman" w:hAnsi="Times New Roman"/>
          <w:sz w:val="14"/>
          <w:szCs w:val="14"/>
          <w:color w:val="auto"/>
        </w:rPr>
        <w:t>” for any Scheduled Trading Day means the per Share volume-weighted average price as displayed under the heading “Bloomberg VWAP” on Bloomberg page ENPH &lt;equity&gt; AQR (or any successor thereto) in respect of the period from 9:30 a.m. to 4:00 p.m. (New York City time) on such Scheduled Trading Day (or if such volume-weighted average price is unavailable or manifestly incorrect, the market value of one Share on such Scheduled Trading Day, as determined by the Calculation Agent).</w:t>
      </w:r>
    </w:p>
    <w:p>
      <w:pPr>
        <w:sectPr>
          <w:pgSz w:w="11900" w:h="16838" w:orient="portrait"/>
          <w:cols w:equalWidth="0" w:num="1">
            <w:col w:w="10600"/>
          </w:cols>
          <w:pgMar w:left="920" w:top="1440" w:right="379" w:bottom="1440" w:gutter="0" w:footer="0" w:header="0"/>
        </w:sectPr>
      </w:pPr>
    </w:p>
    <w:bookmarkStart w:id="237" w:name="page238"/>
    <w:bookmarkEnd w:id="237"/>
    <w:p>
      <w:pPr>
        <w:ind w:left="9960"/>
        <w:spacing w:after="0"/>
        <w:rPr>
          <w:sz w:val="20"/>
          <w:szCs w:val="20"/>
          <w:color w:val="auto"/>
        </w:rPr>
      </w:pPr>
      <w:r>
        <w:rPr>
          <w:rFonts w:ascii="Times New Roman" w:cs="Times New Roman" w:eastAsia="Times New Roman" w:hAnsi="Times New Roman"/>
          <w:sz w:val="14"/>
          <w:szCs w:val="14"/>
          <w:i w:val="1"/>
          <w:iCs w:val="1"/>
          <w:color w:val="auto"/>
        </w:rPr>
        <w:t>Execution</w:t>
      </w: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PARTIAL UNWIND AGREEMENT</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with respect to the Base Warrants Confirmation, dated May 30, 2019</w:t>
      </w:r>
    </w:p>
    <w:p>
      <w:pPr>
        <w:spacing w:after="0" w:line="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between Enphase Energy, Inc. and Barclays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-20320</wp:posOffset>
            </wp:positionV>
            <wp:extent cx="263652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263652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THIS PARTIAL UNWIND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with respect to the Base Warrants Confirmation (as defined below) and the Additional Warrants Confirmation (as defined below) is made as of December 14, 2020 between Enphase Energy,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Barclays Bank PLC (“</w:t>
      </w:r>
      <w:r>
        <w:rPr>
          <w:rFonts w:ascii="Times New Roman" w:cs="Times New Roman" w:eastAsia="Times New Roman" w:hAnsi="Times New Roman"/>
          <w:sz w:val="14"/>
          <w:szCs w:val="14"/>
          <w:b w:val="1"/>
          <w:bCs w:val="1"/>
          <w:color w:val="auto"/>
        </w:rPr>
        <w:t>Dealer</w:t>
      </w:r>
      <w:r>
        <w:rPr>
          <w:rFonts w:ascii="Times New Roman" w:cs="Times New Roman" w:eastAsia="Times New Roman" w:hAnsi="Times New Roman"/>
          <w:sz w:val="14"/>
          <w:szCs w:val="14"/>
          <w:color w:val="auto"/>
        </w:rPr>
        <w:t>”), acting through its agent Barclays Capital Inc.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right="40" w:firstLine="509"/>
        <w:spacing w:after="0" w:line="271" w:lineRule="auto"/>
        <w:rPr>
          <w:sz w:val="20"/>
          <w:szCs w:val="20"/>
          <w:color w:val="auto"/>
        </w:rPr>
      </w:pPr>
      <w:r>
        <w:rPr>
          <w:rFonts w:ascii="Times New Roman" w:cs="Times New Roman" w:eastAsia="Times New Roman" w:hAnsi="Times New Roman"/>
          <w:sz w:val="14"/>
          <w:szCs w:val="14"/>
          <w:color w:val="auto"/>
        </w:rPr>
        <w:t>WHEREAS, the Company and Dealer entered into (i) a Base Warrants confirmation, dated as of May 30, 2019 (the “</w:t>
      </w:r>
      <w:r>
        <w:rPr>
          <w:rFonts w:ascii="Times New Roman" w:cs="Times New Roman" w:eastAsia="Times New Roman" w:hAnsi="Times New Roman"/>
          <w:sz w:val="14"/>
          <w:szCs w:val="14"/>
          <w:b w:val="1"/>
          <w:bCs w:val="1"/>
          <w:color w:val="auto"/>
        </w:rPr>
        <w:t>Base Warrants Confirmation</w:t>
      </w:r>
      <w:r>
        <w:rPr>
          <w:rFonts w:ascii="Times New Roman" w:cs="Times New Roman" w:eastAsia="Times New Roman" w:hAnsi="Times New Roman"/>
          <w:sz w:val="14"/>
          <w:szCs w:val="14"/>
          <w:color w:val="auto"/>
        </w:rPr>
        <w:t>”) (ii) an Additional Warrants confirmation, dated as of June 4, 2019 (the “</w:t>
      </w:r>
      <w:r>
        <w:rPr>
          <w:rFonts w:ascii="Times New Roman" w:cs="Times New Roman" w:eastAsia="Times New Roman" w:hAnsi="Times New Roman"/>
          <w:sz w:val="14"/>
          <w:szCs w:val="14"/>
          <w:b w:val="1"/>
          <w:bCs w:val="1"/>
          <w:color w:val="auto"/>
        </w:rPr>
        <w:t>Additional Warrants Confirmation</w:t>
      </w:r>
      <w:r>
        <w:rPr>
          <w:rFonts w:ascii="Times New Roman" w:cs="Times New Roman" w:eastAsia="Times New Roman" w:hAnsi="Times New Roman"/>
          <w:sz w:val="14"/>
          <w:szCs w:val="14"/>
          <w:color w:val="auto"/>
        </w:rPr>
        <w:t>" and together with the Base Warrants Confirmation, the “</w:t>
      </w:r>
      <w:r>
        <w:rPr>
          <w:rFonts w:ascii="Times New Roman" w:cs="Times New Roman" w:eastAsia="Times New Roman" w:hAnsi="Times New Roman"/>
          <w:sz w:val="14"/>
          <w:szCs w:val="14"/>
          <w:b w:val="1"/>
          <w:bCs w:val="1"/>
          <w:color w:val="auto"/>
        </w:rPr>
        <w:t>Warrants Confirmations</w:t>
      </w:r>
      <w:r>
        <w:rPr>
          <w:rFonts w:ascii="Times New Roman" w:cs="Times New Roman" w:eastAsia="Times New Roman" w:hAnsi="Times New Roman"/>
          <w:sz w:val="14"/>
          <w:szCs w:val="14"/>
          <w:color w:val="auto"/>
        </w:rPr>
        <w:t>”), pursuant to which the Company issued to the Dealer warrants to purchase shares of common stock of the Company (the “</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WHEREAS, the Company has requested, and Dealer has agreed, to unwind the Base Warrants Confirmation with respect to 855,762 Warrants (the “</w:t>
      </w:r>
      <w:r>
        <w:rPr>
          <w:rFonts w:ascii="Times New Roman" w:cs="Times New Roman" w:eastAsia="Times New Roman" w:hAnsi="Times New Roman"/>
          <w:sz w:val="14"/>
          <w:szCs w:val="14"/>
          <w:b w:val="1"/>
          <w:bCs w:val="1"/>
          <w:color w:val="auto"/>
        </w:rPr>
        <w:t>Unwind Warrants</w:t>
      </w:r>
      <w:r>
        <w:rPr>
          <w:rFonts w:ascii="Times New Roman" w:cs="Times New Roman" w:eastAsia="Times New Roman" w:hAnsi="Times New Roman"/>
          <w:sz w:val="14"/>
          <w:szCs w:val="14"/>
          <w:color w:val="auto"/>
        </w:rPr>
        <w:t>”) underlying the Base Warrants Confirmation;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NOW, THEREFORE, in consideration of their mutual covenants herein contained, the parties hereto, intending to be legally bound, hereby mutually covenant and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196" w:lineRule="exact"/>
        <w:rPr>
          <w:sz w:val="20"/>
          <w:szCs w:val="20"/>
          <w:color w:val="auto"/>
        </w:rPr>
      </w:pPr>
    </w:p>
    <w:p>
      <w:pPr>
        <w:ind w:left="760" w:hanging="252"/>
        <w:spacing w:after="0"/>
        <w:tabs>
          <w:tab w:leader="none" w:pos="76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Any capitalized term not otherwise defined herein shall have the meaning set forth for such term in the Warrants Confirmations.</w:t>
      </w:r>
    </w:p>
    <w:p>
      <w:pPr>
        <w:spacing w:after="0" w:line="199" w:lineRule="exact"/>
        <w:rPr>
          <w:rFonts w:ascii="Times New Roman" w:cs="Times New Roman" w:eastAsia="Times New Roman" w:hAnsi="Times New Roman"/>
          <w:sz w:val="14"/>
          <w:szCs w:val="14"/>
          <w:color w:val="auto"/>
        </w:rPr>
      </w:pPr>
    </w:p>
    <w:p>
      <w:pPr>
        <w:ind w:firstLine="508"/>
        <w:spacing w:after="0" w:line="287" w:lineRule="auto"/>
        <w:tabs>
          <w:tab w:leader="none" w:pos="767"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Warrants Unwind</w:t>
      </w:r>
      <w:r>
        <w:rPr>
          <w:rFonts w:ascii="Times New Roman" w:cs="Times New Roman" w:eastAsia="Times New Roman" w:hAnsi="Times New Roman"/>
          <w:sz w:val="14"/>
          <w:szCs w:val="14"/>
          <w:color w:val="auto"/>
        </w:rPr>
        <w:t>. On the Delivery Date (as defined below), the Number of Warrants in the Base Warrants Confirmation shall be reduced by the number of Unwind Warrants, from 2,341,349 to 1,485,587.</w:t>
      </w:r>
    </w:p>
    <w:p>
      <w:pPr>
        <w:spacing w:after="0" w:line="145" w:lineRule="exact"/>
        <w:rPr>
          <w:rFonts w:ascii="Times New Roman" w:cs="Times New Roman" w:eastAsia="Times New Roman" w:hAnsi="Times New Roman"/>
          <w:sz w:val="14"/>
          <w:szCs w:val="14"/>
          <w:color w:val="auto"/>
        </w:rPr>
      </w:pPr>
    </w:p>
    <w:p>
      <w:pPr>
        <w:ind w:left="780" w:hanging="244"/>
        <w:spacing w:after="0"/>
        <w:tabs>
          <w:tab w:leader="none" w:pos="78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99" w:lineRule="exact"/>
        <w:rPr>
          <w:rFonts w:ascii="Times New Roman" w:cs="Times New Roman" w:eastAsia="Times New Roman" w:hAnsi="Times New Roman"/>
          <w:sz w:val="14"/>
          <w:szCs w:val="14"/>
          <w:color w:val="auto"/>
        </w:rPr>
      </w:pPr>
    </w:p>
    <w:p>
      <w:pPr>
        <w:ind w:left="20" w:right="40" w:firstLine="516"/>
        <w:spacing w:after="0" w:line="287" w:lineRule="auto"/>
        <w:tabs>
          <w:tab w:leader="none" w:pos="819"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Procedures for Partial Unwind</w:t>
      </w:r>
      <w:r>
        <w:rPr>
          <w:rFonts w:ascii="Times New Roman" w:cs="Times New Roman" w:eastAsia="Times New Roman" w:hAnsi="Times New Roman"/>
          <w:sz w:val="14"/>
          <w:szCs w:val="14"/>
          <w:color w:val="auto"/>
        </w:rPr>
        <w:t>. Pursuant to the terms of this Agreement, during the Hedge Unwind Period (as defined below) Dealer (or an affiliate of Dealer), for the account of Dealer, shall unwind a portion of its hedge of the Warrants underlying the Base Warrants Confirmation.</w:t>
      </w:r>
    </w:p>
    <w:p>
      <w:pPr>
        <w:spacing w:after="0" w:line="145" w:lineRule="exact"/>
        <w:rPr>
          <w:sz w:val="20"/>
          <w:szCs w:val="20"/>
          <w:color w:val="auto"/>
        </w:rPr>
      </w:pPr>
    </w:p>
    <w:p>
      <w:pPr>
        <w:jc w:val="both"/>
        <w:ind w:firstLine="508"/>
        <w:spacing w:after="0" w:line="261" w:lineRule="auto"/>
        <w:tabs>
          <w:tab w:leader="none" w:pos="778"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w:t>
      </w:r>
      <w:r>
        <w:rPr>
          <w:rFonts w:ascii="Times New Roman" w:cs="Times New Roman" w:eastAsia="Times New Roman" w:hAnsi="Times New Roman"/>
          <w:sz w:val="14"/>
          <w:szCs w:val="14"/>
          <w:color w:val="auto"/>
        </w:rPr>
        <w:t>. On the first Scheduled Trading Day following the conclusion of the Hedge Unwind Period, or if such day is not a Currency Business Day, on the next Currency Business Day immediately following such day (the “</w:t>
      </w:r>
      <w:r>
        <w:rPr>
          <w:rFonts w:ascii="Times New Roman" w:cs="Times New Roman" w:eastAsia="Times New Roman" w:hAnsi="Times New Roman"/>
          <w:sz w:val="14"/>
          <w:szCs w:val="14"/>
          <w:b w:val="1"/>
          <w:bCs w:val="1"/>
          <w:color w:val="auto"/>
        </w:rPr>
        <w:t>Delivery Date</w:t>
      </w:r>
      <w:r>
        <w:rPr>
          <w:rFonts w:ascii="Times New Roman" w:cs="Times New Roman" w:eastAsia="Times New Roman" w:hAnsi="Times New Roman"/>
          <w:sz w:val="14"/>
          <w:szCs w:val="14"/>
          <w:color w:val="auto"/>
        </w:rPr>
        <w:t xml:space="preserve">”), the Company shall deliver to Dealer a number of Shares equal to an amount equal to the </w:t>
      </w: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xml:space="preserve"> of (i) the number of Unwind Warrants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Cash Settlement Amount per Warrant in respect of such Hedge Unwind Period (as determined based on the grid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(iii) the VWAP Price (as defined on the attached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b w:val="1"/>
          <w:bCs w:val="1"/>
          <w:color w:val="auto"/>
        </w:rPr>
        <w:t>Hedge Unwind Period</w:t>
      </w:r>
      <w:r>
        <w:rPr>
          <w:rFonts w:ascii="Times New Roman" w:cs="Times New Roman" w:eastAsia="Times New Roman" w:hAnsi="Times New Roman"/>
          <w:sz w:val="14"/>
          <w:szCs w:val="14"/>
          <w:color w:val="auto"/>
        </w:rPr>
        <w:t>” means December 15, 2020, subject to the immediately succeeding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540"/>
          </w:cols>
          <w:pgMar w:left="900" w:top="1385" w:right="459" w:bottom="1440" w:gutter="0" w:footer="0" w:header="0"/>
        </w:sectPr>
      </w:pPr>
    </w:p>
    <w:bookmarkStart w:id="238" w:name="page239"/>
    <w:bookmarkEnd w:id="238"/>
    <w:p>
      <w:pPr>
        <w:jc w:val="both"/>
        <w:ind w:right="80" w:firstLine="10"/>
        <w:spacing w:after="0" w:line="257" w:lineRule="auto"/>
        <w:rPr>
          <w:sz w:val="20"/>
          <w:szCs w:val="20"/>
          <w:color w:val="auto"/>
        </w:rPr>
      </w:pPr>
      <w:r>
        <w:rPr>
          <w:rFonts w:ascii="Times New Roman" w:cs="Times New Roman" w:eastAsia="Times New Roman" w:hAnsi="Times New Roman"/>
          <w:sz w:val="14"/>
          <w:szCs w:val="14"/>
          <w:color w:val="auto"/>
        </w:rPr>
        <w:t>Notwithstanding anything to the contrary in this Agreement, if (i) the Scheduled Trading Day during any Hedge Unwind Period is a Disrupted Day (as defined in the Warrants Confirmations) or (ii) Dealer determines, based on the advice of counsel, that on any Scheduled Trading Day during the Hedge Unwind Period an extension of such Hedge Unwind Period is reasonably necessary or advisable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related policies and procedures applicable to Dealer, then the Daily Price for such Scheduled Trading Day(s) shall be the volume-weighted average price per Share on such Scheduled Trading Day on the Exchange, as determined by the Calculation Agent based on transactions in the Shares on such Scheduled Trading Day taking into account, if applicable, the nature and duration of such Market Disruption Event, and the number of Scheduled Trading Days and the Cash Settlement Amount per Warrant related to the Hedge Unwind Period shall be adjusted by the Calculation Agent to account for such disruption and/or extension.</w:t>
      </w:r>
    </w:p>
    <w:p>
      <w:pPr>
        <w:spacing w:after="0" w:line="181" w:lineRule="exact"/>
        <w:rPr>
          <w:sz w:val="20"/>
          <w:szCs w:val="20"/>
          <w:color w:val="auto"/>
        </w:rPr>
      </w:pPr>
    </w:p>
    <w:p>
      <w:pPr>
        <w:ind w:left="780" w:hanging="253"/>
        <w:spacing w:after="0"/>
        <w:tabs>
          <w:tab w:leader="none" w:pos="78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Dealer on the date hereof that:</w:t>
      </w:r>
    </w:p>
    <w:p>
      <w:pPr>
        <w:spacing w:after="0" w:line="61" w:lineRule="exact"/>
        <w:rPr>
          <w:rFonts w:ascii="Times New Roman" w:cs="Times New Roman" w:eastAsia="Times New Roman" w:hAnsi="Times New Roman"/>
          <w:sz w:val="14"/>
          <w:szCs w:val="14"/>
          <w:color w:val="auto"/>
        </w:rPr>
      </w:pPr>
    </w:p>
    <w:p>
      <w:pPr>
        <w:ind w:left="20" w:firstLine="1018"/>
        <w:spacing w:after="0" w:line="287" w:lineRule="auto"/>
        <w:tabs>
          <w:tab w:leader="none" w:pos="1344"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45" w:lineRule="exact"/>
        <w:rPr>
          <w:rFonts w:ascii="Times New Roman" w:cs="Times New Roman" w:eastAsia="Times New Roman" w:hAnsi="Times New Roman"/>
          <w:sz w:val="14"/>
          <w:szCs w:val="14"/>
          <w:color w:val="auto"/>
        </w:rPr>
      </w:pPr>
    </w:p>
    <w:p>
      <w:pPr>
        <w:ind w:left="20" w:firstLine="1018"/>
        <w:spacing w:after="0" w:line="287" w:lineRule="auto"/>
        <w:tabs>
          <w:tab w:leader="none" w:pos="1384"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the Company, any provision of its constitutional documents, any order or judgment of any court or other agency of government applicable to it or any of its assets or any contractual restriction binding on or affecting it or any of its assets;</w:t>
      </w:r>
    </w:p>
    <w:p>
      <w:pPr>
        <w:spacing w:after="0" w:line="145" w:lineRule="exact"/>
        <w:rPr>
          <w:rFonts w:ascii="Times New Roman" w:cs="Times New Roman" w:eastAsia="Times New Roman" w:hAnsi="Times New Roman"/>
          <w:sz w:val="14"/>
          <w:szCs w:val="14"/>
          <w:color w:val="auto"/>
        </w:rPr>
      </w:pPr>
    </w:p>
    <w:p>
      <w:pPr>
        <w:ind w:left="20" w:firstLine="1018"/>
        <w:spacing w:after="0" w:line="287" w:lineRule="auto"/>
        <w:tabs>
          <w:tab w:leader="none" w:pos="1378"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the Company with respect to this Agreement have been obtained and are in full force and effect and all conditions of any such consents have been complied with;</w:t>
      </w:r>
    </w:p>
    <w:p>
      <w:pPr>
        <w:spacing w:after="0" w:line="156" w:lineRule="exact"/>
        <w:rPr>
          <w:rFonts w:ascii="Times New Roman" w:cs="Times New Roman" w:eastAsia="Times New Roman" w:hAnsi="Times New Roman"/>
          <w:sz w:val="14"/>
          <w:szCs w:val="14"/>
          <w:color w:val="auto"/>
        </w:rPr>
      </w:pPr>
    </w:p>
    <w:p>
      <w:pPr>
        <w:jc w:val="both"/>
        <w:ind w:left="20" w:firstLine="1018"/>
        <w:spacing w:after="0" w:line="270" w:lineRule="auto"/>
        <w:tabs>
          <w:tab w:leader="none" w:pos="1362"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67" w:lineRule="exact"/>
        <w:rPr>
          <w:rFonts w:ascii="Times New Roman" w:cs="Times New Roman" w:eastAsia="Times New Roman" w:hAnsi="Times New Roman"/>
          <w:sz w:val="14"/>
          <w:szCs w:val="14"/>
          <w:color w:val="auto"/>
        </w:rPr>
      </w:pPr>
    </w:p>
    <w:p>
      <w:pPr>
        <w:ind w:left="1340" w:hanging="302"/>
        <w:spacing w:after="0"/>
        <w:tabs>
          <w:tab w:leader="none" w:pos="134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affiliates is not in possession of any material nonpublic information regarding the Company or its common stock;</w:t>
      </w:r>
    </w:p>
    <w:p>
      <w:pPr>
        <w:spacing w:after="0" w:line="210" w:lineRule="exact"/>
        <w:rPr>
          <w:rFonts w:ascii="Times New Roman" w:cs="Times New Roman" w:eastAsia="Times New Roman" w:hAnsi="Times New Roman"/>
          <w:sz w:val="14"/>
          <w:szCs w:val="14"/>
          <w:color w:val="auto"/>
        </w:rPr>
      </w:pPr>
    </w:p>
    <w:p>
      <w:pPr>
        <w:jc w:val="both"/>
        <w:ind w:left="20" w:firstLine="1018"/>
        <w:spacing w:after="0" w:line="270" w:lineRule="auto"/>
        <w:tabs>
          <w:tab w:leader="none" w:pos="134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156" w:lineRule="exact"/>
        <w:rPr>
          <w:rFonts w:ascii="Times New Roman" w:cs="Times New Roman" w:eastAsia="Times New Roman" w:hAnsi="Times New Roman"/>
          <w:sz w:val="14"/>
          <w:szCs w:val="14"/>
          <w:color w:val="auto"/>
        </w:rPr>
      </w:pPr>
    </w:p>
    <w:p>
      <w:pPr>
        <w:jc w:val="both"/>
        <w:ind w:left="20" w:firstLine="1018"/>
        <w:spacing w:after="0" w:line="270" w:lineRule="auto"/>
        <w:tabs>
          <w:tab w:leader="none" w:pos="1353"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entering into this Agreement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8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620"/>
          </w:cols>
          <w:pgMar w:left="880" w:top="1143" w:right="399" w:bottom="1440" w:gutter="0" w:footer="0" w:header="0"/>
        </w:sectPr>
      </w:pPr>
    </w:p>
    <w:bookmarkStart w:id="239" w:name="page240"/>
    <w:bookmarkEnd w:id="239"/>
    <w:p>
      <w:pPr>
        <w:ind w:left="-508" w:firstLine="1018"/>
        <w:spacing w:after="0" w:line="287" w:lineRule="auto"/>
        <w:tabs>
          <w:tab w:leader="none" w:pos="826"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 “eligible contract participant” (as such term is defined in Section 1a(18) of the Commodity Exchange Act, as amended, other than a person that is an eligible contract participant under Section 1a(18)(C) of the Commodity Exchange Act);</w:t>
      </w:r>
    </w:p>
    <w:p>
      <w:pPr>
        <w:spacing w:after="0" w:line="156" w:lineRule="exact"/>
        <w:rPr>
          <w:rFonts w:ascii="Times New Roman" w:cs="Times New Roman" w:eastAsia="Times New Roman" w:hAnsi="Times New Roman"/>
          <w:sz w:val="14"/>
          <w:szCs w:val="14"/>
          <w:color w:val="auto"/>
        </w:rPr>
      </w:pPr>
    </w:p>
    <w:p>
      <w:pPr>
        <w:ind w:left="-508" w:firstLine="1018"/>
        <w:spacing w:after="0" w:line="287" w:lineRule="auto"/>
        <w:tabs>
          <w:tab w:leader="none" w:pos="808"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after consummation of the transactions contemplated hereby, will not be required to register as an “investment company” as such term is defined in the Investment Company Act of 1940, as amended;</w:t>
      </w:r>
    </w:p>
    <w:p>
      <w:pPr>
        <w:spacing w:after="0" w:line="145" w:lineRule="exact"/>
        <w:rPr>
          <w:rFonts w:ascii="Times New Roman" w:cs="Times New Roman" w:eastAsia="Times New Roman" w:hAnsi="Times New Roman"/>
          <w:sz w:val="14"/>
          <w:szCs w:val="14"/>
          <w:color w:val="auto"/>
        </w:rPr>
      </w:pPr>
    </w:p>
    <w:p>
      <w:pPr>
        <w:jc w:val="both"/>
        <w:ind w:left="-508" w:firstLine="1018"/>
        <w:spacing w:after="0" w:line="264" w:lineRule="auto"/>
        <w:tabs>
          <w:tab w:leader="none" w:pos="785"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day during the Hedge Unwind Period, the Shares shall not be subject to a “restricted period,” as such term is defined in Regulation M under the Exchange Act and that the Company shall not engage in any “distribution,” as such term is defined in Regulation M under the Exchange Act, other than a distribution meeting the requirements of the exceptions set forth in sections 101(b)(10) and 102(b)(7) of Regulation M under the Exchange Act, until the second Exchange Business Day immediately following the last day of the Hedge Unwind Period;</w:t>
      </w:r>
    </w:p>
    <w:p>
      <w:pPr>
        <w:spacing w:after="0" w:line="172" w:lineRule="exact"/>
        <w:rPr>
          <w:rFonts w:ascii="Times New Roman" w:cs="Times New Roman" w:eastAsia="Times New Roman" w:hAnsi="Times New Roman"/>
          <w:sz w:val="14"/>
          <w:szCs w:val="14"/>
          <w:color w:val="auto"/>
        </w:rPr>
      </w:pPr>
    </w:p>
    <w:p>
      <w:pPr>
        <w:jc w:val="both"/>
        <w:ind w:left="-508" w:firstLine="1018"/>
        <w:spacing w:after="0" w:line="264" w:lineRule="auto"/>
        <w:tabs>
          <w:tab w:leader="none" w:pos="821"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Scheduled Trading Day during the Hedge Unwind Period, neither the Company nor any “affiliated purchaser” (as defined in Rule 10b-18 of the Exchange Act)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and</w:t>
      </w:r>
    </w:p>
    <w:p>
      <w:pPr>
        <w:spacing w:after="0" w:line="172" w:lineRule="exact"/>
        <w:rPr>
          <w:rFonts w:ascii="Times New Roman" w:cs="Times New Roman" w:eastAsia="Times New Roman" w:hAnsi="Times New Roman"/>
          <w:sz w:val="14"/>
          <w:szCs w:val="14"/>
          <w:color w:val="auto"/>
        </w:rPr>
      </w:pPr>
    </w:p>
    <w:p>
      <w:pPr>
        <w:jc w:val="both"/>
        <w:ind w:left="-508" w:firstLine="1018"/>
        <w:spacing w:after="0" w:line="270" w:lineRule="auto"/>
        <w:tabs>
          <w:tab w:leader="none" w:pos="791"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prior to the date hereof it has notified Dealer of the total number of Shares, if any, purchased by or for the Company or any of its affiliated purchasers in Rule 10b-18 purchases of blocks (all as defined in Rule 10b-18 under the Exchange Act) pursuant to the once-a-week block exception set forth in Rule 10b-18(b)(4) during the four full calendar weeks immediately preceding the date hereof.</w:t>
      </w:r>
    </w:p>
    <w:p>
      <w:pPr>
        <w:spacing w:after="0" w:line="167" w:lineRule="exact"/>
        <w:rPr>
          <w:rFonts w:ascii="Times New Roman" w:cs="Times New Roman" w:eastAsia="Times New Roman" w:hAnsi="Times New Roman"/>
          <w:sz w:val="14"/>
          <w:szCs w:val="14"/>
          <w:color w:val="auto"/>
        </w:rPr>
      </w:pPr>
    </w:p>
    <w:p>
      <w:pPr>
        <w:ind w:left="252" w:hanging="252"/>
        <w:spacing w:after="0"/>
        <w:tabs>
          <w:tab w:leader="none" w:pos="25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D</w:t>
      </w:r>
      <w:r>
        <w:rPr>
          <w:rFonts w:ascii="Times New Roman" w:cs="Times New Roman" w:eastAsia="Times New Roman" w:hAnsi="Times New Roman"/>
          <w:sz w:val="14"/>
          <w:szCs w:val="14"/>
          <w:color w:val="auto"/>
        </w:rPr>
        <w:t>ealer. Dealer represents and warrants to the Company on the date hereof that:</w:t>
      </w:r>
    </w:p>
    <w:p>
      <w:pPr>
        <w:spacing w:after="0" w:line="61" w:lineRule="exact"/>
        <w:rPr>
          <w:rFonts w:ascii="Times New Roman" w:cs="Times New Roman" w:eastAsia="Times New Roman" w:hAnsi="Times New Roman"/>
          <w:sz w:val="14"/>
          <w:szCs w:val="14"/>
          <w:color w:val="auto"/>
        </w:rPr>
      </w:pPr>
    </w:p>
    <w:p>
      <w:pPr>
        <w:ind w:left="-508" w:firstLine="1018"/>
        <w:spacing w:after="0" w:line="287" w:lineRule="auto"/>
        <w:tabs>
          <w:tab w:leader="none" w:pos="845"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45" w:lineRule="exact"/>
        <w:rPr>
          <w:rFonts w:ascii="Times New Roman" w:cs="Times New Roman" w:eastAsia="Times New Roman" w:hAnsi="Times New Roman"/>
          <w:sz w:val="14"/>
          <w:szCs w:val="14"/>
          <w:color w:val="auto"/>
        </w:rPr>
      </w:pPr>
    </w:p>
    <w:p>
      <w:pPr>
        <w:ind w:left="-508" w:firstLine="1018"/>
        <w:spacing w:after="0" w:line="287" w:lineRule="auto"/>
        <w:tabs>
          <w:tab w:leader="none" w:pos="839"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Dealer, any provision of its constitutional documents, any order or judgment of any court or other agency of government applicable to it or any of its assets or any contractual restriction binding on or affecting it or any of its assets;</w:t>
      </w:r>
    </w:p>
    <w:p>
      <w:pPr>
        <w:spacing w:after="0" w:line="145" w:lineRule="exact"/>
        <w:rPr>
          <w:rFonts w:ascii="Times New Roman" w:cs="Times New Roman" w:eastAsia="Times New Roman" w:hAnsi="Times New Roman"/>
          <w:sz w:val="14"/>
          <w:szCs w:val="14"/>
          <w:color w:val="auto"/>
        </w:rPr>
      </w:pPr>
    </w:p>
    <w:p>
      <w:pPr>
        <w:ind w:left="-508" w:firstLine="1018"/>
        <w:spacing w:after="0" w:line="287" w:lineRule="auto"/>
        <w:tabs>
          <w:tab w:leader="none" w:pos="825"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Dealer with respect to this Agreement have been obtained and are in full force and effect and all conditions of any such consents have been complied with; and</w:t>
      </w:r>
    </w:p>
    <w:p>
      <w:pPr>
        <w:spacing w:after="0" w:line="156" w:lineRule="exact"/>
        <w:rPr>
          <w:rFonts w:ascii="Times New Roman" w:cs="Times New Roman" w:eastAsia="Times New Roman" w:hAnsi="Times New Roman"/>
          <w:sz w:val="14"/>
          <w:szCs w:val="14"/>
          <w:color w:val="auto"/>
        </w:rPr>
      </w:pPr>
    </w:p>
    <w:p>
      <w:pPr>
        <w:jc w:val="both"/>
        <w:ind w:left="-508" w:firstLine="1018"/>
        <w:spacing w:after="0" w:line="270" w:lineRule="auto"/>
        <w:tabs>
          <w:tab w:leader="none" w:pos="898"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67" w:lineRule="exact"/>
        <w:rPr>
          <w:rFonts w:ascii="Times New Roman" w:cs="Times New Roman" w:eastAsia="Times New Roman" w:hAnsi="Times New Roman"/>
          <w:sz w:val="14"/>
          <w:szCs w:val="14"/>
          <w:color w:val="auto"/>
        </w:rPr>
      </w:pPr>
    </w:p>
    <w:p>
      <w:pPr>
        <w:ind w:left="252" w:hanging="252"/>
        <w:spacing w:after="0"/>
        <w:tabs>
          <w:tab w:leader="none" w:pos="25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 for Payment to the Company</w:t>
      </w:r>
      <w:r>
        <w:rPr>
          <w:rFonts w:ascii="Times New Roman" w:cs="Times New Roman" w:eastAsia="Times New Roman" w:hAnsi="Times New Roman"/>
          <w:sz w:val="14"/>
          <w:szCs w:val="14"/>
          <w:color w:val="auto"/>
        </w:rPr>
        <w:t>:</w:t>
      </w:r>
    </w:p>
    <w:p>
      <w:pPr>
        <w:spacing w:after="0" w:line="25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4"/>
          <w:szCs w:val="14"/>
          <w:color w:val="auto"/>
        </w:rPr>
        <w:t>To be advised.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92"/>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092"/>
          </w:cols>
          <w:pgMar w:left="1408" w:top="1143" w:right="399" w:bottom="1440" w:gutter="0" w:footer="0" w:header="0"/>
        </w:sectPr>
      </w:pPr>
    </w:p>
    <w:bookmarkStart w:id="240" w:name="page241"/>
    <w:bookmarkEnd w:id="240"/>
    <w:p>
      <w:pPr>
        <w:ind w:left="760" w:hanging="252"/>
        <w:spacing w:after="0"/>
        <w:tabs>
          <w:tab w:leader="none" w:pos="7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laws of the State of New York (without reference to choice of law doctrine).</w:t>
      </w:r>
    </w:p>
    <w:p>
      <w:pPr>
        <w:spacing w:after="0" w:line="199" w:lineRule="exact"/>
        <w:rPr>
          <w:rFonts w:ascii="Times New Roman" w:cs="Times New Roman" w:eastAsia="Times New Roman" w:hAnsi="Times New Roman"/>
          <w:sz w:val="14"/>
          <w:szCs w:val="14"/>
          <w:color w:val="auto"/>
        </w:rPr>
      </w:pPr>
    </w:p>
    <w:p>
      <w:pPr>
        <w:ind w:firstLine="508"/>
        <w:spacing w:after="0" w:line="287" w:lineRule="auto"/>
        <w:tabs>
          <w:tab w:leader="none" w:pos="849"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Changes</w:t>
      </w:r>
      <w:r>
        <w:rPr>
          <w:rFonts w:ascii="Times New Roman" w:cs="Times New Roman" w:eastAsia="Times New Roman" w:hAnsi="Times New Roman"/>
          <w:sz w:val="14"/>
          <w:szCs w:val="14"/>
          <w:color w:val="auto"/>
        </w:rPr>
        <w:t>. Except as expressly set forth herein, all of the terms and conditions of the Warrants Confirmations shall remain in full force and effect and are hereby confirmed in all respects.</w:t>
      </w:r>
    </w:p>
    <w:p>
      <w:pPr>
        <w:spacing w:after="0" w:line="156" w:lineRule="exact"/>
        <w:rPr>
          <w:rFonts w:ascii="Times New Roman" w:cs="Times New Roman" w:eastAsia="Times New Roman" w:hAnsi="Times New Roman"/>
          <w:sz w:val="14"/>
          <w:szCs w:val="14"/>
          <w:color w:val="auto"/>
        </w:rPr>
      </w:pPr>
    </w:p>
    <w:p>
      <w:pPr>
        <w:ind w:right="20" w:firstLine="508"/>
        <w:spacing w:after="0" w:line="287" w:lineRule="auto"/>
        <w:tabs>
          <w:tab w:leader="none" w:pos="843"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w:t>
      </w:r>
      <w:r>
        <w:rPr>
          <w:rFonts w:ascii="Times New Roman" w:cs="Times New Roman" w:eastAsia="Times New Roman" w:hAnsi="Times New Roman"/>
          <w:sz w:val="14"/>
          <w:szCs w:val="14"/>
          <w:color w:val="auto"/>
        </w:rPr>
        <w:t>s. This Agreement may be signed in any number of counterparts, each of which shall be an original, with the same effect as if all of the signatures thereto and hereto were upon the same instrument.</w:t>
      </w:r>
    </w:p>
    <w:p>
      <w:pPr>
        <w:spacing w:after="0" w:line="156" w:lineRule="exact"/>
        <w:rPr>
          <w:rFonts w:ascii="Times New Roman" w:cs="Times New Roman" w:eastAsia="Times New Roman" w:hAnsi="Times New Roman"/>
          <w:sz w:val="14"/>
          <w:szCs w:val="14"/>
          <w:color w:val="auto"/>
        </w:rPr>
      </w:pPr>
    </w:p>
    <w:p>
      <w:pPr>
        <w:jc w:val="both"/>
        <w:ind w:firstLine="508"/>
        <w:spacing w:after="0" w:line="270" w:lineRule="auto"/>
        <w:tabs>
          <w:tab w:leader="none" w:pos="827"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Reliance, etc</w:t>
      </w:r>
      <w:r>
        <w:rPr>
          <w:rFonts w:ascii="Times New Roman" w:cs="Times New Roman" w:eastAsia="Times New Roman" w:hAnsi="Times New Roman"/>
          <w:sz w:val="14"/>
          <w:szCs w:val="14"/>
          <w:color w:val="auto"/>
        </w:rPr>
        <w:t>. The Company hereby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67" w:lineRule="exact"/>
        <w:rPr>
          <w:rFonts w:ascii="Times New Roman" w:cs="Times New Roman" w:eastAsia="Times New Roman" w:hAnsi="Times New Roman"/>
          <w:sz w:val="14"/>
          <w:szCs w:val="14"/>
          <w:color w:val="auto"/>
        </w:rPr>
      </w:pPr>
    </w:p>
    <w:p>
      <w:pPr>
        <w:jc w:val="both"/>
        <w:ind w:firstLine="508"/>
        <w:spacing w:after="0" w:line="261" w:lineRule="auto"/>
        <w:tabs>
          <w:tab w:leader="none" w:pos="827"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Acknowledgments and Agreeme</w:t>
      </w:r>
      <w:r>
        <w:rPr>
          <w:rFonts w:ascii="Times New Roman" w:cs="Times New Roman" w:eastAsia="Times New Roman" w:hAnsi="Times New Roman"/>
          <w:sz w:val="14"/>
          <w:szCs w:val="14"/>
          <w:color w:val="auto"/>
        </w:rPr>
        <w:t>nts. The Company acknowledges and agrees that (i) the Company does not have, and shall not attempt to exercise, any influence over how, when or whether to effect sales of the Shares by Dealer (or its agent or affiliate) in connection with this Agreement and (ii) the Company is entering into this Agreement in good faith and not as part of a plan or scheme to evade compliance with federal securities laws including, without limitation, Rule 10b-5 promulgated under the Securities Exchange Act of 1934, as amended. For the avoidance of doubt, the Company agrees that Section 13.2 of the Equity Definitions remains applicable with respect to any Hedge Positions and Hedging Activities of Dealer in respect of the Transactions subject to the Warrants Confirmations and the transactions contemplated by this Agreement.</w:t>
      </w:r>
    </w:p>
    <w:p>
      <w:pPr>
        <w:spacing w:after="0" w:line="164" w:lineRule="exact"/>
        <w:rPr>
          <w:rFonts w:ascii="Times New Roman" w:cs="Times New Roman" w:eastAsia="Times New Roman" w:hAnsi="Times New Roman"/>
          <w:sz w:val="14"/>
          <w:szCs w:val="14"/>
          <w:color w:val="auto"/>
        </w:rPr>
      </w:pPr>
    </w:p>
    <w:p>
      <w:pPr>
        <w:jc w:val="both"/>
        <w:ind w:firstLine="508"/>
        <w:spacing w:after="0" w:line="270" w:lineRule="auto"/>
        <w:tabs>
          <w:tab w:leader="none" w:pos="849"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Unwind Warrants</w:t>
      </w:r>
      <w:r>
        <w:rPr>
          <w:rFonts w:ascii="Times New Roman" w:cs="Times New Roman" w:eastAsia="Times New Roman" w:hAnsi="Times New Roman"/>
          <w:sz w:val="14"/>
          <w:szCs w:val="14"/>
          <w:color w:val="auto"/>
        </w:rPr>
        <w:t xml:space="preserve">. Except for the delivery pursuant to this Agreement, the parties agree that no payments or deliveries shall become due or payable and no exercises shall occur, with respect to the Unwind Warrants;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until the last day of the Hedge Unwind Period, the “Cash Settlement Amount per Warrant” shall remain subject to adjustment by the Calculation Agent in a manner consistent with, and for the same events that would result in an adjustment to the terms of, the Warrants Confirmations.</w:t>
      </w:r>
    </w:p>
    <w:p>
      <w:pPr>
        <w:spacing w:after="0" w:line="167" w:lineRule="exact"/>
        <w:rPr>
          <w:rFonts w:ascii="Times New Roman" w:cs="Times New Roman" w:eastAsia="Times New Roman" w:hAnsi="Times New Roman"/>
          <w:sz w:val="14"/>
          <w:szCs w:val="14"/>
          <w:color w:val="auto"/>
        </w:rPr>
      </w:pPr>
    </w:p>
    <w:p>
      <w:pPr>
        <w:ind w:left="820" w:hanging="312"/>
        <w:spacing w:after="0"/>
        <w:tabs>
          <w:tab w:leader="none" w:pos="8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210" w:lineRule="exact"/>
        <w:rPr>
          <w:rFonts w:ascii="Times New Roman" w:cs="Times New Roman" w:eastAsia="Times New Roman" w:hAnsi="Times New Roman"/>
          <w:sz w:val="14"/>
          <w:szCs w:val="14"/>
          <w:color w:val="auto"/>
        </w:rPr>
      </w:pPr>
    </w:p>
    <w:p>
      <w:pPr>
        <w:jc w:val="both"/>
        <w:ind w:firstLine="508"/>
        <w:spacing w:after="0" w:line="261" w:lineRule="auto"/>
        <w:tabs>
          <w:tab w:leader="none" w:pos="83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Role of Agent</w:t>
      </w:r>
      <w:r>
        <w:rPr>
          <w:rFonts w:ascii="Times New Roman" w:cs="Times New Roman" w:eastAsia="Times New Roman" w:hAnsi="Times New Roman"/>
          <w:sz w:val="14"/>
          <w:szCs w:val="14"/>
          <w:color w:val="auto"/>
        </w:rPr>
        <w:t>. Each of Dealer and the Company acknowledges to and agrees with the other party hereto and to and with the Agent that (i) 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the Company is not relying (for purposes of making any investment decision or otherwise) upon, any statements, opinions or representations (whether written or oral) of Dealer or the Agent, other than the</w:t>
      </w:r>
    </w:p>
    <w:p>
      <w:pPr>
        <w:spacing w:after="0" w:line="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representations expressly set forth in this Agreement, and (v) each party agrees to proceed solely against the other party, and not the Agent, to collect or recover any money or securities owed to it in connection with the Transactions. Each party hereto acknowledges and agrees that the Agent is an intended third party beneficiary hereunder. Company acknowledges that the Agent is an affiliate of Dealer. Dealer will be acting for its own account in respect of this Agreement and the Transactions contemplated in the Confirmations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600"/>
          </w:cols>
          <w:pgMar w:left="900" w:top="1345" w:right="39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the day and the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231F20"/>
        </w:rPr>
        <w:t>ENPHASE ENERGY, INC.</w:t>
      </w:r>
    </w:p>
    <w:p>
      <w:pPr>
        <w:spacing w:after="0" w:line="2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76073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760730" cy="698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231F20"/>
        </w:rPr>
        <w:t>BARCLAYS BANK PLC</w:t>
      </w:r>
    </w:p>
    <w:p>
      <w:pPr>
        <w:spacing w:after="0" w:line="202"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Faiz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-4445</wp:posOffset>
            </wp:positionV>
            <wp:extent cx="60579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60579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159"/>
          </w:cols>
          <w:pgMar w:left="300" w:top="1440" w:right="1440" w:bottom="1440" w:gutter="0" w:footer="0" w:header="0"/>
        </w:sectPr>
      </w:pPr>
    </w:p>
    <w:bookmarkStart w:id="242" w:name="page243"/>
    <w:bookmarkEnd w:id="242"/>
    <w:p>
      <w:pPr>
        <w:spacing w:after="0" w:line="328" w:lineRule="exact"/>
        <w:rPr>
          <w:sz w:val="20"/>
          <w:szCs w:val="20"/>
          <w:color w:val="auto"/>
        </w:rPr>
      </w:pPr>
    </w:p>
    <w:tbl>
      <w:tblPr>
        <w:tblLayout w:type="fixed"/>
        <w:tblInd w:w="149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456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b w:val="1"/>
                <w:bCs w:val="1"/>
                <w:color w:val="auto"/>
              </w:rPr>
              <w:t>EXHIBIT A</w:t>
            </w:r>
          </w:p>
        </w:tc>
      </w:tr>
      <w:tr>
        <w:trPr>
          <w:trHeight w:val="404"/>
        </w:trPr>
        <w:tc>
          <w:tcPr>
            <w:tcW w:w="2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181"/>
        </w:trPr>
        <w:tc>
          <w:tcPr>
            <w:tcW w:w="2600" w:type="dxa"/>
            <w:vAlign w:val="bottom"/>
            <w:tcBorders>
              <w:left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VWAP Price</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Cash Settlement Amount per Warrant</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$113.77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$114.77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$115.77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$116.77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$117.77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$118.77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$141.00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$119.77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$142.00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$120.77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$143.00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$121.77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$144.00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$122.77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$123.77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$124.77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$125.77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$126.77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$127.77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$150.00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$128.77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the VWAP Price is not specified on the grid above, the Cash Settlement Amount per Warrant shall be determined based on a straight-line interpolation between the VWAP Prices or extrapolation from the VWAP Prices (as the case may be) specified on the grid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VWAP Price</w:t>
      </w:r>
      <w:r>
        <w:rPr>
          <w:rFonts w:ascii="Times New Roman" w:cs="Times New Roman" w:eastAsia="Times New Roman" w:hAnsi="Times New Roman"/>
          <w:sz w:val="14"/>
          <w:szCs w:val="14"/>
          <w:color w:val="auto"/>
        </w:rPr>
        <w:t>” means the arithmetic average of the Daily Prices for all Scheduled Trading Days in the Hedge Unwind Period.</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Daily Price</w:t>
      </w:r>
      <w:r>
        <w:rPr>
          <w:rFonts w:ascii="Times New Roman" w:cs="Times New Roman" w:eastAsia="Times New Roman" w:hAnsi="Times New Roman"/>
          <w:sz w:val="14"/>
          <w:szCs w:val="14"/>
          <w:color w:val="auto"/>
        </w:rPr>
        <w:t>” for any Scheduled Trading Day means the per Share volume-weighted average price as displayed under the heading “Bloomberg VWAP” on Bloomberg page ENPH &lt;equity&gt; AQR (or any successor thereto) in respect of the period from 9:30 a.m. to 4:00 p.m. (New York City time) on such Scheduled Trading Day (or if such volume-weighted average price is unavailable or manifestly incorrect, the market value of one Share on such Scheduled Trading Day, as determined by the Calculation Agent).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line="161" w:lineRule="exact"/>
        <w:rPr>
          <w:sz w:val="20"/>
          <w:szCs w:val="20"/>
          <w:color w:val="auto"/>
        </w:rPr>
      </w:pPr>
      <w:r>
        <w:rPr>
          <w:rFonts w:ascii="Arial" w:cs="Arial" w:eastAsia="Arial" w:hAnsi="Arial"/>
          <w:sz w:val="14"/>
          <w:szCs w:val="14"/>
          <w:color w:val="auto"/>
        </w:rPr>
        <w:t xml:space="preserve">Restricted </w:t>
      </w:r>
      <w:r>
        <w:rPr>
          <w:rFonts w:ascii="MS PGothic" w:cs="MS PGothic" w:eastAsia="MS PGothic" w:hAnsi="MS PGothic"/>
          <w:sz w:val="14"/>
          <w:szCs w:val="14"/>
          <w:color w:val="auto"/>
        </w:rPr>
        <w:t>‐</w:t>
      </w:r>
      <w:r>
        <w:rPr>
          <w:rFonts w:ascii="Arial" w:cs="Arial" w:eastAsia="Arial" w:hAnsi="Arial"/>
          <w:sz w:val="14"/>
          <w:szCs w:val="14"/>
          <w:color w:val="auto"/>
        </w:rPr>
        <w:t xml:space="preserve"> External</w:t>
      </w:r>
    </w:p>
    <w:p>
      <w:pPr>
        <w:sectPr>
          <w:pgSz w:w="11900" w:h="16838" w:orient="portrait"/>
          <w:cols w:equalWidth="0" w:num="1">
            <w:col w:w="10600"/>
          </w:cols>
          <w:pgMar w:left="900" w:top="1440" w:right="39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w:t>
      </w:r>
    </w:p>
    <w:p>
      <w:pPr>
        <w:spacing w:after="0" w:line="200" w:lineRule="exact"/>
        <w:rPr>
          <w:sz w:val="20"/>
          <w:szCs w:val="20"/>
          <w:color w:val="auto"/>
        </w:rPr>
      </w:pPr>
    </w:p>
    <w:p>
      <w:pPr>
        <w:spacing w:after="0" w:line="20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PARTIAL UNWIND AGREEMENT</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with respect to the Base Warrants Confirmation, dated May 30, 2019</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between Enphase Energy, Inc. and Credit Suisse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-20320</wp:posOffset>
            </wp:positionV>
            <wp:extent cx="294449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2944495" cy="698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both"/>
        <w:ind w:right="160" w:firstLine="509"/>
        <w:spacing w:after="0" w:line="271" w:lineRule="auto"/>
        <w:rPr>
          <w:sz w:val="20"/>
          <w:szCs w:val="20"/>
          <w:color w:val="auto"/>
        </w:rPr>
      </w:pPr>
      <w:r>
        <w:rPr>
          <w:rFonts w:ascii="Times New Roman" w:cs="Times New Roman" w:eastAsia="Times New Roman" w:hAnsi="Times New Roman"/>
          <w:sz w:val="14"/>
          <w:szCs w:val="14"/>
          <w:color w:val="auto"/>
        </w:rPr>
        <w:t>THIS PARTIAL UNWIND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with respect to the Base Warrants Confirmation (as defined below) and the Additional Warrants Confirmation (as defined below) is made as of December 14, 2020 between Enphase Energy,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Credit Suisse Capital LLC (“</w:t>
      </w:r>
      <w:r>
        <w:rPr>
          <w:rFonts w:ascii="Times New Roman" w:cs="Times New Roman" w:eastAsia="Times New Roman" w:hAnsi="Times New Roman"/>
          <w:sz w:val="14"/>
          <w:szCs w:val="14"/>
          <w:b w:val="1"/>
          <w:bCs w:val="1"/>
          <w:color w:val="auto"/>
        </w:rPr>
        <w:t>Dealer</w:t>
      </w:r>
      <w:r>
        <w:rPr>
          <w:rFonts w:ascii="Times New Roman" w:cs="Times New Roman" w:eastAsia="Times New Roman" w:hAnsi="Times New Roman"/>
          <w:sz w:val="14"/>
          <w:szCs w:val="14"/>
          <w:color w:val="auto"/>
        </w:rPr>
        <w:t>”), acting through its agent Credit Suisse Securities (USA) LLC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jc w:val="both"/>
        <w:ind w:right="200" w:firstLine="509"/>
        <w:spacing w:after="0" w:line="271" w:lineRule="auto"/>
        <w:rPr>
          <w:sz w:val="20"/>
          <w:szCs w:val="20"/>
          <w:color w:val="auto"/>
        </w:rPr>
      </w:pPr>
      <w:r>
        <w:rPr>
          <w:rFonts w:ascii="Times New Roman" w:cs="Times New Roman" w:eastAsia="Times New Roman" w:hAnsi="Times New Roman"/>
          <w:sz w:val="14"/>
          <w:szCs w:val="14"/>
          <w:color w:val="auto"/>
        </w:rPr>
        <w:t>WHEREAS, the Company and Dealer entered into (i) a Base Warrants confirmation, dated as of May 30, 2019 (the “</w:t>
      </w:r>
      <w:r>
        <w:rPr>
          <w:rFonts w:ascii="Times New Roman" w:cs="Times New Roman" w:eastAsia="Times New Roman" w:hAnsi="Times New Roman"/>
          <w:sz w:val="14"/>
          <w:szCs w:val="14"/>
          <w:b w:val="1"/>
          <w:bCs w:val="1"/>
          <w:color w:val="auto"/>
        </w:rPr>
        <w:t>Base Warrants Confirmation</w:t>
      </w:r>
      <w:r>
        <w:rPr>
          <w:rFonts w:ascii="Times New Roman" w:cs="Times New Roman" w:eastAsia="Times New Roman" w:hAnsi="Times New Roman"/>
          <w:sz w:val="14"/>
          <w:szCs w:val="14"/>
          <w:color w:val="auto"/>
        </w:rPr>
        <w:t>”) (ii) an Additional Warrants confirmation, dated as of June 4, 2019 (the “</w:t>
      </w:r>
      <w:r>
        <w:rPr>
          <w:rFonts w:ascii="Times New Roman" w:cs="Times New Roman" w:eastAsia="Times New Roman" w:hAnsi="Times New Roman"/>
          <w:sz w:val="14"/>
          <w:szCs w:val="14"/>
          <w:b w:val="1"/>
          <w:bCs w:val="1"/>
          <w:color w:val="auto"/>
        </w:rPr>
        <w:t>Additional Warrants Confirmation</w:t>
      </w:r>
      <w:r>
        <w:rPr>
          <w:rFonts w:ascii="Times New Roman" w:cs="Times New Roman" w:eastAsia="Times New Roman" w:hAnsi="Times New Roman"/>
          <w:sz w:val="14"/>
          <w:szCs w:val="14"/>
          <w:color w:val="auto"/>
        </w:rPr>
        <w:t>" and together with the Base Warrants Confirmation, the “</w:t>
      </w:r>
      <w:r>
        <w:rPr>
          <w:rFonts w:ascii="Times New Roman" w:cs="Times New Roman" w:eastAsia="Times New Roman" w:hAnsi="Times New Roman"/>
          <w:sz w:val="14"/>
          <w:szCs w:val="14"/>
          <w:b w:val="1"/>
          <w:bCs w:val="1"/>
          <w:color w:val="auto"/>
        </w:rPr>
        <w:t>Warrants Confirmations</w:t>
      </w:r>
      <w:r>
        <w:rPr>
          <w:rFonts w:ascii="Times New Roman" w:cs="Times New Roman" w:eastAsia="Times New Roman" w:hAnsi="Times New Roman"/>
          <w:sz w:val="14"/>
          <w:szCs w:val="14"/>
          <w:color w:val="auto"/>
        </w:rPr>
        <w:t>”), pursuant to which the Company issued to Dealer warrants to purchase shares of common stock of the Company (the “</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right="180" w:firstLine="509"/>
        <w:spacing w:after="0" w:line="290" w:lineRule="auto"/>
        <w:rPr>
          <w:sz w:val="20"/>
          <w:szCs w:val="20"/>
          <w:color w:val="auto"/>
        </w:rPr>
      </w:pPr>
      <w:r>
        <w:rPr>
          <w:rFonts w:ascii="Times New Roman" w:cs="Times New Roman" w:eastAsia="Times New Roman" w:hAnsi="Times New Roman"/>
          <w:sz w:val="14"/>
          <w:szCs w:val="14"/>
          <w:color w:val="auto"/>
        </w:rPr>
        <w:t>WHEREAS, the Company has requested, and Dealer has agreed, to unwind the Base Warrants Confirmation with respect to 1,283,644 Warrants (the “</w:t>
      </w:r>
      <w:r>
        <w:rPr>
          <w:rFonts w:ascii="Times New Roman" w:cs="Times New Roman" w:eastAsia="Times New Roman" w:hAnsi="Times New Roman"/>
          <w:sz w:val="14"/>
          <w:szCs w:val="14"/>
          <w:b w:val="1"/>
          <w:bCs w:val="1"/>
          <w:color w:val="auto"/>
        </w:rPr>
        <w:t>Unwind Warrants</w:t>
      </w:r>
      <w:r>
        <w:rPr>
          <w:rFonts w:ascii="Times New Roman" w:cs="Times New Roman" w:eastAsia="Times New Roman" w:hAnsi="Times New Roman"/>
          <w:sz w:val="14"/>
          <w:szCs w:val="14"/>
          <w:color w:val="auto"/>
        </w:rPr>
        <w:t>”) underlying the Base Warrants Confirmation;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in consideration of their mutual covenants herein contained, the parties hereto, intending to be legally bound, hereby mutually covenant and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196" w:lineRule="exact"/>
        <w:rPr>
          <w:sz w:val="20"/>
          <w:szCs w:val="20"/>
          <w:color w:val="auto"/>
        </w:rPr>
      </w:pPr>
    </w:p>
    <w:p>
      <w:pPr>
        <w:ind w:left="760" w:hanging="244"/>
        <w:spacing w:after="0"/>
        <w:tabs>
          <w:tab w:leader="none" w:pos="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Any capitalized term not otherwise defined herein shall have the meaning set forth for such term in the Warrants Confirmations.</w:t>
      </w:r>
    </w:p>
    <w:p>
      <w:pPr>
        <w:spacing w:after="0" w:line="199" w:lineRule="exact"/>
        <w:rPr>
          <w:rFonts w:ascii="Times New Roman" w:cs="Times New Roman" w:eastAsia="Times New Roman" w:hAnsi="Times New Roman"/>
          <w:sz w:val="14"/>
          <w:szCs w:val="14"/>
          <w:color w:val="auto"/>
        </w:rPr>
      </w:pPr>
    </w:p>
    <w:p>
      <w:pPr>
        <w:ind w:right="160" w:firstLine="516"/>
        <w:spacing w:after="0" w:line="287" w:lineRule="auto"/>
        <w:tabs>
          <w:tab w:leader="none" w:pos="75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Warrants Unwind</w:t>
      </w:r>
      <w:r>
        <w:rPr>
          <w:rFonts w:ascii="Times New Roman" w:cs="Times New Roman" w:eastAsia="Times New Roman" w:hAnsi="Times New Roman"/>
          <w:sz w:val="14"/>
          <w:szCs w:val="14"/>
          <w:color w:val="auto"/>
        </w:rPr>
        <w:t>. On the Delivery Date (as defined below), the Number of Warrants in the Base Warrants Confirmation shall be reduced by the number of Unwind Warrants, from 3,512,023 to 2,228,379.</w:t>
      </w:r>
    </w:p>
    <w:p>
      <w:pPr>
        <w:spacing w:after="0" w:line="145" w:lineRule="exact"/>
        <w:rPr>
          <w:rFonts w:ascii="Times New Roman" w:cs="Times New Roman" w:eastAsia="Times New Roman" w:hAnsi="Times New Roman"/>
          <w:sz w:val="14"/>
          <w:szCs w:val="14"/>
          <w:color w:val="auto"/>
        </w:rPr>
      </w:pPr>
    </w:p>
    <w:p>
      <w:pPr>
        <w:ind w:left="760" w:hanging="244"/>
        <w:spacing w:after="0"/>
        <w:tabs>
          <w:tab w:leader="none" w:pos="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99" w:lineRule="exact"/>
        <w:rPr>
          <w:rFonts w:ascii="Times New Roman" w:cs="Times New Roman" w:eastAsia="Times New Roman" w:hAnsi="Times New Roman"/>
          <w:sz w:val="14"/>
          <w:szCs w:val="14"/>
          <w:color w:val="auto"/>
        </w:rPr>
      </w:pPr>
    </w:p>
    <w:p>
      <w:pPr>
        <w:ind w:right="180" w:firstLine="516"/>
        <w:spacing w:after="0" w:line="287" w:lineRule="auto"/>
        <w:tabs>
          <w:tab w:leader="none" w:pos="801"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Procedures for Partial Unwind. Pursuant to the terms of this Agreement, during the Hedge Unwind Period (as defined below) Dealer (or an affiliate of Dealer), for the account of Dealer, shall unwind a portion of its hedge of the Warrants underlying the Base Warrants Confirmation.</w:t>
      </w:r>
    </w:p>
    <w:p>
      <w:pPr>
        <w:spacing w:after="0" w:line="145" w:lineRule="exact"/>
        <w:rPr>
          <w:rFonts w:ascii="Times New Roman" w:cs="Times New Roman" w:eastAsia="Times New Roman" w:hAnsi="Times New Roman"/>
          <w:sz w:val="14"/>
          <w:szCs w:val="14"/>
          <w:color w:val="auto"/>
        </w:rPr>
      </w:pPr>
    </w:p>
    <w:p>
      <w:pPr>
        <w:jc w:val="both"/>
        <w:ind w:right="160" w:firstLine="516"/>
        <w:spacing w:after="0" w:line="261" w:lineRule="auto"/>
        <w:tabs>
          <w:tab w:leader="none" w:pos="76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w:t>
      </w:r>
      <w:r>
        <w:rPr>
          <w:rFonts w:ascii="Times New Roman" w:cs="Times New Roman" w:eastAsia="Times New Roman" w:hAnsi="Times New Roman"/>
          <w:sz w:val="14"/>
          <w:szCs w:val="14"/>
          <w:color w:val="auto"/>
        </w:rPr>
        <w:t>. On the first Scheduled Trading Day following the conclusion of the Hedge Unwind Period, or if such day is not a Currency Business Day, on the next Currency Business Day immediately following such day (the “</w:t>
      </w:r>
      <w:r>
        <w:rPr>
          <w:rFonts w:ascii="Times New Roman" w:cs="Times New Roman" w:eastAsia="Times New Roman" w:hAnsi="Times New Roman"/>
          <w:sz w:val="14"/>
          <w:szCs w:val="14"/>
          <w:b w:val="1"/>
          <w:bCs w:val="1"/>
          <w:color w:val="auto"/>
        </w:rPr>
        <w:t>Delivery Date</w:t>
      </w:r>
      <w:r>
        <w:rPr>
          <w:rFonts w:ascii="Times New Roman" w:cs="Times New Roman" w:eastAsia="Times New Roman" w:hAnsi="Times New Roman"/>
          <w:sz w:val="14"/>
          <w:szCs w:val="14"/>
          <w:color w:val="auto"/>
        </w:rPr>
        <w:t xml:space="preserve">”), the Company shall deliver to Dealer a number of Shares equal to an amount equal to the </w:t>
      </w: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xml:space="preserve"> of (i) the number of Unwind Warrants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Cash Settlement Amount per Warrant in respect of such Hedge Unwind Period (as determined based on the grid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(iii) the VWAP Price (as defined on the attached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t>
      </w:r>
      <w:r>
        <w:rPr>
          <w:rFonts w:ascii="Times New Roman" w:cs="Times New Roman" w:eastAsia="Times New Roman" w:hAnsi="Times New Roman"/>
          <w:sz w:val="14"/>
          <w:szCs w:val="14"/>
          <w:b w:val="1"/>
          <w:bCs w:val="1"/>
          <w:color w:val="auto"/>
        </w:rPr>
        <w:t>Hedge Unwind Period</w:t>
      </w:r>
      <w:r>
        <w:rPr>
          <w:rFonts w:ascii="Times New Roman" w:cs="Times New Roman" w:eastAsia="Times New Roman" w:hAnsi="Times New Roman"/>
          <w:sz w:val="14"/>
          <w:szCs w:val="14"/>
          <w:color w:val="auto"/>
        </w:rPr>
        <w:t>” means December 15, 2020, subject to the immediately succeeding paragraph.</w:t>
      </w:r>
    </w:p>
    <w:p>
      <w:pPr>
        <w:sectPr>
          <w:pgSz w:w="11900" w:h="16838" w:orient="portrait"/>
          <w:cols w:equalWidth="0" w:num="1">
            <w:col w:w="10660"/>
          </w:cols>
          <w:pgMar w:left="920" w:top="1332" w:right="319" w:bottom="1440" w:gutter="0" w:footer="0" w:header="0"/>
        </w:sectPr>
      </w:pPr>
    </w:p>
    <w:bookmarkStart w:id="244" w:name="page245"/>
    <w:bookmarkEnd w:id="244"/>
    <w:p>
      <w:pPr>
        <w:jc w:val="both"/>
        <w:ind w:left="40" w:right="180" w:firstLine="1019"/>
        <w:spacing w:after="0" w:line="257" w:lineRule="auto"/>
        <w:rPr>
          <w:sz w:val="20"/>
          <w:szCs w:val="20"/>
          <w:color w:val="auto"/>
        </w:rPr>
      </w:pPr>
      <w:r>
        <w:rPr>
          <w:rFonts w:ascii="Times New Roman" w:cs="Times New Roman" w:eastAsia="Times New Roman" w:hAnsi="Times New Roman"/>
          <w:sz w:val="14"/>
          <w:szCs w:val="14"/>
          <w:color w:val="auto"/>
        </w:rPr>
        <w:t>Notwithstanding anything to the contrary in this Agreement, if (i) the Scheduled Trading Day during any Hedge Unwind Period is a Disrupted Day (as defined in the Warrants Confirmations) or (ii) Dealer determines, based on the advice of counsel, that on any Scheduled Trading Day during the Hedge Unwind Period an extension of such Hedge Unwind Period is reasonably necessary or advisable to preserve Dealer’s hedge unwind activity hereunder in light of existing liquidity conditions or to enable Dealer to effect sales of Shares in connection with its hedge unwind activity hereunder in a manner that would be in compliance with applicable legal, regulatory or self-regulatory requirements, or with related policies and procedures applicable to Dealer, then the Daily Price for such Scheduled Trading Day(s) shall be the volume-weighted average price per Share on such Scheduled Trading Day on the Exchange, as determined by the Calculation Agent based on transactions in the Shares on such Scheduled Trading Day taking into account, if applicable, the nature and duration of such Market Disruption Event, and the number of Scheduled Trading Days and the Cash Settlement Amount per Warrant related to the Hedge Unwind Period shall be adjusted by the Calculation Agent to account for such disruption and/or extension.</w:t>
      </w:r>
    </w:p>
    <w:p>
      <w:pPr>
        <w:spacing w:after="0" w:line="170" w:lineRule="exact"/>
        <w:rPr>
          <w:sz w:val="20"/>
          <w:szCs w:val="20"/>
          <w:color w:val="auto"/>
        </w:rPr>
      </w:pPr>
    </w:p>
    <w:p>
      <w:pPr>
        <w:ind w:left="560"/>
        <w:spacing w:after="0"/>
        <w:tabs>
          <w:tab w:leader="none" w:pos="780" w:val="left"/>
        </w:tabs>
        <w:rPr>
          <w:sz w:val="20"/>
          <w:szCs w:val="20"/>
          <w:color w:val="auto"/>
        </w:rPr>
      </w:pP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Dealer on the date hereof that:</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45" w:lineRule="exact"/>
        <w:rPr>
          <w:sz w:val="20"/>
          <w:szCs w:val="20"/>
          <w:color w:val="auto"/>
        </w:rPr>
      </w:pPr>
    </w:p>
    <w:p>
      <w:pPr>
        <w:ind w:left="40" w:right="80" w:firstLine="1026"/>
        <w:spacing w:after="0" w:line="287" w:lineRule="auto"/>
        <w:tabs>
          <w:tab w:leader="none" w:pos="1399"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the Company, any provision of its constitutional documents, any order or judgment of any court or other agency of government applicable to it or any of its assets or any contractual restriction binding on or affecting it or any of its assets;</w:t>
      </w:r>
    </w:p>
    <w:p>
      <w:pPr>
        <w:spacing w:after="0" w:line="156" w:lineRule="exact"/>
        <w:rPr>
          <w:rFonts w:ascii="Times New Roman" w:cs="Times New Roman" w:eastAsia="Times New Roman" w:hAnsi="Times New Roman"/>
          <w:sz w:val="14"/>
          <w:szCs w:val="14"/>
          <w:color w:val="auto"/>
        </w:rPr>
      </w:pPr>
    </w:p>
    <w:p>
      <w:pPr>
        <w:ind w:left="40" w:right="80" w:firstLine="1026"/>
        <w:spacing w:after="0" w:line="287" w:lineRule="auto"/>
        <w:tabs>
          <w:tab w:leader="none" w:pos="1395"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the Company with respect to this Agreement have been obtained and are in full force and effect and all conditions of any such consents have been complied with;</w:t>
      </w:r>
    </w:p>
    <w:p>
      <w:pPr>
        <w:spacing w:after="0" w:line="145" w:lineRule="exact"/>
        <w:rPr>
          <w:rFonts w:ascii="Times New Roman" w:cs="Times New Roman" w:eastAsia="Times New Roman" w:hAnsi="Times New Roman"/>
          <w:sz w:val="14"/>
          <w:szCs w:val="14"/>
          <w:color w:val="auto"/>
        </w:rPr>
      </w:pPr>
    </w:p>
    <w:p>
      <w:pPr>
        <w:jc w:val="both"/>
        <w:ind w:left="40" w:right="80" w:firstLine="1026"/>
        <w:spacing w:after="0" w:line="270" w:lineRule="auto"/>
        <w:tabs>
          <w:tab w:leader="none" w:pos="1377"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56" w:lineRule="exact"/>
        <w:rPr>
          <w:rFonts w:ascii="Times New Roman" w:cs="Times New Roman" w:eastAsia="Times New Roman" w:hAnsi="Times New Roman"/>
          <w:sz w:val="14"/>
          <w:szCs w:val="14"/>
          <w:color w:val="auto"/>
        </w:rPr>
      </w:pPr>
    </w:p>
    <w:p>
      <w:pPr>
        <w:ind w:left="1360" w:hanging="294"/>
        <w:spacing w:after="0"/>
        <w:tabs>
          <w:tab w:leader="none" w:pos="136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affiliates is not in possession of any material nonpublic information regarding the Company or its common stock;</w:t>
      </w:r>
    </w:p>
    <w:p>
      <w:pPr>
        <w:spacing w:after="0" w:line="210" w:lineRule="exact"/>
        <w:rPr>
          <w:rFonts w:ascii="Times New Roman" w:cs="Times New Roman" w:eastAsia="Times New Roman" w:hAnsi="Times New Roman"/>
          <w:sz w:val="14"/>
          <w:szCs w:val="14"/>
          <w:color w:val="auto"/>
        </w:rPr>
      </w:pPr>
    </w:p>
    <w:p>
      <w:pPr>
        <w:jc w:val="both"/>
        <w:ind w:left="40" w:right="80" w:firstLine="1026"/>
        <w:spacing w:after="0" w:line="270" w:lineRule="auto"/>
        <w:tabs>
          <w:tab w:leader="none" w:pos="1357"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 dealer in writing; and (C) has total assets of at least $50 million;</w:t>
      </w:r>
    </w:p>
    <w:p>
      <w:pPr>
        <w:spacing w:after="0" w:line="156" w:lineRule="exact"/>
        <w:rPr>
          <w:rFonts w:ascii="Times New Roman" w:cs="Times New Roman" w:eastAsia="Times New Roman" w:hAnsi="Times New Roman"/>
          <w:sz w:val="14"/>
          <w:szCs w:val="14"/>
          <w:color w:val="auto"/>
        </w:rPr>
      </w:pPr>
    </w:p>
    <w:p>
      <w:pPr>
        <w:jc w:val="both"/>
        <w:ind w:left="40" w:right="80" w:firstLine="1026"/>
        <w:spacing w:after="0" w:line="270" w:lineRule="auto"/>
        <w:tabs>
          <w:tab w:leader="none" w:pos="1371"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entering into this Agreement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w:t>
      </w:r>
    </w:p>
    <w:p>
      <w:pPr>
        <w:sectPr>
          <w:pgSz w:w="11900" w:h="16838" w:orient="portrait"/>
          <w:cols w:equalWidth="0" w:num="1">
            <w:col w:w="10700"/>
          </w:cols>
          <w:pgMar w:left="880" w:top="1143" w:right="319" w:bottom="1440" w:gutter="0" w:footer="0" w:header="0"/>
        </w:sectPr>
      </w:pPr>
    </w:p>
    <w:bookmarkStart w:id="245" w:name="page246"/>
    <w:bookmarkEnd w:id="245"/>
    <w:p>
      <w:pPr>
        <w:ind w:firstLine="1026"/>
        <w:spacing w:after="0" w:line="287" w:lineRule="auto"/>
        <w:tabs>
          <w:tab w:leader="none" w:pos="1331"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 “eligible contract participant” (as such term is defined in Section 1a(18) of the Commodity Exchange Act, as amended, other than a person that is an eligible contract participant under Section 1a(18)(C) of the Commodity Exchange Act);</w:t>
      </w:r>
    </w:p>
    <w:p>
      <w:pPr>
        <w:spacing w:after="0" w:line="145" w:lineRule="exact"/>
        <w:rPr>
          <w:rFonts w:ascii="Times New Roman" w:cs="Times New Roman" w:eastAsia="Times New Roman" w:hAnsi="Times New Roman"/>
          <w:sz w:val="14"/>
          <w:szCs w:val="14"/>
          <w:color w:val="auto"/>
        </w:rPr>
      </w:pPr>
    </w:p>
    <w:p>
      <w:pPr>
        <w:ind w:firstLine="1026"/>
        <w:spacing w:after="0" w:line="287" w:lineRule="auto"/>
        <w:tabs>
          <w:tab w:leader="none" w:pos="131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after consummation of the transactions contemplated hereby, will not be required to register as an “investment company” as such term is defined in the Investment Company Act of 1940, as amended;</w:t>
      </w:r>
    </w:p>
    <w:p>
      <w:pPr>
        <w:spacing w:after="0" w:line="156" w:lineRule="exact"/>
        <w:rPr>
          <w:rFonts w:ascii="Times New Roman" w:cs="Times New Roman" w:eastAsia="Times New Roman" w:hAnsi="Times New Roman"/>
          <w:sz w:val="14"/>
          <w:szCs w:val="14"/>
          <w:color w:val="auto"/>
        </w:rPr>
      </w:pPr>
    </w:p>
    <w:p>
      <w:pPr>
        <w:jc w:val="both"/>
        <w:ind w:firstLine="1026"/>
        <w:spacing w:after="0" w:line="264" w:lineRule="auto"/>
        <w:tabs>
          <w:tab w:leader="none" w:pos="1376"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day during the Hedge Unwind Period, the Shares shall not be subject to a “restricted period,” as such term is defined in Regulation M under the Exchange Act and that the Company shall not engage in any “distribution,” as such term is defined in Regulation M under the Exchange Act, other than a distribution meeting the requirements of the exceptions set forth in sections 101(b)(10) and 102(b)(7) of Regulation M under the Exchange Act, until the second Exchange Business Day immediately following the last day of the Hedge Unwind Period;</w:t>
      </w:r>
    </w:p>
    <w:p>
      <w:pPr>
        <w:spacing w:after="0" w:line="161" w:lineRule="exact"/>
        <w:rPr>
          <w:rFonts w:ascii="Times New Roman" w:cs="Times New Roman" w:eastAsia="Times New Roman" w:hAnsi="Times New Roman"/>
          <w:sz w:val="14"/>
          <w:szCs w:val="14"/>
          <w:color w:val="auto"/>
        </w:rPr>
      </w:pPr>
    </w:p>
    <w:p>
      <w:pPr>
        <w:jc w:val="both"/>
        <w:ind w:firstLine="1026"/>
        <w:spacing w:after="0" w:line="264" w:lineRule="auto"/>
        <w:tabs>
          <w:tab w:leader="none" w:pos="1325"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on each Scheduled Trading Day during the Hedge Unwind Period, neither the Company nor any “affiliated purchaser” (as defined in Rule 10b-18 of the Exchange Act)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and</w:t>
      </w:r>
    </w:p>
    <w:p>
      <w:pPr>
        <w:spacing w:after="0" w:line="161" w:lineRule="exact"/>
        <w:rPr>
          <w:rFonts w:ascii="Times New Roman" w:cs="Times New Roman" w:eastAsia="Times New Roman" w:hAnsi="Times New Roman"/>
          <w:sz w:val="14"/>
          <w:szCs w:val="14"/>
          <w:color w:val="auto"/>
        </w:rPr>
      </w:pPr>
    </w:p>
    <w:p>
      <w:pPr>
        <w:jc w:val="both"/>
        <w:ind w:firstLine="1026"/>
        <w:spacing w:after="0" w:line="270" w:lineRule="auto"/>
        <w:tabs>
          <w:tab w:leader="none" w:pos="1296"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prior to the date hereof it has notified Dealer of the total number of Shares, if any, purchased by or for the Company or any of its affiliated purchasers in Rule 10b-18 purchases of blocks (all as defined in Rule 10b-18 under the Exchange Act) pursuant to the once-a-week block exception set forth in Rule 10b-18(b)(4) during the four full calendar weeks immediately preceding the date hereof.</w:t>
      </w:r>
    </w:p>
    <w:p>
      <w:pPr>
        <w:spacing w:after="0" w:line="168" w:lineRule="exact"/>
        <w:rPr>
          <w:sz w:val="20"/>
          <w:szCs w:val="20"/>
          <w:color w:val="auto"/>
        </w:rPr>
      </w:pPr>
    </w:p>
    <w:p>
      <w:pPr>
        <w:ind w:left="520"/>
        <w:spacing w:after="0"/>
        <w:tabs>
          <w:tab w:leader="none" w:pos="740" w:val="left"/>
        </w:tabs>
        <w:rPr>
          <w:sz w:val="20"/>
          <w:szCs w:val="20"/>
          <w:color w:val="auto"/>
        </w:rPr>
      </w:pPr>
      <w:r>
        <w:rPr>
          <w:rFonts w:ascii="Times New Roman" w:cs="Times New Roman" w:eastAsia="Times New Roman" w:hAnsi="Times New Roman"/>
          <w:sz w:val="14"/>
          <w:szCs w:val="14"/>
          <w:color w:val="auto"/>
        </w:rPr>
        <w:t>7.</w:t>
      </w:r>
      <w:r>
        <w:rPr>
          <w:sz w:val="20"/>
          <w:szCs w:val="20"/>
          <w:color w:val="auto"/>
        </w:rPr>
        <w:tab/>
      </w:r>
      <w:r>
        <w:rPr>
          <w:rFonts w:ascii="Times New Roman" w:cs="Times New Roman" w:eastAsia="Times New Roman" w:hAnsi="Times New Roman"/>
          <w:sz w:val="14"/>
          <w:szCs w:val="14"/>
          <w:u w:val="single" w:color="auto"/>
          <w:color w:val="auto"/>
        </w:rPr>
        <w:t>Representations and Warranties of Dealer</w:t>
      </w:r>
      <w:r>
        <w:rPr>
          <w:rFonts w:ascii="Times New Roman" w:cs="Times New Roman" w:eastAsia="Times New Roman" w:hAnsi="Times New Roman"/>
          <w:sz w:val="14"/>
          <w:szCs w:val="14"/>
          <w:color w:val="auto"/>
        </w:rPr>
        <w:t>. Dealer represents and warrants to the Company on the date hereof that:</w:t>
      </w:r>
    </w:p>
    <w:p>
      <w:pPr>
        <w:spacing w:after="0" w:line="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Dealer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59" w:lineRule="exact"/>
        <w:rPr>
          <w:sz w:val="20"/>
          <w:szCs w:val="20"/>
          <w:color w:val="auto"/>
        </w:rPr>
      </w:pPr>
    </w:p>
    <w:p>
      <w:pPr>
        <w:ind w:firstLine="1026"/>
        <w:spacing w:after="0" w:line="287" w:lineRule="auto"/>
        <w:tabs>
          <w:tab w:leader="none" w:pos="1343"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execution, delivery and performance do not violate or conflict with any law applicable to Dealer, any provision of its constitutional documents, any order or judgment of any court or other agency of government applicable to it or any of its assets or any contractual restriction binding on or affecting it or any of its assets;</w:t>
      </w:r>
    </w:p>
    <w:p>
      <w:pPr>
        <w:spacing w:after="0" w:line="145" w:lineRule="exact"/>
        <w:rPr>
          <w:rFonts w:ascii="Times New Roman" w:cs="Times New Roman" w:eastAsia="Times New Roman" w:hAnsi="Times New Roman"/>
          <w:sz w:val="14"/>
          <w:szCs w:val="14"/>
          <w:color w:val="auto"/>
        </w:rPr>
      </w:pPr>
    </w:p>
    <w:p>
      <w:pPr>
        <w:ind w:firstLine="1026"/>
        <w:spacing w:after="0" w:line="287" w:lineRule="auto"/>
        <w:tabs>
          <w:tab w:leader="none" w:pos="1329"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governmental and other consents that are required to have been obtained by Dealer with respect to this Agreement have been obtained and are in full force and effect and all conditions of any such consents have been complied with; and</w:t>
      </w:r>
    </w:p>
    <w:p>
      <w:pPr>
        <w:spacing w:after="0" w:line="145" w:lineRule="exact"/>
        <w:rPr>
          <w:rFonts w:ascii="Times New Roman" w:cs="Times New Roman" w:eastAsia="Times New Roman" w:hAnsi="Times New Roman"/>
          <w:sz w:val="14"/>
          <w:szCs w:val="14"/>
          <w:color w:val="auto"/>
        </w:rPr>
      </w:pPr>
    </w:p>
    <w:p>
      <w:pPr>
        <w:jc w:val="both"/>
        <w:ind w:firstLine="1026"/>
        <w:spacing w:after="0" w:line="270" w:lineRule="auto"/>
        <w:tabs>
          <w:tab w:leader="none" w:pos="1401"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obligations under this Agreement constitute its legal, valid and binding obligations, enforceable in accordance with its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56" w:lineRule="exact"/>
        <w:rPr>
          <w:rFonts w:ascii="Times New Roman" w:cs="Times New Roman" w:eastAsia="Times New Roman" w:hAnsi="Times New Roman"/>
          <w:sz w:val="14"/>
          <w:szCs w:val="14"/>
          <w:color w:val="auto"/>
        </w:rPr>
      </w:pPr>
    </w:p>
    <w:p>
      <w:pPr>
        <w:ind w:left="760" w:hanging="244"/>
        <w:spacing w:after="0"/>
        <w:tabs>
          <w:tab w:leader="none" w:pos="76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 for Payment to the Company</w:t>
      </w:r>
      <w:r>
        <w:rPr>
          <w:rFonts w:ascii="Times New Roman" w:cs="Times New Roman" w:eastAsia="Times New Roman" w:hAnsi="Times New Roman"/>
          <w:sz w:val="14"/>
          <w:szCs w:val="14"/>
          <w:color w:val="auto"/>
        </w:rPr>
        <w:t>:</w:t>
      </w:r>
    </w:p>
    <w:p>
      <w:pPr>
        <w:spacing w:after="0" w:line="2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To be advised.</w:t>
      </w:r>
    </w:p>
    <w:p>
      <w:pPr>
        <w:sectPr>
          <w:pgSz w:w="11900" w:h="16838" w:orient="portrait"/>
          <w:cols w:equalWidth="0" w:num="1">
            <w:col w:w="10580"/>
          </w:cols>
          <w:pgMar w:left="920" w:top="1143" w:right="399" w:bottom="1440" w:gutter="0" w:footer="0" w:header="0"/>
        </w:sectPr>
      </w:pPr>
    </w:p>
    <w:bookmarkStart w:id="246" w:name="page247"/>
    <w:bookmarkEnd w:id="246"/>
    <w:p>
      <w:pPr>
        <w:ind w:left="760" w:hanging="244"/>
        <w:spacing w:after="0"/>
        <w:tabs>
          <w:tab w:leader="none" w:pos="76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and construed in accordance with the laws of the State of New York (without reference to choice of law doctrine).</w:t>
      </w:r>
    </w:p>
    <w:p>
      <w:pPr>
        <w:spacing w:after="0" w:line="199" w:lineRule="exact"/>
        <w:rPr>
          <w:rFonts w:ascii="Times New Roman" w:cs="Times New Roman" w:eastAsia="Times New Roman" w:hAnsi="Times New Roman"/>
          <w:sz w:val="14"/>
          <w:szCs w:val="14"/>
          <w:color w:val="auto"/>
        </w:rPr>
      </w:pPr>
    </w:p>
    <w:p>
      <w:pPr>
        <w:ind w:firstLine="516"/>
        <w:spacing w:after="0" w:line="287" w:lineRule="auto"/>
        <w:tabs>
          <w:tab w:leader="none" w:pos="84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Other Changes</w:t>
      </w:r>
      <w:r>
        <w:rPr>
          <w:rFonts w:ascii="Times New Roman" w:cs="Times New Roman" w:eastAsia="Times New Roman" w:hAnsi="Times New Roman"/>
          <w:sz w:val="14"/>
          <w:szCs w:val="14"/>
          <w:color w:val="auto"/>
        </w:rPr>
        <w:t>. Except as expressly set forth herein, all of the terms and conditions of the Warrants Confirmations shall remain in full force and effect and are hereby confirmed in all respects.</w:t>
      </w:r>
    </w:p>
    <w:p>
      <w:pPr>
        <w:spacing w:after="0" w:line="145" w:lineRule="exact"/>
        <w:rPr>
          <w:rFonts w:ascii="Times New Roman" w:cs="Times New Roman" w:eastAsia="Times New Roman" w:hAnsi="Times New Roman"/>
          <w:sz w:val="14"/>
          <w:szCs w:val="14"/>
          <w:color w:val="auto"/>
        </w:rPr>
      </w:pPr>
    </w:p>
    <w:p>
      <w:pPr>
        <w:ind w:right="20" w:firstLine="516"/>
        <w:spacing w:after="0" w:line="287" w:lineRule="auto"/>
        <w:tabs>
          <w:tab w:leader="none" w:pos="833"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signed in any number of counterparts, each of which shall be an original, with the same effect as if all of the signatures thereto and hereto were upon the same instrument.</w:t>
      </w:r>
    </w:p>
    <w:p>
      <w:pPr>
        <w:spacing w:after="0" w:line="145" w:lineRule="exact"/>
        <w:rPr>
          <w:rFonts w:ascii="Times New Roman" w:cs="Times New Roman" w:eastAsia="Times New Roman" w:hAnsi="Times New Roman"/>
          <w:sz w:val="14"/>
          <w:szCs w:val="14"/>
          <w:color w:val="auto"/>
        </w:rPr>
      </w:pPr>
    </w:p>
    <w:p>
      <w:pPr>
        <w:jc w:val="both"/>
        <w:ind w:firstLine="516"/>
        <w:spacing w:after="0" w:line="270" w:lineRule="auto"/>
        <w:tabs>
          <w:tab w:leader="none" w:pos="849"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Reliance, etc</w:t>
      </w:r>
      <w:r>
        <w:rPr>
          <w:rFonts w:ascii="Times New Roman" w:cs="Times New Roman" w:eastAsia="Times New Roman" w:hAnsi="Times New Roman"/>
          <w:sz w:val="14"/>
          <w:szCs w:val="14"/>
          <w:color w:val="auto"/>
        </w:rPr>
        <w:t>. The Company hereby confirms that it has relied on the advice of its own counsel and other advisors (to the extent it deems appropriate) with respect to any legal, tax, accounting, or regulatory consequences of this Agreement, that it has not relied on Dealer or its affiliates in any respect in connection therewith, and that it will not hold Dealer or its affiliates accountable for any such consequences.</w:t>
      </w:r>
    </w:p>
    <w:p>
      <w:pPr>
        <w:spacing w:after="0" w:line="156" w:lineRule="exact"/>
        <w:rPr>
          <w:rFonts w:ascii="Times New Roman" w:cs="Times New Roman" w:eastAsia="Times New Roman" w:hAnsi="Times New Roman"/>
          <w:sz w:val="14"/>
          <w:szCs w:val="14"/>
          <w:color w:val="auto"/>
        </w:rPr>
      </w:pPr>
    </w:p>
    <w:p>
      <w:pPr>
        <w:jc w:val="both"/>
        <w:ind w:firstLine="516"/>
        <w:spacing w:after="0" w:line="261" w:lineRule="auto"/>
        <w:tabs>
          <w:tab w:leader="none" w:pos="827"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Acknowledgments and Agreements</w:t>
      </w:r>
      <w:r>
        <w:rPr>
          <w:rFonts w:ascii="Times New Roman" w:cs="Times New Roman" w:eastAsia="Times New Roman" w:hAnsi="Times New Roman"/>
          <w:sz w:val="14"/>
          <w:szCs w:val="14"/>
          <w:color w:val="auto"/>
        </w:rPr>
        <w:t>. The Company acknowledges and agrees that (i) the Company does not have, and shall not attempt to exercise, any influence over how, when or whether to effect sales of the Shares by Dealer (or its agent or affiliate) in connection with this Agreement and (ii) the Company is entering into this Agreement in good faith and not as part of a plan or scheme to evade compliance with federal securities laws including, without limitation, Rule 10b-5 promulgated under the Securities Exchange Act of 1934, as amended. For the avoidance of doubt, the Company agrees that Section 13.2 of the Equity Definitions remains applicable with respect to any Hedge Positions and Hedging Activities of Dealer in respect of the Transactions subject to the Warrants Confirmations and the transactions contemplated by this Agreement.</w:t>
      </w:r>
    </w:p>
    <w:p>
      <w:pPr>
        <w:spacing w:after="0" w:line="164" w:lineRule="exact"/>
        <w:rPr>
          <w:rFonts w:ascii="Times New Roman" w:cs="Times New Roman" w:eastAsia="Times New Roman" w:hAnsi="Times New Roman"/>
          <w:sz w:val="14"/>
          <w:szCs w:val="14"/>
          <w:color w:val="auto"/>
        </w:rPr>
      </w:pPr>
    </w:p>
    <w:p>
      <w:pPr>
        <w:jc w:val="both"/>
        <w:ind w:firstLine="516"/>
        <w:spacing w:after="0" w:line="270" w:lineRule="auto"/>
        <w:tabs>
          <w:tab w:leader="none" w:pos="838"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Unwind Warrants</w:t>
      </w:r>
      <w:r>
        <w:rPr>
          <w:rFonts w:ascii="Times New Roman" w:cs="Times New Roman" w:eastAsia="Times New Roman" w:hAnsi="Times New Roman"/>
          <w:sz w:val="14"/>
          <w:szCs w:val="14"/>
          <w:color w:val="auto"/>
        </w:rPr>
        <w:t xml:space="preserve">. Except for the delivery pursuant to this Agreement, the parties agree that no payments or deliveries shall become due or payable and no exercises shall occur, with respect to the Unwind Warrants;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until the last day of the Hedge Unwind Period, the “Cash Settlement Amount per Warrant” shall remain subject to adjustment by the Calculation Agent in a manner consistent with, and for the same events that would result in an adjustment to the terms of, the Warrants Confirmations.</w:t>
      </w:r>
    </w:p>
    <w:p>
      <w:pPr>
        <w:spacing w:after="0" w:line="156" w:lineRule="exact"/>
        <w:rPr>
          <w:rFonts w:ascii="Times New Roman" w:cs="Times New Roman" w:eastAsia="Times New Roman" w:hAnsi="Times New Roman"/>
          <w:sz w:val="14"/>
          <w:szCs w:val="14"/>
          <w:color w:val="auto"/>
        </w:rPr>
      </w:pPr>
    </w:p>
    <w:p>
      <w:pPr>
        <w:ind w:left="840" w:hanging="324"/>
        <w:spacing w:after="0"/>
        <w:tabs>
          <w:tab w:leader="none" w:pos="84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 Stay Regulations</w:t>
      </w:r>
      <w:r>
        <w:rPr>
          <w:rFonts w:ascii="Times New Roman" w:cs="Times New Roman" w:eastAsia="Times New Roman" w:hAnsi="Times New Roman"/>
          <w:sz w:val="14"/>
          <w:szCs w:val="14"/>
          <w:color w:val="auto"/>
        </w:rPr>
        <w:t>. The parties agree that (i) to the extent that prior to the date hereof both parties have adhered to the 2018 ISDA U.S. Resolution Stay Protocol (the</w:t>
      </w:r>
    </w:p>
    <w:p>
      <w:pPr>
        <w:spacing w:after="0" w:line="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Protocol</w:t>
      </w:r>
      <w:r>
        <w:rPr>
          <w:rFonts w:ascii="Times New Roman" w:cs="Times New Roman" w:eastAsia="Times New Roman" w:hAnsi="Times New Roman"/>
          <w:sz w:val="14"/>
          <w:szCs w:val="14"/>
          <w:color w:val="auto"/>
        </w:rPr>
        <w:t>”), the terms of the Protocol are incorporated into and form a part of this Agreement, and for such purposes this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4"/>
          <w:szCs w:val="14"/>
          <w:b w:val="1"/>
          <w:bCs w:val="1"/>
          <w:color w:val="auto"/>
        </w:rPr>
        <w:t>Bilateral Terms</w:t>
      </w:r>
      <w:r>
        <w:rPr>
          <w:rFonts w:ascii="Times New Roman" w:cs="Times New Roman" w:eastAsia="Times New Roman" w:hAnsi="Times New Roman"/>
          <w:sz w:val="14"/>
          <w:szCs w:val="14"/>
          <w:color w:val="auto"/>
        </w:rPr>
        <w:t>”) of the form of bilateral template entitled “Full- 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“Covered Agreement,” Dealer shall be deemed a “Covered Entity” and the Company shall be deemed a “Counterparty Entity.” In the event that, after the date of this Agreement, both parties hereto become adhering parties to the Protocol, the terms of the Protocol</w:t>
      </w:r>
    </w:p>
    <w:p>
      <w:pPr>
        <w:sectPr>
          <w:pgSz w:w="11900" w:h="16838" w:orient="portrait"/>
          <w:cols w:equalWidth="0" w:num="1">
            <w:col w:w="10580"/>
          </w:cols>
          <w:pgMar w:left="920" w:top="1143" w:right="399" w:bottom="1440" w:gutter="0" w:footer="0" w:header="0"/>
        </w:sectPr>
      </w:pPr>
    </w:p>
    <w:bookmarkStart w:id="247" w:name="page248"/>
    <w:bookmarkEnd w:id="247"/>
    <w:p>
      <w:pPr>
        <w:ind w:left="20" w:right="40"/>
        <w:spacing w:after="0" w:line="261" w:lineRule="auto"/>
        <w:rPr>
          <w:sz w:val="20"/>
          <w:szCs w:val="20"/>
          <w:color w:val="auto"/>
        </w:rPr>
      </w:pPr>
      <w:r>
        <w:rPr>
          <w:rFonts w:ascii="Times New Roman" w:cs="Times New Roman" w:eastAsia="Times New Roman" w:hAnsi="Times New Roman"/>
          <w:sz w:val="14"/>
          <w:szCs w:val="14"/>
          <w:color w:val="auto"/>
        </w:rPr>
        <w:t>will replace the terms of this paragraph. In the event of any inconsistencies between this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QFC Stay Rules</w:t>
      </w:r>
      <w:r>
        <w:rPr>
          <w:rFonts w:ascii="Times New Roman" w:cs="Times New Roman" w:eastAsia="Times New Roman" w:hAnsi="Times New Roman"/>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61" w:lineRule="exact"/>
        <w:rPr>
          <w:sz w:val="20"/>
          <w:szCs w:val="20"/>
          <w:color w:val="auto"/>
        </w:rPr>
      </w:pPr>
    </w:p>
    <w:p>
      <w:pPr>
        <w:ind w:left="840" w:hanging="324"/>
        <w:spacing w:after="0"/>
        <w:tabs>
          <w:tab w:leader="none" w:pos="84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Role of Agent</w:t>
      </w:r>
      <w:r>
        <w:rPr>
          <w:rFonts w:ascii="Times New Roman" w:cs="Times New Roman" w:eastAsia="Times New Roman" w:hAnsi="Times New Roman"/>
          <w:sz w:val="14"/>
          <w:szCs w:val="14"/>
          <w:color w:val="auto"/>
        </w:rPr>
        <w:t>. Agent has no obligation hereunder, by guaranty, endorsement or otherwise, with respect to performance of Dealer’s obligations hereunder or under the</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w:t>
      </w:r>
    </w:p>
    <w:p>
      <w:pPr>
        <w:sectPr>
          <w:pgSz w:w="11900" w:h="16838" w:orient="portrait"/>
          <w:cols w:equalWidth="0" w:num="1">
            <w:col w:w="10580"/>
          </w:cols>
          <w:pgMar w:left="920" w:top="1143" w:right="3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the day and the year first above written.</w:t>
      </w:r>
    </w:p>
    <w:p>
      <w:pPr>
        <w:spacing w:after="0" w:line="39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231F20"/>
        </w:rPr>
        <w:t>ENPHASE ENERGY, INC.</w:t>
      </w:r>
    </w:p>
    <w:p>
      <w:pPr>
        <w:spacing w:after="0" w:line="23"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76073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76073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231F20"/>
        </w:rPr>
        <w:t>CREDIT SUISSE CAPITAL LLC</w:t>
      </w:r>
    </w:p>
    <w:p>
      <w:pPr>
        <w:spacing w:after="0" w:line="23"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86296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85"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Erica Hryniuk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-4445</wp:posOffset>
            </wp:positionV>
            <wp:extent cx="74549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74549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8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231F20"/>
        </w:rPr>
        <w:t>CREDIT SUISSE SECURITIES (USA) LLC, AS AGENT</w:t>
      </w:r>
    </w:p>
    <w:p>
      <w:pPr>
        <w:spacing w:after="0" w:line="23" w:lineRule="exact"/>
        <w:rPr>
          <w:sz w:val="20"/>
          <w:szCs w:val="20"/>
          <w:color w:val="auto"/>
        </w:rPr>
      </w:pPr>
    </w:p>
    <w:p>
      <w:pPr>
        <w:ind w:left="3140"/>
        <w:spacing w:after="0"/>
        <w:tabs>
          <w:tab w:leader="none" w:pos="3500" w:val="left"/>
        </w:tabs>
        <w:rPr>
          <w:sz w:val="20"/>
          <w:szCs w:val="20"/>
          <w:color w:val="auto"/>
        </w:rPr>
      </w:pPr>
      <w:r>
        <w:rPr>
          <w:rFonts w:ascii="Times New Roman" w:cs="Times New Roman" w:eastAsia="Times New Roman" w:hAnsi="Times New Roman"/>
          <w:sz w:val="14"/>
          <w:szCs w:val="14"/>
          <w:color w:val="231F20"/>
        </w:rPr>
        <w:t>By:</w:t>
        <w:tab/>
        <w:t>/S/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-13970</wp:posOffset>
            </wp:positionV>
            <wp:extent cx="86296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54" w:right="1440" w:bottom="1440" w:gutter="0" w:footer="0" w:header="0"/>
        </w:sectPr>
      </w:pPr>
    </w:p>
    <w:bookmarkStart w:id="249" w:name="page250"/>
    <w:bookmarkEnd w:id="249"/>
    <w:p>
      <w:pPr>
        <w:spacing w:after="0" w:line="275" w:lineRule="exact"/>
        <w:rPr>
          <w:sz w:val="20"/>
          <w:szCs w:val="20"/>
          <w:color w:val="auto"/>
        </w:rPr>
      </w:pPr>
    </w:p>
    <w:tbl>
      <w:tblPr>
        <w:tblLayout w:type="fixed"/>
        <w:tblInd w:w="147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456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b w:val="1"/>
                <w:bCs w:val="1"/>
                <w:color w:val="auto"/>
              </w:rPr>
              <w:t>EXHIBIT A</w:t>
            </w:r>
          </w:p>
        </w:tc>
      </w:tr>
      <w:tr>
        <w:trPr>
          <w:trHeight w:val="404"/>
        </w:trPr>
        <w:tc>
          <w:tcPr>
            <w:tcW w:w="2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181"/>
        </w:trPr>
        <w:tc>
          <w:tcPr>
            <w:tcW w:w="2600" w:type="dxa"/>
            <w:vAlign w:val="bottom"/>
            <w:tcBorders>
              <w:left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VWAP Price</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Cash Settlement Amount per Warrant</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$113.77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$114.77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$115.77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$116.77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$139.00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$117.77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$118.77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$141.00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$119.77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$142.00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$120.77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$143.00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$121.77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$144.00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$122.77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$145.00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$123.77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$146.00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$124.77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$147.00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$125.77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$148.00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$126.77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$149.00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$127.77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600" w:type="dxa"/>
            <w:vAlign w:val="bottom"/>
            <w:tcBorders>
              <w:left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$150.00</w:t>
            </w:r>
          </w:p>
        </w:tc>
        <w:tc>
          <w:tcPr>
            <w:tcW w:w="980" w:type="dxa"/>
            <w:vAlign w:val="bottom"/>
            <w:tcBorders>
              <w:right w:val="single" w:sz="8" w:color="auto"/>
            </w:tcBorders>
          </w:tcPr>
          <w:p>
            <w:pPr>
              <w:spacing w:after="0"/>
              <w:rPr>
                <w:sz w:val="15"/>
                <w:szCs w:val="15"/>
                <w:color w:val="auto"/>
              </w:rPr>
            </w:pPr>
          </w:p>
        </w:tc>
        <w:tc>
          <w:tcPr>
            <w:tcW w:w="3580" w:type="dxa"/>
            <w:vAlign w:val="bottom"/>
            <w:tcBorders>
              <w:right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color w:val="auto"/>
              </w:rPr>
              <w:t>$128.77</w:t>
            </w:r>
          </w:p>
        </w:tc>
      </w:tr>
      <w:tr>
        <w:trPr>
          <w:trHeight w:val="22"/>
        </w:trPr>
        <w:tc>
          <w:tcPr>
            <w:tcW w:w="26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the VWAP Price is not specified on the grid above, the Cash Settlement Amount per Warrant shall be determined based on a straight-line interpolation between the VWAP Prices or extrapolation from the VWAP Prices (as the case may be) specified on the grid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VWAP Price</w:t>
      </w:r>
      <w:r>
        <w:rPr>
          <w:rFonts w:ascii="Times New Roman" w:cs="Times New Roman" w:eastAsia="Times New Roman" w:hAnsi="Times New Roman"/>
          <w:sz w:val="14"/>
          <w:szCs w:val="14"/>
          <w:color w:val="auto"/>
        </w:rPr>
        <w:t>” means the arithmetic average of the Daily Prices for all Scheduled Trading Days in the Hedge Unwind Period.</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Daily Price</w:t>
      </w:r>
      <w:r>
        <w:rPr>
          <w:rFonts w:ascii="Times New Roman" w:cs="Times New Roman" w:eastAsia="Times New Roman" w:hAnsi="Times New Roman"/>
          <w:sz w:val="14"/>
          <w:szCs w:val="14"/>
          <w:color w:val="auto"/>
        </w:rPr>
        <w:t>” for any Scheduled Trading Day means the per Share volume-weighted average price as displayed under the heading “Bloomberg VWAP” on Bloomberg page ENPH &lt;equity&gt; AQR (or any successor thereto) in respect of the period from 9:30 a.m. to 4:00 p.m. (New York City time) on such Scheduled Trading Day (or if such volume-weighted average price is unavailable or manifestly incorrect, the market value of one Share on such Scheduled Trading Day, as determined by the Calculation Agent).</w:t>
      </w:r>
    </w:p>
    <w:p>
      <w:pPr>
        <w:sectPr>
          <w:pgSz w:w="11900" w:h="16838" w:orient="portrait"/>
          <w:cols w:equalWidth="0" w:num="1">
            <w:col w:w="10580"/>
          </w:cols>
          <w:pgMar w:left="920" w:top="1440" w:right="399" w:bottom="1440" w:gutter="0" w:footer="0" w:header="0"/>
        </w:sectPr>
      </w:pPr>
    </w:p>
    <w:bookmarkStart w:id="250" w:name="page251"/>
    <w:bookmarkEnd w:id="250"/>
    <w:p>
      <w:pPr>
        <w:jc w:val="right"/>
        <w:spacing w:after="0"/>
        <w:rPr>
          <w:sz w:val="20"/>
          <w:szCs w:val="20"/>
          <w:color w:val="auto"/>
        </w:rPr>
      </w:pPr>
      <w:r>
        <w:rPr>
          <w:rFonts w:ascii="Arial" w:cs="Arial" w:eastAsia="Arial" w:hAnsi="Arial"/>
          <w:sz w:val="14"/>
          <w:szCs w:val="14"/>
          <w:b w:val="1"/>
          <w:bCs w:val="1"/>
          <w:color w:val="auto"/>
        </w:rPr>
        <w:t>Exhibit 21.1</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SUBSIDIARIES OF REGISTRANT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Australia Pty. Ltd., an Australian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Canada, Inc., a Canadian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S.A.S., a French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NL B.V., a Dutch private limited liability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New Zealand Limited, a New Zealand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International LLC, a Delaware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Solar Energy India Pvt. Limited, an Indian private limited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Mexico, S. DE R.L. DE C.V., a Mexican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S.r.l., an Italian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Enphase Energy Canada Holdings, Inc., a Canadian corporation.</w:t>
      </w:r>
    </w:p>
    <w:p>
      <w:pPr>
        <w:sectPr>
          <w:pgSz w:w="11900" w:h="16838" w:orient="portrait"/>
          <w:cols w:equalWidth="0" w:num="1">
            <w:col w:w="11260"/>
          </w:cols>
          <w:pgMar w:left="320" w:top="808"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We consent to the incorporation by reference in Registration Statement No. 333-230716, 333-228775, 333-228774, 333-224101, 333-216886, 333-209315 and 333-195694 on Form S-3 and Registration Statement Nos. 333-230314, 333-224103, 333-238997, 333-210037, 333-202630, 333-194749, 333-187057, 333-181382 and 333-216986 on Form S-8 of our reports dated February 12, 2021, relating to the financial statements of Enphase Energy, Inc. and the effectiveness of Enphase Energy, Inc.'s internal control over financial reporting appearing in this Annual Report on Form 10-K for the year ended December 31,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February 12, 2021</w:t>
      </w:r>
    </w:p>
    <w:p>
      <w:pPr>
        <w:sectPr>
          <w:pgSz w:w="11900" w:h="16838" w:orient="portrait"/>
          <w:cols w:equalWidth="0" w:num="1">
            <w:col w:w="11280"/>
          </w:cols>
          <w:pgMar w:left="300" w:top="809"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4"/>
          <w:szCs w:val="14"/>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 Badrinarayanan Kothandaraman, certify that:</w:t>
      </w:r>
    </w:p>
    <w:p>
      <w:pPr>
        <w:spacing w:after="0" w:line="94" w:lineRule="exact"/>
        <w:rPr>
          <w:sz w:val="20"/>
          <w:szCs w:val="20"/>
          <w:color w:val="auto"/>
        </w:rPr>
      </w:pPr>
    </w:p>
    <w:p>
      <w:pPr>
        <w:ind w:left="260" w:hanging="255"/>
        <w:spacing w:after="0"/>
        <w:tabs>
          <w:tab w:leader="none" w:pos="26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 have reviewed this Form 10-K of Enphase Energy, Inc.;</w:t>
      </w:r>
    </w:p>
    <w:p>
      <w:pPr>
        <w:spacing w:after="0" w:line="93" w:lineRule="exact"/>
        <w:rPr>
          <w:rFonts w:ascii="Arial" w:cs="Arial" w:eastAsia="Arial" w:hAnsi="Arial"/>
          <w:sz w:val="14"/>
          <w:szCs w:val="14"/>
          <w:color w:val="auto"/>
        </w:rPr>
      </w:pPr>
    </w:p>
    <w:p>
      <w:pPr>
        <w:ind w:left="260" w:right="120" w:hanging="255"/>
        <w:spacing w:after="0" w:line="296" w:lineRule="auto"/>
        <w:tabs>
          <w:tab w:leader="none" w:pos="25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4"/>
          <w:szCs w:val="14"/>
          <w:color w:val="auto"/>
        </w:rPr>
      </w:pPr>
    </w:p>
    <w:p>
      <w:pPr>
        <w:ind w:left="260" w:right="180" w:hanging="255"/>
        <w:spacing w:after="0" w:line="296" w:lineRule="auto"/>
        <w:tabs>
          <w:tab w:leader="none" w:pos="25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4"/>
          <w:szCs w:val="14"/>
          <w:color w:val="auto"/>
        </w:rPr>
      </w:pPr>
    </w:p>
    <w:p>
      <w:pPr>
        <w:ind w:left="260" w:right="40" w:hanging="255"/>
        <w:spacing w:after="0" w:line="296" w:lineRule="auto"/>
        <w:tabs>
          <w:tab w:leader="none" w:pos="25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 w:lineRule="exact"/>
        <w:rPr>
          <w:rFonts w:ascii="Arial" w:cs="Arial" w:eastAsia="Arial" w:hAnsi="Arial"/>
          <w:sz w:val="14"/>
          <w:szCs w:val="14"/>
          <w:color w:val="auto"/>
        </w:rPr>
      </w:pPr>
    </w:p>
    <w:p>
      <w:pPr>
        <w:ind w:left="900" w:right="40" w:hanging="259"/>
        <w:spacing w:after="0" w:line="274" w:lineRule="auto"/>
        <w:tabs>
          <w:tab w:leader="none" w:pos="89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4"/>
          <w:szCs w:val="14"/>
          <w:color w:val="auto"/>
        </w:rPr>
      </w:pPr>
    </w:p>
    <w:p>
      <w:pPr>
        <w:ind w:left="900" w:right="320" w:hanging="259"/>
        <w:spacing w:after="0" w:line="274" w:lineRule="auto"/>
        <w:tabs>
          <w:tab w:leader="none" w:pos="89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4"/>
          <w:szCs w:val="14"/>
          <w:color w:val="auto"/>
        </w:rPr>
      </w:pPr>
    </w:p>
    <w:p>
      <w:pPr>
        <w:ind w:left="900" w:right="660" w:hanging="259"/>
        <w:spacing w:after="0" w:line="296" w:lineRule="auto"/>
        <w:tabs>
          <w:tab w:leader="none" w:pos="893" w:val="left"/>
        </w:tabs>
        <w:numPr>
          <w:ilvl w:val="1"/>
          <w:numId w:val="18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4"/>
          <w:szCs w:val="14"/>
          <w:color w:val="auto"/>
        </w:rPr>
      </w:pPr>
    </w:p>
    <w:p>
      <w:pPr>
        <w:ind w:left="900" w:right="140" w:hanging="259"/>
        <w:spacing w:after="0" w:line="274" w:lineRule="auto"/>
        <w:tabs>
          <w:tab w:leader="none" w:pos="89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4"/>
          <w:szCs w:val="14"/>
          <w:color w:val="auto"/>
        </w:rPr>
      </w:pPr>
    </w:p>
    <w:p>
      <w:pPr>
        <w:ind w:left="260" w:right="240" w:hanging="255"/>
        <w:spacing w:after="0" w:line="296" w:lineRule="auto"/>
        <w:tabs>
          <w:tab w:leader="none" w:pos="25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4"/>
          <w:szCs w:val="14"/>
          <w:color w:val="auto"/>
        </w:rPr>
      </w:pPr>
    </w:p>
    <w:p>
      <w:pPr>
        <w:ind w:left="900" w:right="20" w:hanging="259"/>
        <w:spacing w:after="0" w:line="296" w:lineRule="auto"/>
        <w:tabs>
          <w:tab w:leader="none" w:pos="89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4"/>
          <w:szCs w:val="14"/>
          <w:color w:val="auto"/>
        </w:rPr>
      </w:pPr>
    </w:p>
    <w:p>
      <w:pPr>
        <w:ind w:left="900" w:right="620" w:hanging="259"/>
        <w:spacing w:after="0" w:line="296" w:lineRule="auto"/>
        <w:tabs>
          <w:tab w:leader="none" w:pos="89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12, 2021</w:t>
      </w: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17145</wp:posOffset>
            </wp:positionV>
            <wp:extent cx="357759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Badrinarayanan Kothandaraman</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President and Chief Executive Officer</w:t>
      </w:r>
    </w:p>
    <w:p>
      <w:pPr>
        <w:ind w:left="56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861" w:right="3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4"/>
          <w:szCs w:val="14"/>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 Eric Branderiz, certify that:</w:t>
      </w:r>
    </w:p>
    <w:p>
      <w:pPr>
        <w:spacing w:after="0" w:line="94" w:lineRule="exact"/>
        <w:rPr>
          <w:sz w:val="20"/>
          <w:szCs w:val="20"/>
          <w:color w:val="auto"/>
        </w:rPr>
      </w:pPr>
    </w:p>
    <w:p>
      <w:pPr>
        <w:ind w:left="260" w:hanging="255"/>
        <w:spacing w:after="0"/>
        <w:tabs>
          <w:tab w:leader="none" w:pos="26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 have reviewed this Form 10-K of Enphase Energy, Inc.;</w:t>
      </w:r>
    </w:p>
    <w:p>
      <w:pPr>
        <w:spacing w:after="0" w:line="93" w:lineRule="exact"/>
        <w:rPr>
          <w:rFonts w:ascii="Arial" w:cs="Arial" w:eastAsia="Arial" w:hAnsi="Arial"/>
          <w:sz w:val="14"/>
          <w:szCs w:val="14"/>
          <w:color w:val="auto"/>
        </w:rPr>
      </w:pPr>
    </w:p>
    <w:p>
      <w:pPr>
        <w:ind w:left="260" w:right="120" w:hanging="255"/>
        <w:spacing w:after="0" w:line="296" w:lineRule="auto"/>
        <w:tabs>
          <w:tab w:leader="none" w:pos="25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4"/>
          <w:szCs w:val="14"/>
          <w:color w:val="auto"/>
        </w:rPr>
      </w:pPr>
    </w:p>
    <w:p>
      <w:pPr>
        <w:ind w:left="260" w:right="180" w:hanging="255"/>
        <w:spacing w:after="0" w:line="296" w:lineRule="auto"/>
        <w:tabs>
          <w:tab w:leader="none" w:pos="25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4"/>
          <w:szCs w:val="14"/>
          <w:color w:val="auto"/>
        </w:rPr>
      </w:pPr>
    </w:p>
    <w:p>
      <w:pPr>
        <w:ind w:left="260" w:right="40" w:hanging="255"/>
        <w:spacing w:after="0" w:line="296" w:lineRule="auto"/>
        <w:tabs>
          <w:tab w:leader="none" w:pos="25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 w:lineRule="exact"/>
        <w:rPr>
          <w:rFonts w:ascii="Arial" w:cs="Arial" w:eastAsia="Arial" w:hAnsi="Arial"/>
          <w:sz w:val="14"/>
          <w:szCs w:val="14"/>
          <w:color w:val="auto"/>
        </w:rPr>
      </w:pPr>
    </w:p>
    <w:p>
      <w:pPr>
        <w:ind w:left="900" w:right="40" w:hanging="259"/>
        <w:spacing w:after="0" w:line="274" w:lineRule="auto"/>
        <w:tabs>
          <w:tab w:leader="none" w:pos="89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4"/>
          <w:szCs w:val="14"/>
          <w:color w:val="auto"/>
        </w:rPr>
      </w:pPr>
    </w:p>
    <w:p>
      <w:pPr>
        <w:ind w:left="900" w:right="320" w:hanging="259"/>
        <w:spacing w:after="0" w:line="274" w:lineRule="auto"/>
        <w:tabs>
          <w:tab w:leader="none" w:pos="89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4"/>
          <w:szCs w:val="14"/>
          <w:color w:val="auto"/>
        </w:rPr>
      </w:pPr>
    </w:p>
    <w:p>
      <w:pPr>
        <w:ind w:left="900" w:right="660" w:hanging="259"/>
        <w:spacing w:after="0" w:line="296" w:lineRule="auto"/>
        <w:tabs>
          <w:tab w:leader="none" w:pos="893" w:val="left"/>
        </w:tabs>
        <w:numPr>
          <w:ilvl w:val="1"/>
          <w:numId w:val="18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4"/>
          <w:szCs w:val="14"/>
          <w:color w:val="auto"/>
        </w:rPr>
      </w:pPr>
    </w:p>
    <w:p>
      <w:pPr>
        <w:ind w:left="900" w:right="140" w:hanging="259"/>
        <w:spacing w:after="0" w:line="274" w:lineRule="auto"/>
        <w:tabs>
          <w:tab w:leader="none" w:pos="89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4"/>
          <w:szCs w:val="14"/>
          <w:color w:val="auto"/>
        </w:rPr>
      </w:pPr>
    </w:p>
    <w:p>
      <w:pPr>
        <w:ind w:left="260" w:right="240" w:hanging="255"/>
        <w:spacing w:after="0" w:line="296" w:lineRule="auto"/>
        <w:tabs>
          <w:tab w:leader="none" w:pos="25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4"/>
          <w:szCs w:val="14"/>
          <w:color w:val="auto"/>
        </w:rPr>
      </w:pPr>
    </w:p>
    <w:p>
      <w:pPr>
        <w:ind w:left="900" w:right="20" w:hanging="259"/>
        <w:spacing w:after="0" w:line="296" w:lineRule="auto"/>
        <w:tabs>
          <w:tab w:leader="none" w:pos="89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4"/>
          <w:szCs w:val="14"/>
          <w:color w:val="auto"/>
        </w:rPr>
      </w:pPr>
    </w:p>
    <w:p>
      <w:pPr>
        <w:ind w:left="900" w:right="620" w:hanging="259"/>
        <w:spacing w:after="0" w:line="296" w:lineRule="auto"/>
        <w:tabs>
          <w:tab w:leader="none" w:pos="890" w:val="left"/>
        </w:tabs>
        <w:numPr>
          <w:ilvl w:val="1"/>
          <w:numId w:val="18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12, 2021</w:t>
      </w: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17145</wp:posOffset>
            </wp:positionV>
            <wp:extent cx="357759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Eric Branderiz</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Executive Vice President and Chief Financial Officer</w:t>
      </w:r>
    </w:p>
    <w:p>
      <w:pPr>
        <w:ind w:left="566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861" w:right="3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4"/>
          <w:szCs w:val="14"/>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85"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Executive Vice President and Chief Financial Officer of the Company, each hereby certifies that, to the best of his or her knowledge:</w:t>
      </w:r>
    </w:p>
    <w:p>
      <w:pPr>
        <w:spacing w:after="0" w:line="43" w:lineRule="exact"/>
        <w:rPr>
          <w:sz w:val="20"/>
          <w:szCs w:val="20"/>
          <w:color w:val="auto"/>
        </w:rPr>
      </w:pPr>
    </w:p>
    <w:p>
      <w:pPr>
        <w:ind w:firstLine="5"/>
        <w:spacing w:after="0" w:line="296" w:lineRule="auto"/>
        <w:tabs>
          <w:tab w:leader="none" w:pos="157"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Company’s Annual Report on Form 10-K for the period ended December 31, 2020, to which this Certification is attached as Exhibit 32.1 (the “Periodic Report”), fully complies with the requirements of Section 13(a) or Section 15(d) of the Exchange Act; and</w:t>
      </w:r>
    </w:p>
    <w:p>
      <w:pPr>
        <w:spacing w:after="0" w:line="27" w:lineRule="exact"/>
        <w:rPr>
          <w:rFonts w:ascii="Arial" w:cs="Arial" w:eastAsia="Arial" w:hAnsi="Arial"/>
          <w:sz w:val="14"/>
          <w:szCs w:val="14"/>
          <w:color w:val="auto"/>
        </w:rPr>
      </w:pPr>
    </w:p>
    <w:p>
      <w:pPr>
        <w:ind w:left="160" w:hanging="155"/>
        <w:spacing w:after="0"/>
        <w:tabs>
          <w:tab w:leader="none" w:pos="16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undersigned have set their hands hereto as of the 12th day of February,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680" w:type="dxa"/>
            <w:vAlign w:val="bottom"/>
            <w:gridSpan w:val="2"/>
          </w:tcPr>
          <w:p>
            <w:pPr>
              <w:spacing w:after="0"/>
              <w:rPr>
                <w:sz w:val="20"/>
                <w:szCs w:val="20"/>
                <w:color w:val="auto"/>
              </w:rPr>
            </w:pPr>
            <w:r>
              <w:rPr>
                <w:rFonts w:ascii="Arial" w:cs="Arial" w:eastAsia="Arial" w:hAnsi="Arial"/>
                <w:sz w:val="14"/>
                <w:szCs w:val="14"/>
                <w:color w:val="auto"/>
              </w:rPr>
              <w:t>/s/ BADRINARAYANAN KOTHANDARAMAN</w:t>
            </w:r>
          </w:p>
        </w:tc>
        <w:tc>
          <w:tcPr>
            <w:tcW w:w="5580" w:type="dxa"/>
            <w:vAlign w:val="bottom"/>
          </w:tcPr>
          <w:p>
            <w:pPr>
              <w:spacing w:after="0"/>
              <w:rPr>
                <w:sz w:val="20"/>
                <w:szCs w:val="20"/>
                <w:color w:val="auto"/>
              </w:rPr>
            </w:pPr>
            <w:r>
              <w:rPr>
                <w:rFonts w:ascii="Arial" w:cs="Arial" w:eastAsia="Arial" w:hAnsi="Arial"/>
                <w:sz w:val="14"/>
                <w:szCs w:val="14"/>
                <w:color w:val="auto"/>
              </w:rPr>
              <w:t>/s/ ERIC BRANDERIZ</w:t>
            </w:r>
          </w:p>
        </w:tc>
      </w:tr>
      <w:tr>
        <w:trPr>
          <w:trHeight w:val="163"/>
        </w:trPr>
        <w:tc>
          <w:tcPr>
            <w:tcW w:w="5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Badrinarayanan Kothandaraman</w:t>
            </w:r>
          </w:p>
        </w:tc>
        <w:tc>
          <w:tcPr>
            <w:tcW w:w="100" w:type="dxa"/>
            <w:vAlign w:val="bottom"/>
          </w:tcPr>
          <w:p>
            <w:pPr>
              <w:spacing w:after="0"/>
              <w:rPr>
                <w:sz w:val="14"/>
                <w:szCs w:val="14"/>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Eric Branderiz</w:t>
            </w:r>
          </w:p>
        </w:tc>
      </w:tr>
      <w:tr>
        <w:trPr>
          <w:trHeight w:val="190"/>
        </w:trPr>
        <w:tc>
          <w:tcPr>
            <w:tcW w:w="568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w:t>
            </w:r>
          </w:p>
        </w:tc>
        <w:tc>
          <w:tcPr>
            <w:tcW w:w="5580" w:type="dxa"/>
            <w:vAlign w:val="bottom"/>
          </w:tcPr>
          <w:p>
            <w:pPr>
              <w:spacing w:after="0"/>
              <w:rPr>
                <w:sz w:val="20"/>
                <w:szCs w:val="20"/>
                <w:color w:val="auto"/>
              </w:rPr>
            </w:pPr>
            <w:r>
              <w:rPr>
                <w:rFonts w:ascii="Arial" w:cs="Arial" w:eastAsia="Arial" w:hAnsi="Arial"/>
                <w:sz w:val="14"/>
                <w:szCs w:val="14"/>
                <w:color w:val="auto"/>
              </w:rPr>
              <w:t>Executive Vice President and Chief Financial Officer</w:t>
            </w:r>
          </w:p>
        </w:tc>
      </w:tr>
    </w:tbl>
    <w:p>
      <w:pPr>
        <w:spacing w:after="0" w:line="118"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8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1)"/>
      <w:numFmt w:val="decimal"/>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1)"/>
      <w:numFmt w:val="decimal"/>
      <w:start w:val="2"/>
    </w:lvl>
  </w:abstractNum>
  <w:abstractNum w:abstractNumId="31">
    <w:nsid w:val="1D545C4D"/>
    <w:multiLevelType w:val="hybridMultilevel"/>
    <w:lvl w:ilvl="0">
      <w:lvlJc w:val="left"/>
      <w:lvlText w:val="•"/>
      <w:numFmt w:val="bullet"/>
      <w:start w:val="1"/>
    </w:lvl>
    <w:lvl w:ilvl="1">
      <w:lvlJc w:val="left"/>
      <w:lvlText w:val="\endash "/>
      <w:numFmt w:val="bullet"/>
      <w:start w:val="1"/>
    </w:lvl>
  </w:abstractNum>
  <w:abstractNum w:abstractNumId="32">
    <w:nsid w:val="59ADEA3D"/>
    <w:multiLevelType w:val="hybridMultilevel"/>
    <w:lvl w:ilvl="0">
      <w:lvlJc w:val="left"/>
      <w:lvlText w:val="•"/>
      <w:numFmt w:val="bullet"/>
      <w:start w:val="1"/>
    </w:lvl>
  </w:abstractNum>
  <w:abstractNum w:abstractNumId="33">
    <w:nsid w:val="288F1A34"/>
    <w:multiLevelType w:val="hybridMultilevel"/>
    <w:lvl w:ilvl="0">
      <w:lvlJc w:val="left"/>
      <w:lvlText w:val="•"/>
      <w:numFmt w:val="bullet"/>
      <w:start w:val="1"/>
    </w:lvl>
  </w:abstractNum>
  <w:abstractNum w:abstractNumId="34">
    <w:nsid w:val="2A155DBC"/>
    <w:multiLevelType w:val="hybridMultilevel"/>
    <w:lvl w:ilvl="0">
      <w:lvlJc w:val="left"/>
      <w:lvlText w:val="(%1)"/>
      <w:numFmt w:val="decimal"/>
      <w:start w:val="3"/>
    </w:lvl>
  </w:abstractNum>
  <w:abstractNum w:abstractNumId="35">
    <w:nsid w:val="1D9F6E5F"/>
    <w:multiLevelType w:val="hybridMultilevel"/>
    <w:lvl w:ilvl="0">
      <w:lvlJc w:val="left"/>
      <w:lvlText w:val="%1."/>
      <w:numFmt w:val="decimal"/>
      <w:start w:val="1"/>
    </w:lvl>
  </w:abstractNum>
  <w:abstractNum w:abstractNumId="36">
    <w:nsid w:val="97E1B4E"/>
    <w:multiLevelType w:val="hybridMultilevel"/>
    <w:lvl w:ilvl="0">
      <w:lvlJc w:val="left"/>
      <w:lvlText w:val="%1."/>
      <w:numFmt w:val="decimal"/>
      <w:start w:val="2"/>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
      <w:numFmt w:val="bullet"/>
      <w:start w:val="1"/>
    </w:lvl>
    <w:lvl w:ilvl="1">
      <w:lvlJc w:val="left"/>
      <w:lvlText w:val="•"/>
      <w:numFmt w:val="bullet"/>
      <w:start w:val="1"/>
    </w:lvl>
  </w:abstractNum>
  <w:abstractNum w:abstractNumId="39">
    <w:nsid w:val="53584BCB"/>
    <w:multiLevelType w:val="hybridMultilevel"/>
    <w:lvl w:ilvl="0">
      <w:lvlJc w:val="left"/>
      <w:lvlText w:val="(%1)"/>
      <w:numFmt w:val="decimal"/>
      <w:start w:val="2"/>
    </w:lvl>
  </w:abstractNum>
  <w:abstractNum w:abstractNumId="40">
    <w:nsid w:val="415E286C"/>
    <w:multiLevelType w:val="hybridMultilevel"/>
    <w:lvl w:ilvl="0">
      <w:lvlJc w:val="left"/>
      <w:lvlText w:val="-"/>
      <w:numFmt w:val="bullet"/>
      <w:start w:val="1"/>
    </w:lvl>
  </w:abstractNum>
  <w:abstractNum w:abstractNumId="41">
    <w:nsid w:val="7C58FD05"/>
    <w:multiLevelType w:val="hybridMultilevel"/>
    <w:lvl w:ilvl="0">
      <w:lvlJc w:val="left"/>
      <w:lvlText w:val="%1."/>
      <w:numFmt w:val="decimal"/>
      <w:start w:val="5"/>
    </w:lvl>
  </w:abstractNum>
  <w:abstractNum w:abstractNumId="42">
    <w:nsid w:val="23D86AAC"/>
    <w:multiLevelType w:val="hybridMultilevel"/>
    <w:lvl w:ilvl="0">
      <w:lvlJc w:val="left"/>
      <w:lvlText w:val="%1."/>
      <w:numFmt w:val="decimal"/>
      <w:start w:val="6"/>
    </w:lvl>
  </w:abstractNum>
  <w:abstractNum w:abstractNumId="43">
    <w:nsid w:val="45E6D486"/>
    <w:multiLevelType w:val="hybridMultilevel"/>
    <w:lvl w:ilvl="0">
      <w:lvlJc w:val="left"/>
      <w:lvlText w:val="%1."/>
      <w:numFmt w:val="decimal"/>
      <w:start w:val="8"/>
    </w:lvl>
  </w:abstractNum>
  <w:abstractNum w:abstractNumId="44">
    <w:nsid w:val="5C10FE21"/>
    <w:multiLevelType w:val="hybridMultilevel"/>
    <w:lvl w:ilvl="0">
      <w:lvlJc w:val="left"/>
      <w:lvlText w:val="%1."/>
      <w:numFmt w:val="decimal"/>
      <w:start w:val="9"/>
    </w:lvl>
  </w:abstractNum>
  <w:abstractNum w:abstractNumId="45">
    <w:nsid w:val="E7FFA2B"/>
    <w:multiLevelType w:val="hybridMultilevel"/>
    <w:lvl w:ilvl="0">
      <w:lvlJc w:val="left"/>
      <w:lvlText w:val="•"/>
      <w:numFmt w:val="bullet"/>
      <w:start w:val="1"/>
    </w:lvl>
  </w:abstractNum>
  <w:abstractNum w:abstractNumId="46">
    <w:nsid w:val="3C5991AA"/>
    <w:multiLevelType w:val="hybridMultilevel"/>
    <w:lvl w:ilvl="0">
      <w:lvlJc w:val="left"/>
      <w:lvlText w:val="(%1)"/>
      <w:numFmt w:val="decimal"/>
      <w:start w:val="1"/>
    </w:lvl>
  </w:abstractNum>
  <w:abstractNum w:abstractNumId="47">
    <w:nsid w:val="4BD8591A"/>
    <w:multiLevelType w:val="hybridMultilevel"/>
    <w:lvl w:ilvl="0">
      <w:lvlJc w:val="left"/>
      <w:lvlText w:val="%1."/>
      <w:numFmt w:val="decimal"/>
      <w:start w:val="12"/>
    </w:lvl>
  </w:abstractNum>
  <w:abstractNum w:abstractNumId="48">
    <w:nsid w:val="78DF6A55"/>
    <w:multiLevelType w:val="hybridMultilevel"/>
    <w:lvl w:ilvl="0">
      <w:lvlJc w:val="left"/>
      <w:lvlText w:val="%1."/>
      <w:numFmt w:val="decimal"/>
      <w:start w:val="13"/>
    </w:lvl>
  </w:abstractNum>
  <w:abstractNum w:abstractNumId="49">
    <w:nsid w:val="39B7AAA2"/>
    <w:multiLevelType w:val="hybridMultilevel"/>
    <w:lvl w:ilvl="0">
      <w:lvlJc w:val="left"/>
      <w:lvlText w:val="%1."/>
      <w:numFmt w:val="decimal"/>
      <w:start w:val="14"/>
    </w:lvl>
  </w:abstractNum>
  <w:abstractNum w:abstractNumId="50">
    <w:nsid w:val="2B0D8DBE"/>
    <w:multiLevelType w:val="hybridMultilevel"/>
    <w:lvl w:ilvl="0">
      <w:lvlJc w:val="left"/>
      <w:lvlText w:val="(%1)"/>
      <w:numFmt w:val="lowerRoman"/>
      <w:start w:val="2"/>
    </w:lvl>
  </w:abstractNum>
  <w:abstractNum w:abstractNumId="51">
    <w:nsid w:val="6C80EC70"/>
    <w:multiLevelType w:val="hybridMultilevel"/>
    <w:lvl w:ilvl="0">
      <w:lvlJc w:val="left"/>
      <w:lvlText w:val="•"/>
      <w:numFmt w:val="bullet"/>
      <w:start w:val="1"/>
    </w:lvl>
  </w:abstractNum>
  <w:abstractNum w:abstractNumId="52">
    <w:nsid w:val="379E21B5"/>
    <w:multiLevelType w:val="hybridMultilevel"/>
    <w:lvl w:ilvl="0">
      <w:lvlJc w:val="left"/>
      <w:lvlText w:val="(%1)"/>
      <w:numFmt w:val="decimal"/>
      <w:start w:val="1"/>
    </w:lvl>
  </w:abstractNum>
  <w:abstractNum w:abstractNumId="53">
    <w:nsid w:val="69E373"/>
    <w:multiLevelType w:val="hybridMultilevel"/>
    <w:lvl w:ilvl="0">
      <w:lvlJc w:val="left"/>
      <w:lvlText w:val="(%1)"/>
      <w:numFmt w:val="decimal"/>
      <w:start w:val="1"/>
    </w:lvl>
  </w:abstractNum>
  <w:abstractNum w:abstractNumId="54">
    <w:nsid w:val="2C27173B"/>
    <w:multiLevelType w:val="hybridMultilevel"/>
    <w:lvl w:ilvl="0">
      <w:lvlJc w:val="left"/>
      <w:lvlText w:val="(%1)"/>
      <w:numFmt w:val="decimal"/>
      <w:start w:val="1"/>
    </w:lvl>
  </w:abstractNum>
  <w:abstractNum w:abstractNumId="55">
    <w:nsid w:val="4C9B0904"/>
    <w:multiLevelType w:val="hybridMultilevel"/>
    <w:lvl w:ilvl="0">
      <w:lvlJc w:val="left"/>
      <w:lvlText w:val="%1."/>
      <w:numFmt w:val="decimal"/>
      <w:start w:val="15"/>
    </w:lvl>
  </w:abstractNum>
  <w:abstractNum w:abstractNumId="56">
    <w:nsid w:val="6AA7B75C"/>
    <w:multiLevelType w:val="hybridMultilevel"/>
    <w:lvl w:ilvl="0">
      <w:lvlJc w:val="left"/>
      <w:lvlText w:val="%1."/>
      <w:numFmt w:val="decimal"/>
      <w:start w:val="16"/>
    </w:lvl>
  </w:abstractNum>
  <w:abstractNum w:abstractNumId="57">
    <w:nsid w:val="1DF029D3"/>
    <w:multiLevelType w:val="hybridMultilevel"/>
    <w:lvl w:ilvl="0">
      <w:lvlJc w:val="left"/>
      <w:lvlText w:val="%1."/>
      <w:numFmt w:val="decimal"/>
      <w:start w:val="17"/>
    </w:lvl>
  </w:abstractNum>
  <w:abstractNum w:abstractNumId="58">
    <w:nsid w:val="5675FF36"/>
    <w:multiLevelType w:val="hybridMultilevel"/>
    <w:lvl w:ilvl="0">
      <w:lvlJc w:val="left"/>
      <w:lvlText w:val="%1."/>
      <w:numFmt w:val="decimal"/>
      <w:start w:val="18"/>
    </w:lvl>
  </w:abstractNum>
  <w:abstractNum w:abstractNumId="59">
    <w:nsid w:val="3DD15094"/>
    <w:multiLevelType w:val="hybridMultilevel"/>
    <w:lvl w:ilvl="0">
      <w:lvlJc w:val="left"/>
      <w:lvlText w:val="%1."/>
      <w:numFmt w:val="decimal"/>
      <w:start w:val="19"/>
    </w:lvl>
  </w:abstractNum>
  <w:abstractNum w:abstractNumId="60">
    <w:nsid w:val="3DB012B3"/>
    <w:multiLevelType w:val="hybridMultilevel"/>
    <w:lvl w:ilvl="0">
      <w:lvlJc w:val="left"/>
      <w:lvlText w:val="%1."/>
      <w:numFmt w:val="decimal"/>
      <w:start w:val="20"/>
    </w:lvl>
  </w:abstractNum>
  <w:abstractNum w:abstractNumId="61">
    <w:nsid w:val="2708C9AF"/>
    <w:multiLevelType w:val="hybridMultilevel"/>
    <w:lvl w:ilvl="0">
      <w:lvlJc w:val="left"/>
      <w:lvlText w:val="%1."/>
      <w:numFmt w:val="decimal"/>
      <w:start w:val="21"/>
    </w:lvl>
  </w:abstractNum>
  <w:abstractNum w:abstractNumId="62">
    <w:nsid w:val="5B25ACE2"/>
    <w:multiLevelType w:val="hybridMultilevel"/>
    <w:lvl w:ilvl="0">
      <w:lvlJc w:val="left"/>
      <w:lvlText w:val="+"/>
      <w:numFmt w:val="bullet"/>
      <w:start w:val="1"/>
    </w:lvl>
  </w:abstractNum>
  <w:abstractNum w:abstractNumId="63">
    <w:nsid w:val="175DFCF0"/>
    <w:multiLevelType w:val="hybridMultilevel"/>
    <w:lvl w:ilvl="0">
      <w:lvlJc w:val="left"/>
      <w:lvlText w:val="†"/>
      <w:numFmt w:val="bullet"/>
      <w:start w:val="1"/>
    </w:lvl>
  </w:abstractNum>
  <w:abstractNum w:abstractNumId="64">
    <w:nsid w:val="4F97E3E4"/>
    <w:multiLevelType w:val="hybridMultilevel"/>
    <w:lvl w:ilvl="0">
      <w:lvlJc w:val="left"/>
      <w:lvlText w:val="*"/>
      <w:numFmt w:val="bullet"/>
      <w:start w:val="1"/>
    </w:lvl>
  </w:abstractNum>
  <w:abstractNum w:abstractNumId="65">
    <w:nsid w:val="53B0A9E"/>
    <w:multiLevelType w:val="hybridMultilevel"/>
    <w:lvl w:ilvl="0">
      <w:lvlJc w:val="left"/>
      <w:lvlText w:val="•"/>
      <w:numFmt w:val="bullet"/>
      <w:start w:val="1"/>
    </w:lvl>
  </w:abstractNum>
  <w:abstractNum w:abstractNumId="66">
    <w:nsid w:val="34FD6B4F"/>
    <w:multiLevelType w:val="hybridMultilevel"/>
    <w:lvl w:ilvl="0">
      <w:lvlJc w:val="left"/>
      <w:lvlText w:val="•"/>
      <w:numFmt w:val="bullet"/>
      <w:start w:val="1"/>
    </w:lvl>
  </w:abstractNum>
  <w:abstractNum w:abstractNumId="67">
    <w:nsid w:val="5915FF32"/>
    <w:multiLevelType w:val="hybridMultilevel"/>
    <w:lvl w:ilvl="0">
      <w:lvlJc w:val="left"/>
      <w:lvlText w:val="%1."/>
      <w:numFmt w:val="decimal"/>
      <w:start w:val="1"/>
    </w:lvl>
    <w:lvl w:ilvl="1">
      <w:lvlJc w:val="left"/>
      <w:lvlText w:val="%2."/>
      <w:numFmt w:val="lowerLetter"/>
      <w:start w:val="1"/>
    </w:lvl>
  </w:abstractNum>
  <w:abstractNum w:abstractNumId="68">
    <w:nsid w:val="56438D15"/>
    <w:multiLevelType w:val="hybridMultilevel"/>
    <w:lvl w:ilvl="0">
      <w:lvlJc w:val="left"/>
      <w:lvlText w:val="%1."/>
      <w:numFmt w:val="decimal"/>
      <w:start w:val="1"/>
    </w:lvl>
  </w:abstractNum>
  <w:abstractNum w:abstractNumId="69">
    <w:nsid w:val="519E3149"/>
    <w:multiLevelType w:val="hybridMultilevel"/>
    <w:lvl w:ilvl="0">
      <w:lvlJc w:val="left"/>
      <w:lvlText w:val="%1."/>
      <w:numFmt w:val="decimal"/>
      <w:start w:val="2"/>
    </w:lvl>
  </w:abstractNum>
  <w:abstractNum w:abstractNumId="70">
    <w:nsid w:val="2C6E4AFD"/>
    <w:multiLevelType w:val="hybridMultilevel"/>
    <w:lvl w:ilvl="0">
      <w:lvlJc w:val="left"/>
      <w:lvlText w:val="[*]"/>
      <w:numFmt w:val="bullet"/>
      <w:start w:val="1"/>
    </w:lvl>
  </w:abstractNum>
  <w:abstractNum w:abstractNumId="71">
    <w:nsid w:val="17A1B582"/>
    <w:multiLevelType w:val="hybridMultilevel"/>
    <w:lvl w:ilvl="0">
      <w:lvlJc w:val="left"/>
      <w:lvlText w:val="%1."/>
      <w:numFmt w:val="upperLetter"/>
      <w:start w:val="1"/>
    </w:lvl>
  </w:abstractNum>
  <w:abstractNum w:abstractNumId="72">
    <w:nsid w:val="4DF72E4E"/>
    <w:multiLevelType w:val="hybridMultilevel"/>
    <w:lvl w:ilvl="0">
      <w:lvlJc w:val="left"/>
      <w:lvlText w:val="%1."/>
      <w:numFmt w:val="decimal"/>
      <w:start w:val="1"/>
    </w:lvl>
  </w:abstractNum>
  <w:abstractNum w:abstractNumId="73">
    <w:nsid w:val="5046B5A9"/>
    <w:multiLevelType w:val="hybridMultilevel"/>
    <w:lvl w:ilvl="0">
      <w:lvlJc w:val="left"/>
      <w:lvlText w:val="%1."/>
      <w:numFmt w:val="decimal"/>
      <w:start w:val="5"/>
    </w:lvl>
  </w:abstractNum>
  <w:abstractNum w:abstractNumId="74">
    <w:nsid w:val="5D888A08"/>
    <w:multiLevelType w:val="hybridMultilevel"/>
    <w:lvl w:ilvl="0">
      <w:lvlJc w:val="left"/>
      <w:lvlText w:val="[*]"/>
      <w:numFmt w:val="bullet"/>
      <w:start w:val="1"/>
    </w:lvl>
  </w:abstractNum>
  <w:abstractNum w:abstractNumId="75">
    <w:nsid w:val="2A082C70"/>
    <w:multiLevelType w:val="hybridMultilevel"/>
    <w:lvl w:ilvl="0">
      <w:lvlJc w:val="left"/>
      <w:lvlText w:val="%1."/>
      <w:numFmt w:val="decimal"/>
      <w:start w:val="1"/>
    </w:lvl>
    <w:lvl w:ilvl="1">
      <w:lvlJc w:val="left"/>
      <w:lvlText w:val="%2."/>
      <w:numFmt w:val="lowerLetter"/>
      <w:start w:val="1"/>
    </w:lvl>
  </w:abstractNum>
  <w:abstractNum w:abstractNumId="76">
    <w:nsid w:val="5EC6AFD4"/>
    <w:multiLevelType w:val="hybridMultilevel"/>
    <w:lvl w:ilvl="0">
      <w:lvlJc w:val="left"/>
      <w:lvlText w:val="%1."/>
      <w:numFmt w:val="lowerLetter"/>
      <w:start w:val="3"/>
    </w:lvl>
  </w:abstractNum>
  <w:abstractNum w:abstractNumId="77">
    <w:nsid w:val="19E21BB2"/>
    <w:multiLevelType w:val="hybridMultilevel"/>
    <w:lvl w:ilvl="0">
      <w:lvlJc w:val="left"/>
      <w:lvlText w:val="%1."/>
      <w:numFmt w:val="lowerLetter"/>
      <w:start w:val="6"/>
    </w:lvl>
    <w:lvl w:ilvl="1">
      <w:lvlJc w:val="left"/>
      <w:lvlText w:val="(%2)"/>
      <w:numFmt w:val="lowerRoman"/>
      <w:start w:val="1"/>
    </w:lvl>
  </w:abstractNum>
  <w:abstractNum w:abstractNumId="78">
    <w:nsid w:val="75E0858A"/>
    <w:multiLevelType w:val="hybridMultilevel"/>
    <w:lvl w:ilvl="0">
      <w:lvlJc w:val="left"/>
      <w:lvlText w:val="%1."/>
      <w:numFmt w:val="decimal"/>
      <w:start w:val="6"/>
    </w:lvl>
  </w:abstractNum>
  <w:abstractNum w:abstractNumId="79">
    <w:nsid w:val="57A61A29"/>
    <w:multiLevelType w:val="hybridMultilevel"/>
    <w:lvl w:ilvl="0">
      <w:lvlJc w:val="left"/>
      <w:lvlText w:val="%1."/>
      <w:numFmt w:val="decimal"/>
      <w:start w:val="1"/>
    </w:lvl>
  </w:abstractNum>
  <w:abstractNum w:abstractNumId="80">
    <w:nsid w:val="5399C654"/>
    <w:multiLevelType w:val="hybridMultilevel"/>
    <w:lvl w:ilvl="0">
      <w:lvlJc w:val="left"/>
      <w:lvlText w:val="-"/>
      <w:numFmt w:val="bullet"/>
      <w:start w:val="1"/>
    </w:lvl>
  </w:abstractNum>
  <w:abstractNum w:abstractNumId="81">
    <w:nsid w:val="20EE1348"/>
    <w:multiLevelType w:val="hybridMultilevel"/>
    <w:lvl w:ilvl="0">
      <w:lvlJc w:val="left"/>
      <w:lvlText w:val="o"/>
      <w:numFmt w:val="bullet"/>
      <w:start w:val="1"/>
    </w:lvl>
  </w:abstractNum>
  <w:abstractNum w:abstractNumId="82">
    <w:nsid w:val="4427069A"/>
    <w:multiLevelType w:val="hybridMultilevel"/>
    <w:lvl w:ilvl="0">
      <w:lvlJc w:val="left"/>
      <w:lvlText w:val="%1."/>
      <w:numFmt w:val="decimal"/>
      <w:start w:val="1"/>
    </w:lvl>
  </w:abstractNum>
  <w:abstractNum w:abstractNumId="83">
    <w:nsid w:val="B37E80A"/>
    <w:multiLevelType w:val="hybridMultilevel"/>
    <w:lvl w:ilvl="0">
      <w:lvlJc w:val="left"/>
      <w:lvlText w:val="%1."/>
      <w:numFmt w:val="decimal"/>
      <w:start w:val="2"/>
    </w:lvl>
  </w:abstractNum>
  <w:abstractNum w:abstractNumId="84">
    <w:nsid w:val="2157F6BC"/>
    <w:multiLevelType w:val="hybridMultilevel"/>
    <w:lvl w:ilvl="0">
      <w:lvlJc w:val="left"/>
      <w:lvlText w:val="%1."/>
      <w:numFmt w:val="decimal"/>
      <w:start w:val="3"/>
    </w:lvl>
  </w:abstractNum>
  <w:abstractNum w:abstractNumId="85">
    <w:nsid w:val="704E1DD5"/>
    <w:multiLevelType w:val="hybridMultilevel"/>
    <w:lvl w:ilvl="0">
      <w:lvlJc w:val="left"/>
      <w:lvlText w:val="(%1)"/>
      <w:numFmt w:val="lowerRoman"/>
      <w:start w:val="2"/>
    </w:lvl>
    <w:lvl w:ilvl="1">
      <w:lvlJc w:val="left"/>
      <w:lvlText w:val="%2."/>
      <w:numFmt w:val="decimal"/>
      <w:start w:val="4"/>
    </w:lvl>
  </w:abstractNum>
  <w:abstractNum w:abstractNumId="86">
    <w:nsid w:val="57D2F10E"/>
    <w:multiLevelType w:val="hybridMultilevel"/>
    <w:lvl w:ilvl="0">
      <w:lvlJc w:val="left"/>
      <w:lvlText w:val="%1."/>
      <w:numFmt w:val="decimal"/>
      <w:start w:val="5"/>
    </w:lvl>
  </w:abstractNum>
  <w:abstractNum w:abstractNumId="87">
    <w:nsid w:val="BFFAE18"/>
    <w:multiLevelType w:val="hybridMultilevel"/>
    <w:lvl w:ilvl="0">
      <w:lvlJc w:val="left"/>
      <w:lvlText w:val="%1."/>
      <w:numFmt w:val="decimal"/>
      <w:start w:val="6"/>
    </w:lvl>
  </w:abstractNum>
  <w:abstractNum w:abstractNumId="88">
    <w:nsid w:val="E3E47A8"/>
    <w:multiLevelType w:val="hybridMultilevel"/>
    <w:lvl w:ilvl="0">
      <w:lvlJc w:val="left"/>
      <w:lvlText w:val="%1."/>
      <w:numFmt w:val="decimal"/>
      <w:start w:val="7"/>
    </w:lvl>
  </w:abstractNum>
  <w:abstractNum w:abstractNumId="89">
    <w:nsid w:val="2E48F044"/>
    <w:multiLevelType w:val="hybridMultilevel"/>
    <w:lvl w:ilvl="0">
      <w:lvlJc w:val="left"/>
      <w:lvlText w:val="%1."/>
      <w:numFmt w:val="decimal"/>
      <w:start w:val="8"/>
    </w:lvl>
  </w:abstractNum>
  <w:abstractNum w:abstractNumId="90">
    <w:nsid w:val="49D0FEAC"/>
    <w:multiLevelType w:val="hybridMultilevel"/>
    <w:lvl w:ilvl="0">
      <w:lvlJc w:val="left"/>
      <w:lvlText w:val="%1."/>
      <w:numFmt w:val="decimal"/>
      <w:start w:val="9"/>
    </w:lvl>
  </w:abstractNum>
  <w:abstractNum w:abstractNumId="91">
    <w:nsid w:val="4BEE5A5B"/>
    <w:multiLevelType w:val="hybridMultilevel"/>
    <w:lvl w:ilvl="0">
      <w:lvlJc w:val="left"/>
      <w:lvlText w:val="%1."/>
      <w:numFmt w:val="decimal"/>
      <w:start w:val="10"/>
    </w:lvl>
  </w:abstractNum>
  <w:abstractNum w:abstractNumId="92">
    <w:nsid w:val="5551B9F3"/>
    <w:multiLevelType w:val="hybridMultilevel"/>
    <w:lvl w:ilvl="0">
      <w:lvlJc w:val="left"/>
      <w:lvlText w:val="%1."/>
      <w:numFmt w:val="upperLetter"/>
      <w:start w:val="1"/>
    </w:lvl>
  </w:abstractNum>
  <w:abstractNum w:abstractNumId="93">
    <w:nsid w:val="24F6AB8E"/>
    <w:multiLevelType w:val="hybridMultilevel"/>
    <w:lvl w:ilvl="0">
      <w:lvlJc w:val="left"/>
      <w:lvlText w:val="%1."/>
      <w:numFmt w:val="upperLetter"/>
      <w:start w:val="4"/>
    </w:lvl>
  </w:abstractNum>
  <w:abstractNum w:abstractNumId="94">
    <w:nsid w:val="634C574C"/>
    <w:multiLevelType w:val="hybridMultilevel"/>
    <w:lvl w:ilvl="0">
      <w:lvlJc w:val="left"/>
      <w:lvlText w:val="%1."/>
      <w:numFmt w:val="decimal"/>
      <w:start w:val="1"/>
    </w:lvl>
  </w:abstractNum>
  <w:abstractNum w:abstractNumId="95">
    <w:nsid w:val="24E99DD7"/>
    <w:multiLevelType w:val="hybridMultilevel"/>
    <w:lvl w:ilvl="0">
      <w:lvlJc w:val="left"/>
      <w:lvlText w:val="(%1)"/>
      <w:numFmt w:val="lowerLetter"/>
      <w:start w:val="1"/>
    </w:lvl>
  </w:abstractNum>
  <w:abstractNum w:abstractNumId="96">
    <w:nsid w:val="2A31B62D"/>
    <w:multiLevelType w:val="hybridMultilevel"/>
    <w:lvl w:ilvl="0">
      <w:lvlJc w:val="left"/>
      <w:lvlText w:val="%1."/>
      <w:numFmt w:val="decimal"/>
      <w:start w:val="2"/>
    </w:lvl>
  </w:abstractNum>
  <w:abstractNum w:abstractNumId="97">
    <w:nsid w:val="1849C29B"/>
    <w:multiLevelType w:val="hybridMultilevel"/>
    <w:lvl w:ilvl="0">
      <w:lvlJc w:val="left"/>
      <w:lvlText w:val="%1."/>
      <w:numFmt w:val="decimal"/>
      <w:start w:val="3"/>
    </w:lvl>
  </w:abstractNum>
  <w:abstractNum w:abstractNumId="98">
    <w:nsid w:val="7DFF9D09"/>
    <w:multiLevelType w:val="hybridMultilevel"/>
    <w:lvl w:ilvl="0">
      <w:lvlJc w:val="left"/>
      <w:lvlText w:val="[*]"/>
      <w:numFmt w:val="bullet"/>
      <w:start w:val="1"/>
    </w:lvl>
  </w:abstractNum>
  <w:abstractNum w:abstractNumId="99">
    <w:nsid w:val="754342"/>
    <w:multiLevelType w:val="hybridMultilevel"/>
    <w:lvl w:ilvl="0">
      <w:lvlJc w:val="left"/>
      <w:lvlText w:val="%1."/>
      <w:numFmt w:val="upperLetter"/>
      <w:start w:val="1"/>
    </w:lvl>
  </w:abstractNum>
  <w:abstractNum w:abstractNumId="100">
    <w:nsid w:val="69E7F3E5"/>
    <w:multiLevelType w:val="hybridMultilevel"/>
    <w:lvl w:ilvl="0">
      <w:lvlJc w:val="left"/>
      <w:lvlText w:val="%1."/>
      <w:numFmt w:val="upperLetter"/>
      <w:start w:val="9"/>
    </w:lvl>
  </w:abstractNum>
  <w:abstractNum w:abstractNumId="101">
    <w:nsid w:val="2A6DE806"/>
    <w:multiLevelType w:val="hybridMultilevel"/>
    <w:lvl w:ilvl="0">
      <w:lvlJc w:val="left"/>
      <w:lvlText w:val="(%1)"/>
      <w:numFmt w:val="lowerLetter"/>
      <w:start w:val="1"/>
    </w:lvl>
  </w:abstractNum>
  <w:abstractNum w:abstractNumId="102">
    <w:nsid w:val="1816F8C4"/>
    <w:multiLevelType w:val="hybridMultilevel"/>
    <w:lvl w:ilvl="0">
      <w:lvlJc w:val="left"/>
      <w:lvlText w:val="%1"/>
      <w:numFmt w:val="upperLetter"/>
      <w:start w:val="1"/>
    </w:lvl>
    <w:lvl w:ilvl="1">
      <w:lvlJc w:val="left"/>
      <w:lvlText w:val="(%2)"/>
      <w:numFmt w:val="lowerLetter"/>
      <w:start w:val="6"/>
    </w:lvl>
  </w:abstractNum>
  <w:abstractNum w:abstractNumId="103">
    <w:nsid w:val="37DF2233"/>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3"/>
    </w:lvl>
  </w:abstractNum>
  <w:abstractNum w:abstractNumId="104">
    <w:nsid w:val="7AB49DA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5">
    <w:nsid w:val="759F82CD"/>
    <w:multiLevelType w:val="hybridMultilevel"/>
    <w:lvl w:ilvl="0">
      <w:lvlJc w:val="left"/>
      <w:lvlText w:val="(%1)"/>
      <w:numFmt w:val="decimal"/>
      <w:start w:val="3"/>
    </w:lvl>
    <w:lvl w:ilvl="1">
      <w:lvlJc w:val="left"/>
      <w:lvlText w:val="(%2)"/>
      <w:numFmt w:val="lowerLetter"/>
      <w:start w:val="1"/>
    </w:lvl>
  </w:abstractNum>
  <w:abstractNum w:abstractNumId="106">
    <w:nsid w:val="61E74EA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107">
    <w:nsid w:val="597B4D8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8">
    <w:nsid w:val="F819E7F"/>
    <w:multiLevelType w:val="hybridMultilevel"/>
    <w:lvl w:ilvl="0">
      <w:lvlJc w:val="left"/>
      <w:lvlText w:val="%1."/>
      <w:numFmt w:val="decimal"/>
      <w:start w:val="5"/>
    </w:lvl>
  </w:abstractNum>
  <w:abstractNum w:abstractNumId="109">
    <w:nsid w:val="57C7D42D"/>
    <w:multiLevelType w:val="hybridMultilevel"/>
    <w:lvl w:ilvl="0">
      <w:lvlJc w:val="left"/>
      <w:lvlText w:val="(%1)"/>
      <w:numFmt w:val="lowerLetter"/>
      <w:start w:val="1"/>
    </w:lvl>
  </w:abstractNum>
  <w:abstractNum w:abstractNumId="110">
    <w:nsid w:val="312167AD"/>
    <w:multiLevelType w:val="hybridMultilevel"/>
    <w:lvl w:ilvl="0">
      <w:lvlJc w:val="left"/>
      <w:lvlText w:val="(%1)"/>
      <w:numFmt w:val="decimal"/>
      <w:start w:val="60"/>
    </w:lvl>
  </w:abstractNum>
  <w:abstractNum w:abstractNumId="111">
    <w:nsid w:val="631B64D4"/>
    <w:multiLevelType w:val="hybridMultilevel"/>
    <w:lvl w:ilvl="0">
      <w:lvlJc w:val="left"/>
      <w:lvlText w:val="%1."/>
      <w:numFmt w:val="decimal"/>
      <w:start w:val="6"/>
    </w:lvl>
  </w:abstractNum>
  <w:abstractNum w:abstractNumId="112">
    <w:nsid w:val="78B5E776"/>
    <w:multiLevelType w:val="hybridMultilevel"/>
    <w:lvl w:ilvl="0">
      <w:lvlJc w:val="left"/>
      <w:lvlText w:val="(%1)"/>
      <w:numFmt w:val="lowerLetter"/>
      <w:start w:val="1"/>
    </w:lvl>
  </w:abstractNum>
  <w:abstractNum w:abstractNumId="113">
    <w:nsid w:val="75486E47"/>
    <w:multiLevelType w:val="hybridMultilevel"/>
    <w:lvl w:ilvl="0">
      <w:lvlJc w:val="left"/>
      <w:lvlText w:val="(%1)"/>
      <w:numFmt w:val="lowerLetter"/>
      <w:start w:val="2"/>
    </w:lvl>
  </w:abstractNum>
  <w:abstractNum w:abstractNumId="114">
    <w:nsid w:val="6E534CDE"/>
    <w:multiLevelType w:val="hybridMultilevel"/>
    <w:lvl w:ilvl="0">
      <w:lvlJc w:val="left"/>
      <w:lvlText w:val="(%1)"/>
      <w:numFmt w:val="lowerRoman"/>
      <w:start w:val="3"/>
    </w:lvl>
  </w:abstractNum>
  <w:abstractNum w:abstractNumId="115">
    <w:nsid w:val="1A0DDE32"/>
    <w:multiLevelType w:val="hybridMultilevel"/>
    <w:lvl w:ilvl="0">
      <w:lvlJc w:val="left"/>
      <w:lvlText w:val="%1."/>
      <w:numFmt w:val="decimal"/>
      <w:start w:val="7"/>
    </w:lvl>
  </w:abstractNum>
  <w:abstractNum w:abstractNumId="116">
    <w:nsid w:val="65968C1C"/>
    <w:multiLevelType w:val="hybridMultilevel"/>
    <w:lvl w:ilvl="0">
      <w:lvlJc w:val="left"/>
      <w:lvlText w:val="%1."/>
      <w:numFmt w:val="decimal"/>
      <w:start w:val="8"/>
    </w:lvl>
  </w:abstractNum>
  <w:abstractNum w:abstractNumId="117">
    <w:nsid w:val="46263DEC"/>
    <w:multiLevelType w:val="hybridMultilevel"/>
    <w:lvl w:ilvl="0">
      <w:lvlJc w:val="left"/>
      <w:lvlText w:val="%1."/>
      <w:numFmt w:val="decimal"/>
      <w:start w:val="9"/>
    </w:lvl>
  </w:abstractNum>
  <w:abstractNum w:abstractNumId="118">
    <w:nsid w:val="260D8C4A"/>
    <w:multiLevelType w:val="hybridMultilevel"/>
    <w:lvl w:ilvl="0">
      <w:lvlJc w:val="left"/>
      <w:lvlText w:val="(%1)"/>
      <w:numFmt w:val="lowerLetter"/>
      <w:start w:val="1"/>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lowerLetter"/>
      <w:start w:val="1"/>
    </w:lvl>
  </w:abstractNum>
  <w:abstractNum w:abstractNumId="121">
    <w:nsid w:val="6FDE8AF6"/>
    <w:multiLevelType w:val="hybridMultilevel"/>
    <w:lvl w:ilvl="0">
      <w:lvlJc w:val="left"/>
      <w:lvlText w:val="(%1)"/>
      <w:numFmt w:val="lowerLetter"/>
      <w:start w:val="2"/>
    </w:lvl>
  </w:abstractNum>
  <w:abstractNum w:abstractNumId="122">
    <w:nsid w:val="3FC32E20"/>
    <w:multiLevelType w:val="hybridMultilevel"/>
    <w:lvl w:ilvl="0">
      <w:lvlJc w:val="left"/>
      <w:lvlText w:val="(%1)"/>
      <w:numFmt w:val="lowerRoman"/>
      <w:start w:val="3"/>
    </w:lvl>
  </w:abstractNum>
  <w:abstractNum w:abstractNumId="123">
    <w:nsid w:val="49C0E823"/>
    <w:multiLevelType w:val="hybridMultilevel"/>
    <w:lvl w:ilvl="0">
      <w:lvlJc w:val="left"/>
      <w:lvlText w:val="%1"/>
      <w:numFmt w:val="lowerLetter"/>
      <w:start w:val="1"/>
    </w:lvl>
    <w:lvl w:ilvl="1">
      <w:lvlJc w:val="left"/>
      <w:lvlText w:val="(%2)"/>
      <w:numFmt w:val="lowerLetter"/>
      <w:start w:val="1"/>
    </w:lvl>
  </w:abstractNum>
  <w:abstractNum w:abstractNumId="124">
    <w:nsid w:val="14D53685"/>
    <w:multiLevelType w:val="hybridMultilevel"/>
    <w:lvl w:ilvl="0">
      <w:lvlJc w:val="left"/>
      <w:lvlText w:val="(%1)"/>
      <w:numFmt w:val="lowerLetter"/>
      <w:start w:val="35"/>
    </w:lvl>
    <w:lvl w:ilvl="1">
      <w:lvlJc w:val="left"/>
      <w:lvlText w:val="%2"/>
      <w:numFmt w:val="lowerLetter"/>
      <w:start w:val="1"/>
    </w:lvl>
  </w:abstractNum>
  <w:abstractNum w:abstractNumId="125">
    <w:nsid w:val="230F856C"/>
    <w:multiLevelType w:val="hybridMultilevel"/>
    <w:lvl w:ilvl="0">
      <w:lvlJc w:val="left"/>
      <w:lvlText w:val="(%1)"/>
      <w:numFmt w:val="decimal"/>
      <w:start w:val="1"/>
    </w:lvl>
    <w:lvl w:ilvl="1">
      <w:lvlJc w:val="left"/>
      <w:lvlText w:val="(%2)"/>
      <w:numFmt w:val="lowerRoman"/>
      <w:start w:val="1"/>
    </w:lvl>
  </w:abstractNum>
  <w:abstractNum w:abstractNumId="126">
    <w:nsid w:val="6EAA85FB"/>
    <w:multiLevelType w:val="hybridMultilevel"/>
    <w:lvl w:ilvl="0">
      <w:lvlJc w:val="left"/>
      <w:lvlText w:val="%1."/>
      <w:numFmt w:val="lowerLetter"/>
      <w:start w:val="1"/>
    </w:lvl>
  </w:abstractNum>
  <w:abstractNum w:abstractNumId="127">
    <w:nsid w:val="3F06ECB2"/>
    <w:multiLevelType w:val="hybridMultilevel"/>
    <w:lvl w:ilvl="0">
      <w:lvlJc w:val="left"/>
      <w:lvlText w:val="(%1)"/>
      <w:numFmt w:val="decimal"/>
      <w:start w:val="1"/>
    </w:lvl>
  </w:abstractNum>
  <w:abstractNum w:abstractNumId="128">
    <w:nsid w:val="3B594807"/>
    <w:multiLevelType w:val="hybridMultilevel"/>
    <w:lvl w:ilvl="0">
      <w:lvlJc w:val="left"/>
      <w:lvlText w:val="[*]"/>
      <w:numFmt w:val="bullet"/>
      <w:start w:val="1"/>
    </w:lvl>
  </w:abstractNum>
  <w:abstractNum w:abstractNumId="129">
    <w:nsid w:val="6CAA2304"/>
    <w:multiLevelType w:val="hybridMultilevel"/>
    <w:lvl w:ilvl="0">
      <w:lvlJc w:val="left"/>
      <w:lvlText w:val="$"/>
      <w:numFmt w:val="bullet"/>
      <w:start w:val="1"/>
    </w:lvl>
  </w:abstractNum>
  <w:abstractNum w:abstractNumId="130">
    <w:nsid w:val="3F7C2FF4"/>
    <w:multiLevelType w:val="hybridMultilevel"/>
    <w:lvl w:ilvl="0">
      <w:lvlJc w:val="left"/>
      <w:lvlText w:val="$"/>
      <w:numFmt w:val="bullet"/>
      <w:start w:val="1"/>
    </w:lvl>
  </w:abstractNum>
  <w:abstractNum w:abstractNumId="131">
    <w:nsid w:val="25413BEC"/>
    <w:multiLevelType w:val="hybridMultilevel"/>
    <w:lvl w:ilvl="0">
      <w:lvlJc w:val="left"/>
      <w:lvlText w:val="$"/>
      <w:numFmt w:val="bullet"/>
      <w:start w:val="1"/>
    </w:lvl>
  </w:abstractNum>
  <w:abstractNum w:abstractNumId="132">
    <w:nsid w:val="17180B0B"/>
    <w:multiLevelType w:val="hybridMultilevel"/>
    <w:lvl w:ilvl="0">
      <w:lvlJc w:val="left"/>
      <w:lvlText w:val="$"/>
      <w:numFmt w:val="bullet"/>
      <w:start w:val="1"/>
    </w:lvl>
  </w:abstractNum>
  <w:abstractNum w:abstractNumId="133">
    <w:nsid w:val="579328B9"/>
    <w:multiLevelType w:val="hybridMultilevel"/>
    <w:lvl w:ilvl="0">
      <w:lvlJc w:val="left"/>
      <w:lvlText w:val="$"/>
      <w:numFmt w:val="bullet"/>
      <w:start w:val="1"/>
    </w:lvl>
  </w:abstractNum>
  <w:abstractNum w:abstractNumId="134">
    <w:nsid w:val="5D205E20"/>
    <w:multiLevelType w:val="hybridMultilevel"/>
    <w:lvl w:ilvl="0">
      <w:lvlJc w:val="left"/>
      <w:lvlText w:val="$"/>
      <w:numFmt w:val="bullet"/>
      <w:start w:val="1"/>
    </w:lvl>
  </w:abstractNum>
  <w:abstractNum w:abstractNumId="135">
    <w:nsid w:val="11CCA8BA"/>
    <w:multiLevelType w:val="hybridMultilevel"/>
    <w:lvl w:ilvl="0">
      <w:lvlJc w:val="left"/>
      <w:lvlText w:val="$"/>
      <w:numFmt w:val="bullet"/>
      <w:start w:val="1"/>
    </w:lvl>
  </w:abstractNum>
  <w:abstractNum w:abstractNumId="136">
    <w:nsid w:val="4D32AB86"/>
    <w:multiLevelType w:val="hybridMultilevel"/>
    <w:lvl w:ilvl="0">
      <w:lvlJc w:val="left"/>
      <w:lvlText w:val="$"/>
      <w:numFmt w:val="bullet"/>
      <w:start w:val="1"/>
    </w:lvl>
  </w:abstractNum>
  <w:abstractNum w:abstractNumId="137">
    <w:nsid w:val="3F07ACC3"/>
    <w:multiLevelType w:val="hybridMultilevel"/>
    <w:lvl w:ilvl="0">
      <w:lvlJc w:val="left"/>
      <w:lvlText w:val="[*]"/>
      <w:numFmt w:val="bullet"/>
      <w:start w:val="1"/>
    </w:lvl>
  </w:abstractNum>
  <w:abstractNum w:abstractNumId="138">
    <w:nsid w:val="6B47F63E"/>
    <w:multiLevelType w:val="hybridMultilevel"/>
    <w:lvl w:ilvl="0">
      <w:lvlJc w:val="left"/>
      <w:lvlText w:val="%1."/>
      <w:numFmt w:val="decimal"/>
      <w:start w:val="1"/>
    </w:lvl>
  </w:abstractNum>
  <w:abstractNum w:abstractNumId="139">
    <w:nsid w:val="5CB44A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0">
    <w:nsid w:val="16CF80F1"/>
    <w:multiLevelType w:val="hybridMultilevel"/>
    <w:lvl w:ilvl="0">
      <w:lvlJc w:val="left"/>
      <w:lvlText w:val="(%1)"/>
      <w:numFmt w:val="lowerLetter"/>
      <w:start w:val="1"/>
    </w:lvl>
  </w:abstractNum>
  <w:abstractNum w:abstractNumId="141">
    <w:nsid w:val="1C695DEC"/>
    <w:multiLevelType w:val="hybridMultilevel"/>
    <w:lvl w:ilvl="0">
      <w:lvlJc w:val="left"/>
      <w:lvlText w:val="(%1)"/>
      <w:numFmt w:val="lowerLetter"/>
      <w:start w:val="4"/>
    </w:lvl>
  </w:abstractNum>
  <w:abstractNum w:abstractNumId="142">
    <w:nsid w:val="3FCFAED9"/>
    <w:multiLevelType w:val="hybridMultilevel"/>
    <w:lvl w:ilvl="0">
      <w:lvlJc w:val="left"/>
      <w:lvlText w:val="(%1)"/>
      <w:numFmt w:val="lowerLetter"/>
      <w:start w:val="6"/>
    </w:lvl>
  </w:abstractNum>
  <w:abstractNum w:abstractNumId="143">
    <w:nsid w:val="F856867"/>
    <w:multiLevelType w:val="hybridMultilevel"/>
    <w:lvl w:ilvl="0">
      <w:lvlJc w:val="left"/>
      <w:lvlText w:val="(%1)"/>
      <w:numFmt w:val="lowerLetter"/>
      <w:start w:val="8"/>
    </w:lvl>
  </w:abstractNum>
  <w:abstractNum w:abstractNumId="144">
    <w:nsid w:val="11B1CC33"/>
    <w:multiLevelType w:val="hybridMultilevel"/>
    <w:lvl w:ilvl="0">
      <w:lvlJc w:val="left"/>
      <w:lvlText w:val="%1"/>
      <w:numFmt w:val="decimal"/>
      <w:start w:val="1"/>
    </w:lvl>
    <w:lvl w:ilvl="1">
      <w:lvlJc w:val="left"/>
      <w:lvlText w:val="(%2)"/>
      <w:numFmt w:val="lowerLetter"/>
      <w:start w:val="9"/>
    </w:lvl>
  </w:abstractNum>
  <w:abstractNum w:abstractNumId="145">
    <w:nsid w:val="2E22FBB7"/>
    <w:multiLevelType w:val="hybridMultilevel"/>
    <w:lvl w:ilvl="0">
      <w:lvlJc w:val="left"/>
      <w:lvlText w:val="%1."/>
      <w:numFmt w:val="decimal"/>
      <w:start w:val="5"/>
    </w:lvl>
    <w:lvl w:ilvl="1">
      <w:lvlJc w:val="left"/>
      <w:lvlText w:val="(%2)"/>
      <w:numFmt w:val="lowerLetter"/>
      <w:start w:val="1"/>
    </w:lvl>
  </w:abstractNum>
  <w:abstractNum w:abstractNumId="146">
    <w:nsid w:val="29934699"/>
    <w:multiLevelType w:val="hybridMultilevel"/>
    <w:lvl w:ilvl="0">
      <w:lvlJc w:val="left"/>
      <w:lvlText w:val="%1"/>
      <w:numFmt w:val="decimal"/>
      <w:start w:val="1"/>
    </w:lvl>
    <w:lvl w:ilvl="1">
      <w:lvlJc w:val="left"/>
      <w:lvlText w:val="(%2)"/>
      <w:numFmt w:val="lowerLetter"/>
      <w:start w:val="3"/>
    </w:lvl>
  </w:abstractNum>
  <w:abstractNum w:abstractNumId="147">
    <w:nsid w:val="77485850"/>
    <w:multiLevelType w:val="hybridMultilevel"/>
    <w:lvl w:ilvl="0">
      <w:lvlJc w:val="left"/>
      <w:lvlText w:val="%1."/>
      <w:numFmt w:val="decimal"/>
      <w:start w:val="6"/>
    </w:lvl>
    <w:lvl w:ilvl="1">
      <w:lvlJc w:val="left"/>
      <w:lvlText w:val="(%2)"/>
      <w:numFmt w:val="lowerLetter"/>
      <w:start w:val="1"/>
    </w:lvl>
  </w:abstractNum>
  <w:abstractNum w:abstractNumId="148">
    <w:nsid w:val="744939A3"/>
    <w:multiLevelType w:val="hybridMultilevel"/>
    <w:lvl w:ilvl="0">
      <w:lvlJc w:val="left"/>
      <w:lvlText w:val="(%1)"/>
      <w:numFmt w:val="lowerLetter"/>
      <w:start w:val="2"/>
    </w:lvl>
  </w:abstractNum>
  <w:abstractNum w:abstractNumId="149">
    <w:nsid w:val="4FA0D2E3"/>
    <w:multiLevelType w:val="hybridMultilevel"/>
    <w:lvl w:ilvl="0">
      <w:lvlJc w:val="left"/>
      <w:lvlText w:val="(%1)"/>
      <w:numFmt w:val="lowerLetter"/>
      <w:start w:val="3"/>
    </w:lvl>
  </w:abstractNum>
  <w:abstractNum w:abstractNumId="150">
    <w:nsid w:val="6B1D2C14"/>
    <w:multiLevelType w:val="hybridMultilevel"/>
    <w:lvl w:ilvl="0">
      <w:lvlJc w:val="left"/>
      <w:lvlText w:val="%1"/>
      <w:numFmt w:val="decimal"/>
      <w:start w:val="1"/>
    </w:lvl>
    <w:lvl w:ilvl="1">
      <w:lvlJc w:val="left"/>
      <w:lvlText w:val="%2."/>
      <w:numFmt w:val="decimal"/>
      <w:start w:val="1"/>
    </w:lvl>
  </w:abstractNum>
  <w:abstractNum w:abstractNumId="151">
    <w:nsid w:val="68B867D3"/>
    <w:multiLevelType w:val="hybridMultilevel"/>
    <w:lvl w:ilvl="0">
      <w:lvlJc w:val="left"/>
      <w:lvlText w:val="%1."/>
      <w:numFmt w:val="decimal"/>
      <w:start w:val="3"/>
    </w:lvl>
    <w:lvl w:ilvl="1">
      <w:lvlJc w:val="left"/>
      <w:lvlText w:val="%2"/>
      <w:numFmt w:val="decimal"/>
      <w:start w:val="1"/>
    </w:lvl>
  </w:abstractNum>
  <w:abstractNum w:abstractNumId="152">
    <w:nsid w:val="3F7F5DD9"/>
    <w:multiLevelType w:val="hybridMultilevel"/>
    <w:lvl w:ilvl="0">
      <w:lvlJc w:val="left"/>
      <w:lvlText w:val="%1."/>
      <w:numFmt w:val="decimal"/>
      <w:start w:val="5"/>
    </w:lvl>
  </w:abstractNum>
  <w:abstractNum w:abstractNumId="153">
    <w:nsid w:val="2AE05A34"/>
    <w:multiLevelType w:val="hybridMultilevel"/>
    <w:lvl w:ilvl="0">
      <w:lvlJc w:val="left"/>
      <w:lvlText w:val="%1."/>
      <w:numFmt w:val="decimal"/>
      <w:start w:val="6"/>
    </w:lvl>
    <w:lvl w:ilvl="1">
      <w:lvlJc w:val="left"/>
      <w:lvlText w:val="(%2)"/>
      <w:numFmt w:val="lowerLetter"/>
      <w:start w:val="1"/>
    </w:lvl>
  </w:abstractNum>
  <w:abstractNum w:abstractNumId="154">
    <w:nsid w:val="32794FF7"/>
    <w:multiLevelType w:val="hybridMultilevel"/>
    <w:lvl w:ilvl="0">
      <w:lvlJc w:val="left"/>
      <w:lvlText w:val="%1"/>
      <w:numFmt w:val="decimal"/>
      <w:start w:val="1"/>
    </w:lvl>
    <w:lvl w:ilvl="1">
      <w:lvlJc w:val="left"/>
      <w:lvlText w:val="(%2)"/>
      <w:numFmt w:val="lowerLetter"/>
      <w:start w:val="8"/>
    </w:lvl>
  </w:abstractNum>
  <w:abstractNum w:abstractNumId="155">
    <w:nsid w:val="5454945E"/>
    <w:multiLevelType w:val="hybridMultilevel"/>
    <w:lvl w:ilvl="0">
      <w:lvlJc w:val="left"/>
      <w:lvlText w:val="%1."/>
      <w:numFmt w:val="decimal"/>
      <w:start w:val="7"/>
    </w:lvl>
    <w:lvl w:ilvl="1">
      <w:lvlJc w:val="left"/>
      <w:lvlText w:val="(%2)"/>
      <w:numFmt w:val="lowerLetter"/>
      <w:start w:val="1"/>
    </w:lvl>
  </w:abstractNum>
  <w:abstractNum w:abstractNumId="156">
    <w:nsid w:val="4DEFDFA0"/>
    <w:multiLevelType w:val="hybridMultilevel"/>
    <w:lvl w:ilvl="0">
      <w:lvlJc w:val="left"/>
      <w:lvlText w:val="%1."/>
      <w:numFmt w:val="decimal"/>
      <w:start w:val="8"/>
    </w:lvl>
  </w:abstractNum>
  <w:abstractNum w:abstractNumId="157">
    <w:nsid w:val="2123D5F2"/>
    <w:multiLevelType w:val="hybridMultilevel"/>
    <w:lvl w:ilvl="0">
      <w:lvlJc w:val="left"/>
      <w:lvlText w:val="%1."/>
      <w:numFmt w:val="decimal"/>
      <w:start w:val="9"/>
    </w:lvl>
  </w:abstractNum>
  <w:abstractNum w:abstractNumId="158">
    <w:nsid w:val="135B8110"/>
    <w:multiLevelType w:val="hybridMultilevel"/>
    <w:lvl w:ilvl="0">
      <w:lvlJc w:val="left"/>
      <w:lvlText w:val="(%1)"/>
      <w:numFmt w:val="lowerLetter"/>
      <w:start w:val="1"/>
    </w:lvl>
  </w:abstractNum>
  <w:abstractNum w:abstractNumId="159">
    <w:nsid w:val="94927A8"/>
    <w:multiLevelType w:val="hybridMultilevel"/>
    <w:lvl w:ilvl="0">
      <w:lvlJc w:val="left"/>
      <w:lvlText w:val="%1."/>
      <w:numFmt w:val="decimal"/>
      <w:start w:val="1"/>
    </w:lvl>
  </w:abstractNum>
  <w:abstractNum w:abstractNumId="160">
    <w:nsid w:val="DCDF8F6"/>
    <w:multiLevelType w:val="hybridMultilevel"/>
    <w:lvl w:ilvl="0">
      <w:lvlJc w:val="left"/>
      <w:lvlText w:val="%1."/>
      <w:numFmt w:val="decimal"/>
      <w:start w:val="6"/>
    </w:lvl>
    <w:lvl w:ilvl="1">
      <w:lvlJc w:val="left"/>
      <w:lvlText w:val="(%2)"/>
      <w:numFmt w:val="lowerLetter"/>
      <w:start w:val="1"/>
    </w:lvl>
  </w:abstractNum>
  <w:abstractNum w:abstractNumId="161">
    <w:nsid w:val="52D7B105"/>
    <w:multiLevelType w:val="hybridMultilevel"/>
    <w:lvl w:ilvl="0">
      <w:lvlJc w:val="left"/>
      <w:lvlText w:val="%1"/>
      <w:numFmt w:val="decimal"/>
      <w:start w:val="1"/>
    </w:lvl>
    <w:lvl w:ilvl="1">
      <w:lvlJc w:val="left"/>
      <w:lvlText w:val="(%2)"/>
      <w:numFmt w:val="lowerLetter"/>
      <w:start w:val="8"/>
    </w:lvl>
  </w:abstractNum>
  <w:abstractNum w:abstractNumId="162">
    <w:nsid w:val="2E8A6394"/>
    <w:multiLevelType w:val="hybridMultilevel"/>
    <w:lvl w:ilvl="0">
      <w:lvlJc w:val="left"/>
      <w:lvlText w:val="%1."/>
      <w:numFmt w:val="decimal"/>
      <w:start w:val="7"/>
    </w:lvl>
    <w:lvl w:ilvl="1">
      <w:lvlJc w:val="left"/>
      <w:lvlText w:val="(%2)"/>
      <w:numFmt w:val="lowerLetter"/>
      <w:start w:val="1"/>
    </w:lvl>
  </w:abstractNum>
  <w:abstractNum w:abstractNumId="163">
    <w:nsid w:val="24E60401"/>
    <w:multiLevelType w:val="hybridMultilevel"/>
    <w:lvl w:ilvl="0">
      <w:lvlJc w:val="left"/>
      <w:lvlText w:val="%1."/>
      <w:numFmt w:val="decimal"/>
      <w:start w:val="9"/>
    </w:lvl>
  </w:abstractNum>
  <w:abstractNum w:abstractNumId="164">
    <w:nsid w:val="2A6AD9BE"/>
    <w:multiLevelType w:val="hybridMultilevel"/>
    <w:lvl w:ilvl="0">
      <w:lvlJc w:val="left"/>
      <w:lvlText w:val="%1."/>
      <w:numFmt w:val="decimal"/>
      <w:start w:val="16"/>
    </w:lvl>
  </w:abstractNum>
  <w:abstractNum w:abstractNumId="165">
    <w:nsid w:val="BAAC1B4"/>
    <w:multiLevelType w:val="hybridMultilevel"/>
    <w:lvl w:ilvl="0">
      <w:lvlJc w:val="left"/>
      <w:lvlText w:val="(%1)"/>
      <w:numFmt w:val="lowerLetter"/>
      <w:start w:val="1"/>
    </w:lvl>
  </w:abstractNum>
  <w:abstractNum w:abstractNumId="166">
    <w:nsid w:val="36B2ACBC"/>
    <w:multiLevelType w:val="hybridMultilevel"/>
    <w:lvl w:ilvl="0">
      <w:lvlJc w:val="left"/>
      <w:lvlText w:val="%1."/>
      <w:numFmt w:val="decimal"/>
      <w:start w:val="1"/>
    </w:lvl>
    <w:lvl w:ilvl="1">
      <w:lvlJc w:val="left"/>
      <w:lvlText w:val="%2."/>
      <w:numFmt w:val="decimal"/>
      <w:start w:val="3"/>
    </w:lvl>
  </w:abstractNum>
  <w:abstractNum w:abstractNumId="167">
    <w:nsid w:val="779D8544"/>
    <w:multiLevelType w:val="hybridMultilevel"/>
    <w:lvl w:ilvl="0">
      <w:lvlJc w:val="left"/>
      <w:lvlText w:val="%1."/>
      <w:numFmt w:val="decimal"/>
      <w:start w:val="5"/>
    </w:lvl>
  </w:abstractNum>
  <w:abstractNum w:abstractNumId="168">
    <w:nsid w:val="4AB26E78"/>
    <w:multiLevelType w:val="hybridMultilevel"/>
    <w:lvl w:ilvl="0">
      <w:lvlJc w:val="left"/>
      <w:lvlText w:val="%1."/>
      <w:numFmt w:val="decimal"/>
      <w:start w:val="6"/>
    </w:lvl>
    <w:lvl w:ilvl="1">
      <w:lvlJc w:val="left"/>
      <w:lvlText w:val="(%2)"/>
      <w:numFmt w:val="lowerLetter"/>
      <w:start w:val="1"/>
    </w:lvl>
  </w:abstractNum>
  <w:abstractNum w:abstractNumId="169">
    <w:nsid w:val="21FAA2FA"/>
    <w:multiLevelType w:val="hybridMultilevel"/>
    <w:lvl w:ilvl="0">
      <w:lvlJc w:val="left"/>
      <w:lvlText w:val="%1"/>
      <w:numFmt w:val="decimal"/>
      <w:start w:val="1"/>
    </w:lvl>
    <w:lvl w:ilvl="1">
      <w:lvlJc w:val="left"/>
      <w:lvlText w:val="(%2)"/>
      <w:numFmt w:val="lowerLetter"/>
      <w:start w:val="8"/>
    </w:lvl>
  </w:abstractNum>
  <w:abstractNum w:abstractNumId="170">
    <w:nsid w:val="5451CF49"/>
    <w:multiLevelType w:val="hybridMultilevel"/>
    <w:lvl w:ilvl="0">
      <w:lvlJc w:val="left"/>
      <w:lvlText w:val="%1."/>
      <w:numFmt w:val="decimal"/>
      <w:start w:val="7"/>
    </w:lvl>
    <w:lvl w:ilvl="1">
      <w:lvlJc w:val="left"/>
      <w:lvlText w:val="(%2)"/>
      <w:numFmt w:val="lowerLetter"/>
      <w:start w:val="1"/>
    </w:lvl>
  </w:abstractNum>
  <w:abstractNum w:abstractNumId="171">
    <w:nsid w:val="6181EF69"/>
    <w:multiLevelType w:val="hybridMultilevel"/>
    <w:lvl w:ilvl="0">
      <w:lvlJc w:val="left"/>
      <w:lvlText w:val="%1."/>
      <w:numFmt w:val="decimal"/>
      <w:start w:val="9"/>
    </w:lvl>
  </w:abstractNum>
  <w:abstractNum w:abstractNumId="172">
    <w:nsid w:val="3E6400E6"/>
    <w:multiLevelType w:val="hybridMultilevel"/>
    <w:lvl w:ilvl="0">
      <w:lvlJc w:val="left"/>
      <w:lvlText w:val="%1."/>
      <w:numFmt w:val="decimal"/>
      <w:start w:val="1"/>
    </w:lvl>
  </w:abstractNum>
  <w:abstractNum w:abstractNumId="173">
    <w:nsid w:val="14217E23"/>
    <w:multiLevelType w:val="hybridMultilevel"/>
    <w:lvl w:ilvl="0">
      <w:lvlJc w:val="left"/>
      <w:lvlText w:val="(%1)"/>
      <w:numFmt w:val="lowerLetter"/>
      <w:start w:val="2"/>
    </w:lvl>
  </w:abstractNum>
  <w:abstractNum w:abstractNumId="174">
    <w:nsid w:val="710757D0"/>
    <w:multiLevelType w:val="hybridMultilevel"/>
    <w:lvl w:ilvl="0">
      <w:lvlJc w:val="left"/>
      <w:lvlText w:val="(%1)"/>
      <w:numFmt w:val="lowerLetter"/>
      <w:start w:val="8"/>
    </w:lvl>
  </w:abstractNum>
  <w:abstractNum w:abstractNumId="175">
    <w:nsid w:val="5015CD1A"/>
    <w:multiLevelType w:val="hybridMultilevel"/>
    <w:lvl w:ilvl="0">
      <w:lvlJc w:val="left"/>
      <w:lvlText w:val="%1"/>
      <w:numFmt w:val="decimal"/>
      <w:start w:val="1"/>
    </w:lvl>
    <w:lvl w:ilvl="1">
      <w:lvlJc w:val="left"/>
      <w:lvlText w:val="(%2)"/>
      <w:numFmt w:val="lowerLetter"/>
      <w:start w:val="2"/>
    </w:lvl>
  </w:abstractNum>
  <w:abstractNum w:abstractNumId="176">
    <w:nsid w:val="424479DA"/>
    <w:multiLevelType w:val="hybridMultilevel"/>
    <w:lvl w:ilvl="0">
      <w:lvlJc w:val="left"/>
      <w:lvlText w:val="%1."/>
      <w:numFmt w:val="decimal"/>
      <w:start w:val="8"/>
    </w:lvl>
    <w:lvl w:ilvl="1">
      <w:lvlJc w:val="left"/>
      <w:lvlText w:val="%2"/>
      <w:numFmt w:val="lowerLetter"/>
      <w:start w:val="1"/>
    </w:lvl>
  </w:abstractNum>
  <w:abstractNum w:abstractNumId="177">
    <w:nsid w:val="1A9A9E69"/>
    <w:multiLevelType w:val="hybridMultilevel"/>
    <w:lvl w:ilvl="0">
      <w:lvlJc w:val="left"/>
      <w:lvlText w:val="%1."/>
      <w:numFmt w:val="decimal"/>
      <w:start w:val="9"/>
    </w:lvl>
  </w:abstractNum>
  <w:abstractNum w:abstractNumId="178">
    <w:nsid w:val="475E256A"/>
    <w:multiLevelType w:val="hybridMultilevel"/>
    <w:lvl w:ilvl="0">
      <w:lvlJc w:val="left"/>
      <w:lvlText w:val="%1."/>
      <w:numFmt w:val="decimal"/>
      <w:start w:val="16"/>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decimal"/>
      <w:start w:val="1"/>
    </w:lvl>
    <w:lvl w:ilvl="1">
      <w:lvlJc w:val="left"/>
      <w:lvlText w:val="%2."/>
      <w:numFmt w:val="lowerLetter"/>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jpe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jpeg"/><Relationship Id="rId432" Type="http://schemas.openxmlformats.org/officeDocument/2006/relationships/image" Target="media/image388.png"/><Relationship Id="rId433" Type="http://schemas.openxmlformats.org/officeDocument/2006/relationships/image" Target="media/image389.jpeg"/><Relationship Id="rId434" Type="http://schemas.openxmlformats.org/officeDocument/2006/relationships/image" Target="media/image390.jpeg"/><Relationship Id="rId435" Type="http://schemas.openxmlformats.org/officeDocument/2006/relationships/image" Target="media/image391.jpeg"/><Relationship Id="rId436" Type="http://schemas.openxmlformats.org/officeDocument/2006/relationships/image" Target="media/image392.jpeg"/><Relationship Id="rId437" Type="http://schemas.openxmlformats.org/officeDocument/2006/relationships/image" Target="media/image393.jpe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jpe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310" Type="http://schemas.openxmlformats.org/officeDocument/2006/relationships/hyperlink" Target="http://www.sec.gov/Archives/edgar/data/1463101/000146310118000069/enph-assetpurchaseagreemen.htm" TargetMode="External"/><Relationship Id="rId311" Type="http://schemas.openxmlformats.org/officeDocument/2006/relationships/hyperlink" Target="http://www.sec.gov/Archives/edgar/data/1463101/000119312512153425/d330683dex31.htm" TargetMode="External"/><Relationship Id="rId312" Type="http://schemas.openxmlformats.org/officeDocument/2006/relationships/hyperlink" Target="http://www.sec.gov/Archives/edgar/data/1463101/000146310117000091/a2017q210-qexx31certificat.htm" TargetMode="External"/><Relationship Id="rId313" Type="http://schemas.openxmlformats.org/officeDocument/2006/relationships/hyperlink" Target="http://www.sec.gov/Archives/edgar/data/1463101/000146310118000075/a2018q210-qexx33.htm" TargetMode="External"/><Relationship Id="rId314" Type="http://schemas.openxmlformats.org/officeDocument/2006/relationships/hyperlink" Target="http://www.sec.gov/Archives/edgar/data/1463101/000146310120000075/a20208-kexx31.htm" TargetMode="External"/><Relationship Id="rId315" Type="http://schemas.openxmlformats.org/officeDocument/2006/relationships/hyperlink" Target="http://www.sec.gov/Archives/edgar/data/1463101/000119312512110086/d195596dex35.htm" TargetMode="External"/><Relationship Id="rId316" Type="http://schemas.openxmlformats.org/officeDocument/2006/relationships/hyperlink" Target="http://www.sec.gov/Archives/edgar/data/1463101/000119312512110086/d195596dex41.htm" TargetMode="External"/><Relationship Id="rId317" Type="http://schemas.openxmlformats.org/officeDocument/2006/relationships/hyperlink" Target="http://www.sec.gov/Archives/edgar/data/1463101/000110465918052638/a18-18308_2ex4d1.htm" TargetMode="External"/><Relationship Id="rId318" Type="http://schemas.openxmlformats.org/officeDocument/2006/relationships/hyperlink" Target="http://www.sec.gov/Archives/edgar/data/1463101/000110465919034028/a19-11111_1ex4d1.htm" TargetMode="External"/><Relationship Id="rId319" Type="http://schemas.openxmlformats.org/officeDocument/2006/relationships/hyperlink" Target="http://www.sec.gov/Archives/edgar/data/1463101/000110465920030834/tm2011387d2_ex4-1.htm" TargetMode="External"/><Relationship Id="rId320" Type="http://schemas.openxmlformats.org/officeDocument/2006/relationships/hyperlink" Target="http://www.sec.gov/Archives/edgar/data/1463101/000119312511230109/dex101.htm" TargetMode="External"/><Relationship Id="rId321" Type="http://schemas.openxmlformats.org/officeDocument/2006/relationships/hyperlink" Target="http://www.sec.gov/Archives/edgar/data/1463101/000119312512230720/d339933dex991.htm" TargetMode="External"/><Relationship Id="rId322" Type="http://schemas.openxmlformats.org/officeDocument/2006/relationships/hyperlink" Target="http://www.sec.gov/Archives/edgar/data/1463101/000119312516510308/d277611ddef14a.htm" TargetMode="External"/><Relationship Id="rId323" Type="http://schemas.openxmlformats.org/officeDocument/2006/relationships/hyperlink" Target="http://www.sec.gov/Archives/edgar/data/1463101/000146310117000036/enphase2017definitiveproxy.htm" TargetMode="External"/><Relationship Id="rId335" Type="http://schemas.openxmlformats.org/officeDocument/2006/relationships/hyperlink" Target="http://www.sec.gov/Archives/edgar/data/1463101/000119312511165822/dex1017.htm" TargetMode="External"/><Relationship Id="rId336" Type="http://schemas.openxmlformats.org/officeDocument/2006/relationships/hyperlink" Target="http://www.sec.gov/Archives/edgar/data/1463101/000146310116000063/a2016q310-qexx104.htm" TargetMode="External"/><Relationship Id="rId337" Type="http://schemas.openxmlformats.org/officeDocument/2006/relationships/hyperlink" Target="http://www.sec.gov/Archives/edgar/data/1463101/000119312511165822/dex1018.htm" TargetMode="External"/><Relationship Id="rId338" Type="http://schemas.openxmlformats.org/officeDocument/2006/relationships/hyperlink" Target="http://www.sec.gov/Archives/edgar/data/1463101/000146310115000023/enph03312015ex101.htm" TargetMode="External"/><Relationship Id="rId339" Type="http://schemas.openxmlformats.org/officeDocument/2006/relationships/hyperlink" Target="http://www.sec.gov/Archives/edgar/data/1463101/000119312511165822/dex1020.htm" TargetMode="External"/><Relationship Id="rId340" Type="http://schemas.openxmlformats.org/officeDocument/2006/relationships/hyperlink" Target="http://www.sec.gov/Archives/edgar/data/1463101/000119312511165822/dex1021.htm" TargetMode="External"/><Relationship Id="rId341" Type="http://schemas.openxmlformats.org/officeDocument/2006/relationships/hyperlink" Target="http://www.sec.gov/Archives/edgar/data/1463101/000146310117000119/ex101enphcco8-k12052017.htm" TargetMode="External"/><Relationship Id="rId342" Type="http://schemas.openxmlformats.org/officeDocument/2006/relationships/hyperlink" Target="http://www.sec.gov/Archives/edgar/data/1463101/000146310113000006/enph03312013ex1050.htm" TargetMode="External"/><Relationship Id="rId348" Type="http://schemas.openxmlformats.org/officeDocument/2006/relationships/hyperlink" Target="http://www.sec.gov/Archives/edgar/data/1463101/000146310117000005/securitiespurchaseagreement.htm" TargetMode="External"/><Relationship Id="rId349" Type="http://schemas.openxmlformats.org/officeDocument/2006/relationships/hyperlink" Target="http://www.sec.gov/Archives/edgar/data/1463101/000146310118000075/a2018q210-qexx101.htm" TargetMode="External"/><Relationship Id="rId350" Type="http://schemas.openxmlformats.org/officeDocument/2006/relationships/hyperlink" Target="http://www.sec.gov/Archives/edgar/data/1463101/000110465918052638/a18-18308_2ex10d2.htm" TargetMode="External"/><Relationship Id="rId351" Type="http://schemas.openxmlformats.org/officeDocument/2006/relationships/hyperlink" Target="http://www.sec.gov/Archives/edgar/data/1463101/000146310119000003/a2019q1ex101bonusprogram.htm" TargetMode="External"/><Relationship Id="rId352" Type="http://schemas.openxmlformats.org/officeDocument/2006/relationships/hyperlink" Target="http://www.sec.gov/Archives/edgar/data/867773/000119312518253037/d650317dex992.htm" TargetMode="External"/><Relationship Id="rId353" Type="http://schemas.openxmlformats.org/officeDocument/2006/relationships/hyperlink" Target="http://www.sec.gov/Archives/edgar/data/1463101/000146310118000102/enph-redactedmastersupplya.htm" TargetMode="External"/><Relationship Id="rId354" Type="http://schemas.openxmlformats.org/officeDocument/2006/relationships/hyperlink" Target="http://www.sec.gov/Archives/edgar/data/867773/000086777319000006/amendment1_2018-12x18xtoxm.htm" TargetMode="External"/><Relationship Id="rId355" Type="http://schemas.openxmlformats.org/officeDocument/2006/relationships/hyperlink" Target="http://www.sec.gov/Archives/edgar/data/1463101/000146310119000033/ex1045baysideparkwayfrem.htm" TargetMode="External"/><Relationship Id="rId364" Type="http://schemas.openxmlformats.org/officeDocument/2006/relationships/hyperlink" Target="http://www.sec.gov/Archives/edgar/data/1463101/000110465919034028/a19-11111_1ex10d2.htm" TargetMode="External"/><Relationship Id="rId365" Type="http://schemas.openxmlformats.org/officeDocument/2006/relationships/hyperlink" Target="http://www.sec.gov/Archives/edgar/data/1463101/000110465919034028/a19-11111_1ex10d3.htm" TargetMode="External"/><Relationship Id="rId366" Type="http://schemas.openxmlformats.org/officeDocument/2006/relationships/hyperlink" Target="http://www.sec.gov/Archives/edgar/data/1463101/000110465920030834/tm2011387d2_ex10-2.htm" TargetMode="External"/><Relationship Id="rId367" Type="http://schemas.openxmlformats.org/officeDocument/2006/relationships/hyperlink" Target="http://www.sec.gov/Archives/edgar/data/1463101/000110465920030834/tm2011387d2_ex10-3.htm" TargetMode="External"/><Relationship Id="rId368" Type="http://schemas.openxmlformats.org/officeDocument/2006/relationships/hyperlink" Target="http://www.sec.gov/ix?doc=/Archives/edgar/data/1463101/000146310120000144/enph-20201214.htm" TargetMode="External"/><Relationship Id="rId373" Type="http://schemas.openxmlformats.org/officeDocument/2006/relationships/hyperlink" Target="http://www.sec.gov/Archives/edgar/data/1463101/000146310119000129/exhibit104mcneil.htm" TargetMode="External"/><Relationship Id="rId374" Type="http://schemas.openxmlformats.org/officeDocument/2006/relationships/hyperlink" Target="http://www.sec.gov/Archives/edgar/data/1463101/000146310120000127/a2020q310-q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2021-02-16T05:17:00Z</dcterms:created>
  <dcterms:modified xsi:type="dcterms:W3CDTF">2021-02-16T05:17:00Z</dcterms:modified>
</cp:coreProperties>
</file>