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904875</wp:posOffset>
            </wp:positionV>
            <wp:extent cx="7119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871855</wp:posOffset>
            </wp:positionV>
            <wp:extent cx="7119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96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2884170</wp:posOffset>
            </wp:positionH>
            <wp:positionV relativeFrom="paragraph">
              <wp:posOffset>97790</wp:posOffset>
            </wp:positionV>
            <wp:extent cx="1348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2908935</wp:posOffset>
            </wp:positionH>
            <wp:positionV relativeFrom="paragraph">
              <wp:posOffset>149860</wp:posOffset>
            </wp:positionV>
            <wp:extent cx="1340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(Mark One)</w:t>
      </w:r>
    </w:p>
    <w:p>
      <w:pPr>
        <w:spacing w:after="0" w:line="123" w:lineRule="exact"/>
        <w:rPr>
          <w:sz w:val="24"/>
          <w:szCs w:val="24"/>
          <w:color w:val="auto"/>
        </w:rPr>
      </w:pPr>
    </w:p>
    <w:p>
      <w:pPr>
        <w:ind w:left="220" w:hanging="215"/>
        <w:spacing w:after="0"/>
        <w:tabs>
          <w:tab w:leader="none" w:pos="22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fiscal year ended December 31, 2023</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132" w:lineRule="exact"/>
        <w:rPr>
          <w:sz w:val="24"/>
          <w:szCs w:val="24"/>
          <w:color w:val="auto"/>
        </w:rPr>
      </w:pPr>
    </w:p>
    <w:p>
      <w:pPr>
        <w:ind w:left="220" w:hanging="215"/>
        <w:spacing w:after="0"/>
        <w:tabs>
          <w:tab w:leader="none" w:pos="220" w:val="left"/>
        </w:tabs>
        <w:numPr>
          <w:ilvl w:val="0"/>
          <w:numId w:val="2"/>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9" w:lineRule="exact"/>
        <w:rPr>
          <w:sz w:val="24"/>
          <w:szCs w:val="24"/>
          <w:color w:val="auto"/>
        </w:rPr>
      </w:pPr>
    </w:p>
    <w:p>
      <w:pPr>
        <w:ind w:left="3660"/>
        <w:spacing w:after="0"/>
        <w:tabs>
          <w:tab w:leader="none" w:pos="67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2442845</wp:posOffset>
            </wp:positionH>
            <wp:positionV relativeFrom="paragraph">
              <wp:posOffset>104140</wp:posOffset>
            </wp:positionV>
            <wp:extent cx="2248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8535" cy="825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196215</wp:posOffset>
            </wp:positionV>
            <wp:extent cx="2164715" cy="374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4715" cy="374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tbl>
      <w:tblPr>
        <w:tblLayout w:type="fixed"/>
        <w:tblInd w:w="720" w:type="dxa"/>
        <w:tblCellMar>
          <w:top w:w="0" w:type="dxa"/>
          <w:left w:w="0" w:type="dxa"/>
          <w:bottom w:w="0" w:type="dxa"/>
          <w:right w:w="0" w:type="dxa"/>
        </w:tblCellMar>
      </w:tblPr>
      <w:tr>
        <w:trPr>
          <w:trHeight w:val="435"/>
        </w:trPr>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80" w:type="dxa"/>
            <w:vAlign w:val="bottom"/>
            <w:gridSpan w:val="3"/>
          </w:tcPr>
          <w:p>
            <w:pPr>
              <w:jc w:val="center"/>
              <w:ind w:right="20"/>
              <w:spacing w:after="0"/>
              <w:rPr>
                <w:sz w:val="20"/>
                <w:szCs w:val="20"/>
                <w:color w:val="auto"/>
              </w:rPr>
            </w:pPr>
            <w:r>
              <w:rPr>
                <w:rFonts w:ascii="Arial" w:cs="Arial" w:eastAsia="Arial" w:hAnsi="Arial"/>
                <w:sz w:val="31"/>
                <w:szCs w:val="31"/>
                <w:b w:val="1"/>
                <w:bCs w:val="1"/>
                <w:color w:val="auto"/>
              </w:rPr>
              <w:t>Enphase Energy, Inc.</w:t>
            </w: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580" w:type="dxa"/>
            <w:vAlign w:val="bottom"/>
            <w:gridSpan w:val="3"/>
          </w:tcPr>
          <w:p>
            <w:pPr>
              <w:jc w:val="center"/>
              <w:spacing w:after="0"/>
              <w:rPr>
                <w:sz w:val="20"/>
                <w:szCs w:val="20"/>
                <w:color w:val="auto"/>
              </w:rPr>
            </w:pPr>
            <w:r>
              <w:rPr>
                <w:rFonts w:ascii="Arial" w:cs="Arial" w:eastAsia="Arial" w:hAnsi="Arial"/>
                <w:sz w:val="12"/>
                <w:szCs w:val="12"/>
                <w:color w:val="auto"/>
              </w:rPr>
              <w:t>(Exact name of registrant as specified in its charter)</w:t>
            </w:r>
          </w:p>
        </w:tc>
        <w:tc>
          <w:tcPr>
            <w:tcW w:w="3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00" w:type="dxa"/>
            <w:vAlign w:val="bottom"/>
          </w:tcPr>
          <w:p>
            <w:pPr>
              <w:spacing w:after="0"/>
              <w:rPr>
                <w:sz w:val="10"/>
                <w:szCs w:val="10"/>
                <w:color w:val="auto"/>
              </w:rPr>
            </w:pPr>
          </w:p>
        </w:tc>
        <w:tc>
          <w:tcPr>
            <w:tcW w:w="212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rPr>
              <w:t>Delaware</w:t>
            </w:r>
          </w:p>
        </w:tc>
        <w:tc>
          <w:tcPr>
            <w:tcW w:w="1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800" w:type="dxa"/>
            <w:vAlign w:val="bottom"/>
            <w:gridSpan w:val="2"/>
            <w:vMerge w:val="restart"/>
          </w:tcPr>
          <w:p>
            <w:pPr>
              <w:jc w:val="center"/>
              <w:ind w:right="757"/>
              <w:spacing w:after="0"/>
              <w:rPr>
                <w:sz w:val="20"/>
                <w:szCs w:val="20"/>
                <w:color w:val="auto"/>
              </w:rPr>
            </w:pPr>
            <w:r>
              <w:rPr>
                <w:rFonts w:ascii="Arial" w:cs="Arial" w:eastAsia="Arial" w:hAnsi="Arial"/>
                <w:sz w:val="17"/>
                <w:szCs w:val="17"/>
                <w:b w:val="1"/>
                <w:bCs w:val="1"/>
                <w:color w:val="auto"/>
              </w:rPr>
              <w:t>20-4645388</w:t>
            </w:r>
          </w:p>
        </w:tc>
        <w:tc>
          <w:tcPr>
            <w:tcW w:w="0" w:type="dxa"/>
            <w:vAlign w:val="bottom"/>
          </w:tcPr>
          <w:p>
            <w:pPr>
              <w:spacing w:after="0"/>
              <w:rPr>
                <w:sz w:val="1"/>
                <w:szCs w:val="1"/>
                <w:color w:val="auto"/>
              </w:rPr>
            </w:pPr>
          </w:p>
        </w:tc>
      </w:tr>
      <w:tr>
        <w:trPr>
          <w:trHeight w:val="474"/>
        </w:trPr>
        <w:tc>
          <w:tcPr>
            <w:tcW w:w="1000" w:type="dxa"/>
            <w:vAlign w:val="bottom"/>
          </w:tcPr>
          <w:p>
            <w:pPr>
              <w:spacing w:after="0"/>
              <w:rPr>
                <w:sz w:val="24"/>
                <w:szCs w:val="24"/>
                <w:color w:val="auto"/>
              </w:rPr>
            </w:pPr>
          </w:p>
        </w:tc>
        <w:tc>
          <w:tcPr>
            <w:tcW w:w="212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000" w:type="dxa"/>
            <w:vAlign w:val="bottom"/>
          </w:tcPr>
          <w:p>
            <w:pPr>
              <w:spacing w:after="0"/>
              <w:rPr>
                <w:sz w:val="10"/>
                <w:szCs w:val="10"/>
                <w:color w:val="auto"/>
              </w:rPr>
            </w:pPr>
          </w:p>
        </w:tc>
        <w:tc>
          <w:tcPr>
            <w:tcW w:w="2120" w:type="dxa"/>
            <w:vAlign w:val="bottom"/>
            <w:gridSpan w:val="2"/>
          </w:tcPr>
          <w:p>
            <w:pPr>
              <w:jc w:val="center"/>
              <w:spacing w:after="0" w:line="123" w:lineRule="exact"/>
              <w:rPr>
                <w:sz w:val="20"/>
                <w:szCs w:val="20"/>
                <w:color w:val="auto"/>
              </w:rPr>
            </w:pPr>
            <w:r>
              <w:rPr>
                <w:rFonts w:ascii="Arial" w:cs="Arial" w:eastAsia="Arial" w:hAnsi="Arial"/>
                <w:sz w:val="12"/>
                <w:szCs w:val="12"/>
                <w:color w:val="auto"/>
              </w:rPr>
              <w:t>(State or other jurisdiction of</w:t>
            </w:r>
          </w:p>
        </w:tc>
        <w:tc>
          <w:tcPr>
            <w:tcW w:w="1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20" w:type="dxa"/>
            <w:vAlign w:val="bottom"/>
          </w:tcPr>
          <w:p>
            <w:pPr>
              <w:jc w:val="center"/>
              <w:ind w:right="1137"/>
              <w:spacing w:after="0" w:line="123" w:lineRule="exact"/>
              <w:rPr>
                <w:sz w:val="20"/>
                <w:szCs w:val="20"/>
                <w:color w:val="auto"/>
              </w:rPr>
            </w:pPr>
            <w:r>
              <w:rPr>
                <w:rFonts w:ascii="Arial" w:cs="Arial" w:eastAsia="Arial" w:hAnsi="Arial"/>
                <w:sz w:val="12"/>
                <w:szCs w:val="12"/>
                <w:color w:val="auto"/>
              </w:rPr>
              <w:t>(I.R.S. Employer</w:t>
            </w: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3"/>
                <w:szCs w:val="13"/>
                <w:color w:val="auto"/>
              </w:rPr>
            </w:pPr>
          </w:p>
        </w:tc>
        <w:tc>
          <w:tcPr>
            <w:tcW w:w="2120" w:type="dxa"/>
            <w:vAlign w:val="bottom"/>
            <w:gridSpan w:val="2"/>
          </w:tcPr>
          <w:p>
            <w:pPr>
              <w:jc w:val="center"/>
              <w:spacing w:after="0"/>
              <w:rPr>
                <w:sz w:val="20"/>
                <w:szCs w:val="20"/>
                <w:color w:val="auto"/>
              </w:rPr>
            </w:pPr>
            <w:r>
              <w:rPr>
                <w:rFonts w:ascii="Arial" w:cs="Arial" w:eastAsia="Arial" w:hAnsi="Arial"/>
                <w:sz w:val="12"/>
                <w:szCs w:val="12"/>
                <w:color w:val="auto"/>
              </w:rPr>
              <w:t>incorporation or organization)</w:t>
            </w: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20" w:type="dxa"/>
            <w:vAlign w:val="bottom"/>
          </w:tcPr>
          <w:p>
            <w:pPr>
              <w:jc w:val="center"/>
              <w:ind w:right="1157"/>
              <w:spacing w:after="0"/>
              <w:rPr>
                <w:sz w:val="20"/>
                <w:szCs w:val="20"/>
                <w:color w:val="auto"/>
              </w:rPr>
            </w:pPr>
            <w:r>
              <w:rPr>
                <w:rFonts w:ascii="Arial" w:cs="Arial" w:eastAsia="Arial" w:hAnsi="Arial"/>
                <w:sz w:val="12"/>
                <w:szCs w:val="12"/>
                <w:color w:val="auto"/>
              </w:rPr>
              <w:t>Identification No.)</w:t>
            </w:r>
          </w:p>
        </w:tc>
        <w:tc>
          <w:tcPr>
            <w:tcW w:w="0" w:type="dxa"/>
            <w:vAlign w:val="bottom"/>
          </w:tcPr>
          <w:p>
            <w:pPr>
              <w:spacing w:after="0"/>
              <w:rPr>
                <w:sz w:val="1"/>
                <w:szCs w:val="1"/>
                <w:color w:val="auto"/>
              </w:rPr>
            </w:pPr>
          </w:p>
        </w:tc>
      </w:tr>
      <w:tr>
        <w:trPr>
          <w:trHeight w:val="293"/>
        </w:trPr>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8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rPr>
              <w:t>47281 Bayside Parkway</w:t>
            </w: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580" w:type="dxa"/>
            <w:vAlign w:val="bottom"/>
            <w:gridSpan w:val="3"/>
          </w:tcPr>
          <w:p>
            <w:pPr>
              <w:jc w:val="center"/>
              <w:spacing w:after="0"/>
              <w:rPr>
                <w:sz w:val="20"/>
                <w:szCs w:val="20"/>
                <w:color w:val="auto"/>
              </w:rPr>
            </w:pPr>
            <w:r>
              <w:rPr>
                <w:rFonts w:ascii="Arial" w:cs="Arial" w:eastAsia="Arial" w:hAnsi="Arial"/>
                <w:sz w:val="17"/>
                <w:szCs w:val="17"/>
                <w:b w:val="1"/>
                <w:bCs w:val="1"/>
                <w:color w:val="auto"/>
              </w:rPr>
              <w:t>Fremont, CA 94538</w:t>
            </w:r>
          </w:p>
        </w:tc>
        <w:tc>
          <w:tcPr>
            <w:tcW w:w="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580" w:type="dxa"/>
            <w:vAlign w:val="bottom"/>
            <w:gridSpan w:val="3"/>
          </w:tcPr>
          <w:p>
            <w:pPr>
              <w:jc w:val="center"/>
              <w:spacing w:after="0"/>
              <w:rPr>
                <w:sz w:val="20"/>
                <w:szCs w:val="20"/>
                <w:color w:val="auto"/>
              </w:rPr>
            </w:pPr>
            <w:r>
              <w:rPr>
                <w:rFonts w:ascii="Arial" w:cs="Arial" w:eastAsia="Arial" w:hAnsi="Arial"/>
                <w:sz w:val="12"/>
                <w:szCs w:val="12"/>
                <w:color w:val="auto"/>
              </w:rPr>
              <w:t>(Address of principal executive offices, including zip code)</w:t>
            </w:r>
          </w:p>
        </w:tc>
        <w:tc>
          <w:tcPr>
            <w:tcW w:w="3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9"/>
        </w:trPr>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8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rPr>
              <w:t>(707) 774-7000</w:t>
            </w: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580" w:type="dxa"/>
            <w:vAlign w:val="bottom"/>
            <w:gridSpan w:val="3"/>
          </w:tcPr>
          <w:p>
            <w:pPr>
              <w:jc w:val="center"/>
              <w:spacing w:after="0"/>
              <w:rPr>
                <w:sz w:val="20"/>
                <w:szCs w:val="20"/>
                <w:color w:val="auto"/>
              </w:rPr>
            </w:pPr>
            <w:r>
              <w:rPr>
                <w:rFonts w:ascii="Arial" w:cs="Arial" w:eastAsia="Arial" w:hAnsi="Arial"/>
                <w:sz w:val="12"/>
                <w:szCs w:val="12"/>
                <w:color w:val="auto"/>
              </w:rPr>
              <w:t>(Registrant’s telephone number, including area code)</w:t>
            </w:r>
          </w:p>
        </w:tc>
        <w:tc>
          <w:tcPr>
            <w:tcW w:w="3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1"/>
        </w:trPr>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80" w:type="dxa"/>
            <w:vAlign w:val="bottom"/>
            <w:gridSpan w:val="6"/>
          </w:tcPr>
          <w:p>
            <w:pPr>
              <w:jc w:val="center"/>
              <w:ind w:right="1657"/>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rPr>
              <w:t>Title of each class:</w:t>
            </w:r>
          </w:p>
        </w:tc>
        <w:tc>
          <w:tcPr>
            <w:tcW w:w="1100" w:type="dxa"/>
            <w:vAlign w:val="bottom"/>
          </w:tcPr>
          <w:p>
            <w:pPr>
              <w:spacing w:after="0"/>
              <w:rPr>
                <w:sz w:val="19"/>
                <w:szCs w:val="19"/>
                <w:color w:val="auto"/>
              </w:rPr>
            </w:pPr>
          </w:p>
        </w:tc>
        <w:tc>
          <w:tcPr>
            <w:tcW w:w="3580" w:type="dxa"/>
            <w:vAlign w:val="bottom"/>
            <w:gridSpan w:val="3"/>
          </w:tcPr>
          <w:p>
            <w:pPr>
              <w:jc w:val="center"/>
              <w:ind w:right="40"/>
              <w:spacing w:after="0"/>
              <w:rPr>
                <w:sz w:val="20"/>
                <w:szCs w:val="20"/>
                <w:color w:val="auto"/>
              </w:rPr>
            </w:pPr>
            <w:r>
              <w:rPr>
                <w:rFonts w:ascii="Arial" w:cs="Arial" w:eastAsia="Arial" w:hAnsi="Arial"/>
                <w:sz w:val="12"/>
                <w:szCs w:val="12"/>
                <w:color w:val="auto"/>
                <w:w w:val="99"/>
              </w:rPr>
              <w:t>Trading Symbol(s)</w:t>
            </w:r>
          </w:p>
        </w:tc>
        <w:tc>
          <w:tcPr>
            <w:tcW w:w="38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2"/>
                <w:szCs w:val="12"/>
                <w:color w:val="auto"/>
              </w:rPr>
              <w:t>Name of each exchange on which registered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3"/>
          </w:tcPr>
          <w:p>
            <w:pPr>
              <w:jc w:val="center"/>
              <w:ind w:right="13"/>
              <w:spacing w:after="0"/>
              <w:rPr>
                <w:sz w:val="20"/>
                <w:szCs w:val="20"/>
                <w:color w:val="auto"/>
              </w:rPr>
            </w:pPr>
            <w:r>
              <w:rPr>
                <w:rFonts w:ascii="Arial" w:cs="Arial" w:eastAsia="Arial" w:hAnsi="Arial"/>
                <w:sz w:val="14"/>
                <w:szCs w:val="14"/>
                <w:b w:val="1"/>
                <w:bCs w:val="1"/>
                <w:color w:val="auto"/>
              </w:rPr>
              <w:t>Common Stock, $0.00001 par value per share</w:t>
            </w:r>
          </w:p>
        </w:tc>
        <w:tc>
          <w:tcPr>
            <w:tcW w:w="1280" w:type="dxa"/>
            <w:vAlign w:val="bottom"/>
          </w:tcPr>
          <w:p>
            <w:pPr>
              <w:spacing w:after="0"/>
              <w:rPr>
                <w:sz w:val="19"/>
                <w:szCs w:val="19"/>
                <w:color w:val="auto"/>
              </w:rPr>
            </w:pPr>
          </w:p>
        </w:tc>
        <w:tc>
          <w:tcPr>
            <w:tcW w:w="230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7"/>
              </w:rPr>
              <w:t>ENPH</w:t>
            </w:r>
          </w:p>
        </w:tc>
        <w:tc>
          <w:tcPr>
            <w:tcW w:w="38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9"/>
              </w:rPr>
              <w:t>Nasdaq Global Market</w:t>
            </w:r>
          </w:p>
        </w:tc>
        <w:tc>
          <w:tcPr>
            <w:tcW w:w="0" w:type="dxa"/>
            <w:vAlign w:val="bottom"/>
          </w:tcPr>
          <w:p>
            <w:pPr>
              <w:spacing w:after="0"/>
              <w:rPr>
                <w:sz w:val="1"/>
                <w:szCs w:val="1"/>
                <w:color w:val="auto"/>
              </w:rPr>
            </w:pPr>
          </w:p>
        </w:tc>
      </w:tr>
    </w:tbl>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2442845</wp:posOffset>
            </wp:positionH>
            <wp:positionV relativeFrom="paragraph">
              <wp:posOffset>129540</wp:posOffset>
            </wp:positionV>
            <wp:extent cx="2248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314"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2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63"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706120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800"/>
        <w:spacing w:after="0" w:line="26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 xml:space="preserve">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22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700"/>
              <w:spacing w:after="0" w:line="191" w:lineRule="exact"/>
              <w:rPr>
                <w:sz w:val="20"/>
                <w:szCs w:val="20"/>
                <w:color w:val="auto"/>
              </w:rPr>
            </w:pPr>
            <w:r>
              <w:rPr>
                <w:rFonts w:ascii="MS PGothic" w:cs="MS PGothic" w:eastAsia="MS PGothic" w:hAnsi="MS PGothic"/>
                <w:sz w:val="19"/>
                <w:szCs w:val="19"/>
                <w:color w:val="auto"/>
              </w:rPr>
              <w:t>☒</w:t>
            </w:r>
          </w:p>
        </w:tc>
        <w:tc>
          <w:tcPr>
            <w:tcW w:w="4780" w:type="dxa"/>
            <w:vAlign w:val="bottom"/>
          </w:tcPr>
          <w:p>
            <w:pPr>
              <w:ind w:left="222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0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249"/>
        </w:trPr>
        <w:tc>
          <w:tcPr>
            <w:tcW w:w="226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700"/>
              <w:spacing w:after="0" w:line="191" w:lineRule="exact"/>
              <w:rPr>
                <w:sz w:val="20"/>
                <w:szCs w:val="20"/>
                <w:color w:val="auto"/>
              </w:rPr>
            </w:pPr>
            <w:r>
              <w:rPr>
                <w:rFonts w:ascii="MS PGothic" w:cs="MS PGothic" w:eastAsia="MS PGothic" w:hAnsi="MS PGothic"/>
                <w:sz w:val="19"/>
                <w:szCs w:val="19"/>
                <w:color w:val="auto"/>
              </w:rPr>
              <w:t>☐</w:t>
            </w:r>
          </w:p>
        </w:tc>
        <w:tc>
          <w:tcPr>
            <w:tcW w:w="4780" w:type="dxa"/>
            <w:vAlign w:val="bottom"/>
          </w:tcPr>
          <w:p>
            <w:pPr>
              <w:ind w:left="222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0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24"/>
        </w:trPr>
        <w:tc>
          <w:tcPr>
            <w:tcW w:w="2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80" w:type="dxa"/>
            <w:vAlign w:val="bottom"/>
          </w:tcPr>
          <w:p>
            <w:pPr>
              <w:ind w:left="222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0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162" w:lineRule="exact"/>
        <w:rPr>
          <w:sz w:val="20"/>
          <w:szCs w:val="20"/>
          <w:color w:val="auto"/>
        </w:rPr>
      </w:pPr>
    </w:p>
    <w:p>
      <w:pPr>
        <w:spacing w:after="0" w:line="227" w:lineRule="exact"/>
        <w:rPr>
          <w:sz w:val="20"/>
          <w:szCs w:val="20"/>
          <w:color w:val="auto"/>
        </w:rPr>
      </w:pPr>
      <w:r>
        <w:rPr>
          <w:rFonts w:ascii="Arial" w:cs="Arial" w:eastAsia="Arial" w:hAnsi="Arial"/>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72"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 xml:space="preserve">report. </w:t>
      </w:r>
      <w:r>
        <w:rPr>
          <w:rFonts w:ascii="MS PGothic" w:cs="MS PGothic" w:eastAsia="MS PGothic" w:hAnsi="MS PGothic"/>
          <w:sz w:val="19"/>
          <w:szCs w:val="19"/>
          <w:color w:val="auto"/>
        </w:rPr>
        <w:t>☒</w:t>
      </w:r>
    </w:p>
    <w:p>
      <w:pPr>
        <w:spacing w:after="0" w:line="105" w:lineRule="exact"/>
        <w:rPr>
          <w:sz w:val="20"/>
          <w:szCs w:val="20"/>
          <w:color w:val="auto"/>
        </w:rPr>
      </w:pPr>
    </w:p>
    <w:p>
      <w:pPr>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0" w:lineRule="exact"/>
        <w:rPr>
          <w:sz w:val="20"/>
          <w:szCs w:val="20"/>
          <w:color w:val="auto"/>
        </w:rPr>
      </w:pPr>
    </w:p>
    <w:p>
      <w:pPr>
        <w:ind w:right="280"/>
        <w:spacing w:after="0" w:line="206"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21"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6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aggregate market value of the voting stock held by non-affiliates of the registrant on June 30, 2023, based upon the closing price of $167.48 of the registrant’s common stock as reported on the Nasdaq Global Market, was approximately $17.2 billion.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5, 2024, there were 135,759,339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99060</wp:posOffset>
            </wp:positionV>
            <wp:extent cx="1665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12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Portions of the registrant’s Proxy Statement for the 2024 Annual Meeting of Stockholders to be filed with the Securities and Exchange Commission within 120 days after the end of the registrant’s fiscal year ended December 31, 2023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941705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80010</wp:posOffset>
            </wp:positionV>
            <wp:extent cx="7119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46990</wp:posOffset>
            </wp:positionV>
            <wp:extent cx="7119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9620" cy="825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0"/>
        </w:trPr>
        <w:tc>
          <w:tcPr>
            <w:tcW w:w="860" w:type="dxa"/>
            <w:vAlign w:val="bottom"/>
          </w:tcPr>
          <w:p>
            <w:pPr>
              <w:spacing w:after="0"/>
              <w:rPr>
                <w:sz w:val="20"/>
                <w:szCs w:val="20"/>
                <w:color w:val="auto"/>
              </w:rPr>
            </w:pPr>
          </w:p>
        </w:tc>
        <w:tc>
          <w:tcPr>
            <w:tcW w:w="9500" w:type="dxa"/>
            <w:vAlign w:val="bottom"/>
          </w:tcPr>
          <w:p>
            <w:pPr>
              <w:ind w:left="3880"/>
              <w:spacing w:after="0"/>
              <w:rPr>
                <w:sz w:val="20"/>
                <w:szCs w:val="20"/>
                <w:color w:val="auto"/>
              </w:rPr>
            </w:pPr>
            <w:r>
              <w:rPr>
                <w:rFonts w:ascii="Arial" w:cs="Arial" w:eastAsia="Arial" w:hAnsi="Arial"/>
                <w:sz w:val="17"/>
                <w:szCs w:val="17"/>
                <w:b w:val="1"/>
                <w:bCs w:val="1"/>
                <w:color w:val="auto"/>
              </w:rPr>
              <w:t>Enphase Energy, Inc.</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860" w:type="dxa"/>
            <w:vAlign w:val="bottom"/>
          </w:tcPr>
          <w:p>
            <w:pPr>
              <w:spacing w:after="0"/>
              <w:rPr>
                <w:sz w:val="24"/>
                <w:szCs w:val="24"/>
                <w:color w:val="auto"/>
              </w:rPr>
            </w:pPr>
          </w:p>
        </w:tc>
        <w:tc>
          <w:tcPr>
            <w:tcW w:w="9500" w:type="dxa"/>
            <w:vAlign w:val="bottom"/>
          </w:tcPr>
          <w:p>
            <w:pPr>
              <w:ind w:left="4040"/>
              <w:spacing w:after="0"/>
              <w:rPr>
                <w:sz w:val="20"/>
                <w:szCs w:val="20"/>
                <w:color w:val="auto"/>
              </w:rPr>
            </w:pPr>
            <w:r>
              <w:rPr>
                <w:rFonts w:ascii="Arial" w:cs="Arial" w:eastAsia="Arial" w:hAnsi="Arial"/>
                <w:sz w:val="17"/>
                <w:szCs w:val="17"/>
                <w:b w:val="1"/>
                <w:bCs w:val="1"/>
                <w:color w:val="auto"/>
              </w:rPr>
              <w:t>Table of Contents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9500" w:type="dxa"/>
            <w:vAlign w:val="bottom"/>
            <w:vMerge w:val="restart"/>
          </w:tcPr>
          <w:p>
            <w:pPr>
              <w:jc w:val="center"/>
              <w:ind w:left="121"/>
              <w:spacing w:after="0"/>
              <w:rPr>
                <w:sz w:val="20"/>
                <w:szCs w:val="20"/>
                <w:color w:val="auto"/>
              </w:rPr>
            </w:pPr>
            <w:r>
              <w:rPr>
                <w:rFonts w:ascii="Arial" w:cs="Arial" w:eastAsia="Arial" w:hAnsi="Arial"/>
                <w:sz w:val="16"/>
                <w:szCs w:val="16"/>
                <w:b w:val="1"/>
                <w:bCs w:val="1"/>
                <w:color w:val="0000FF"/>
                <w:w w:val="95"/>
              </w:rPr>
              <w:t>PART I</w:t>
            </w:r>
          </w:p>
        </w:tc>
        <w:tc>
          <w:tcPr>
            <w:tcW w:w="880" w:type="dxa"/>
            <w:vAlign w:val="bottom"/>
            <w:gridSpan w:val="2"/>
          </w:tcPr>
          <w:p>
            <w:pPr>
              <w:ind w:left="2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9500" w:type="dxa"/>
            <w:vAlign w:val="bottom"/>
            <w:vMerge w:val="continue"/>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60" w:type="dxa"/>
            <w:vAlign w:val="bottom"/>
          </w:tcPr>
          <w:p>
            <w:pPr>
              <w:ind w:left="40"/>
              <w:spacing w:after="0"/>
              <w:rPr>
                <w:sz w:val="20"/>
                <w:szCs w:val="20"/>
                <w:color w:val="auto"/>
              </w:rPr>
            </w:pPr>
            <w:r>
              <w:rPr>
                <w:rFonts w:ascii="Arial" w:cs="Arial" w:eastAsia="Arial" w:hAnsi="Arial"/>
                <w:sz w:val="16"/>
                <w:szCs w:val="16"/>
                <w:color w:val="0000FF"/>
              </w:rPr>
              <w:t>Item 1.</w:t>
            </w:r>
          </w:p>
        </w:tc>
        <w:tc>
          <w:tcPr>
            <w:tcW w:w="9500" w:type="dxa"/>
            <w:vAlign w:val="bottom"/>
          </w:tcPr>
          <w:p>
            <w:pPr>
              <w:ind w:left="220"/>
              <w:spacing w:after="0"/>
              <w:rPr>
                <w:sz w:val="20"/>
                <w:szCs w:val="20"/>
                <w:color w:val="auto"/>
              </w:rPr>
            </w:pPr>
            <w:r>
              <w:rPr>
                <w:rFonts w:ascii="Arial" w:cs="Arial" w:eastAsia="Arial" w:hAnsi="Arial"/>
                <w:sz w:val="16"/>
                <w:szCs w:val="16"/>
                <w:color w:val="0000FF"/>
              </w:rPr>
              <w:t>Business</w:t>
            </w:r>
          </w:p>
        </w:tc>
        <w:tc>
          <w:tcPr>
            <w:tcW w:w="860" w:type="dxa"/>
            <w:vAlign w:val="bottom"/>
          </w:tcPr>
          <w:p>
            <w:pPr>
              <w:jc w:val="center"/>
              <w:spacing w:after="0"/>
              <w:rPr>
                <w:sz w:val="20"/>
                <w:szCs w:val="20"/>
                <w:color w:val="auto"/>
              </w:rPr>
            </w:pPr>
            <w:r>
              <w:rPr>
                <w:rFonts w:ascii="Arial" w:cs="Arial" w:eastAsia="Arial" w:hAnsi="Arial"/>
                <w:sz w:val="16"/>
                <w:szCs w:val="16"/>
                <w:color w:val="0000FF"/>
                <w:w w:val="89"/>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1A.</w:t>
            </w:r>
          </w:p>
        </w:tc>
        <w:tc>
          <w:tcPr>
            <w:tcW w:w="9500" w:type="dxa"/>
            <w:vAlign w:val="bottom"/>
          </w:tcPr>
          <w:p>
            <w:pPr>
              <w:ind w:left="220"/>
              <w:spacing w:after="0"/>
              <w:rPr>
                <w:sz w:val="20"/>
                <w:szCs w:val="20"/>
                <w:color w:val="auto"/>
              </w:rPr>
            </w:pPr>
            <w:r>
              <w:rPr>
                <w:rFonts w:ascii="Arial" w:cs="Arial" w:eastAsia="Arial" w:hAnsi="Arial"/>
                <w:sz w:val="16"/>
                <w:szCs w:val="16"/>
                <w:color w:val="0000FF"/>
              </w:rPr>
              <w:t>Risk Factors</w:t>
            </w:r>
          </w:p>
        </w:tc>
        <w:tc>
          <w:tcPr>
            <w:tcW w:w="860" w:type="dxa"/>
            <w:vAlign w:val="bottom"/>
          </w:tcPr>
          <w:p>
            <w:pPr>
              <w:jc w:val="center"/>
              <w:spacing w:after="0"/>
              <w:rPr>
                <w:sz w:val="20"/>
                <w:szCs w:val="20"/>
                <w:color w:val="auto"/>
              </w:rPr>
            </w:pPr>
            <w:r>
              <w:rPr>
                <w:rFonts w:ascii="Arial" w:cs="Arial" w:eastAsia="Arial" w:hAnsi="Arial"/>
                <w:sz w:val="16"/>
                <w:szCs w:val="16"/>
                <w:color w:val="0000FF"/>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1B.</w:t>
            </w:r>
          </w:p>
        </w:tc>
        <w:tc>
          <w:tcPr>
            <w:tcW w:w="9500" w:type="dxa"/>
            <w:vAlign w:val="bottom"/>
          </w:tcPr>
          <w:p>
            <w:pPr>
              <w:ind w:left="220"/>
              <w:spacing w:after="0"/>
              <w:rPr>
                <w:sz w:val="20"/>
                <w:szCs w:val="20"/>
                <w:color w:val="auto"/>
              </w:rPr>
            </w:pPr>
            <w:r>
              <w:rPr>
                <w:rFonts w:ascii="Arial" w:cs="Arial" w:eastAsia="Arial" w:hAnsi="Arial"/>
                <w:sz w:val="16"/>
                <w:szCs w:val="16"/>
                <w:color w:val="0000FF"/>
              </w:rPr>
              <w:t>Unresolved Staff Comments</w:t>
            </w:r>
          </w:p>
        </w:tc>
        <w:tc>
          <w:tcPr>
            <w:tcW w:w="860" w:type="dxa"/>
            <w:vAlign w:val="bottom"/>
          </w:tcPr>
          <w:p>
            <w:pPr>
              <w:jc w:val="center"/>
              <w:spacing w:after="0"/>
              <w:rPr>
                <w:sz w:val="20"/>
                <w:szCs w:val="20"/>
                <w:color w:val="auto"/>
              </w:rPr>
            </w:pPr>
            <w:r>
              <w:rPr>
                <w:rFonts w:ascii="Arial" w:cs="Arial" w:eastAsia="Arial" w:hAnsi="Arial"/>
                <w:sz w:val="16"/>
                <w:szCs w:val="16"/>
                <w:color w:val="0000FF"/>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1C.</w:t>
            </w:r>
          </w:p>
        </w:tc>
        <w:tc>
          <w:tcPr>
            <w:tcW w:w="9500" w:type="dxa"/>
            <w:vAlign w:val="bottom"/>
          </w:tcPr>
          <w:p>
            <w:pPr>
              <w:ind w:left="220"/>
              <w:spacing w:after="0"/>
              <w:rPr>
                <w:sz w:val="20"/>
                <w:szCs w:val="20"/>
                <w:color w:val="auto"/>
              </w:rPr>
            </w:pPr>
            <w:r>
              <w:rPr>
                <w:rFonts w:ascii="Arial" w:cs="Arial" w:eastAsia="Arial" w:hAnsi="Arial"/>
                <w:sz w:val="16"/>
                <w:szCs w:val="16"/>
                <w:color w:val="0000FF"/>
              </w:rPr>
              <w:t>Cybersecurity</w:t>
            </w:r>
          </w:p>
        </w:tc>
        <w:tc>
          <w:tcPr>
            <w:tcW w:w="860" w:type="dxa"/>
            <w:vAlign w:val="bottom"/>
          </w:tcPr>
          <w:p>
            <w:pPr>
              <w:jc w:val="center"/>
              <w:spacing w:after="0"/>
              <w:rPr>
                <w:sz w:val="20"/>
                <w:szCs w:val="20"/>
                <w:color w:val="auto"/>
              </w:rPr>
            </w:pPr>
            <w:r>
              <w:rPr>
                <w:rFonts w:ascii="Arial" w:cs="Arial" w:eastAsia="Arial" w:hAnsi="Arial"/>
                <w:sz w:val="16"/>
                <w:szCs w:val="16"/>
                <w:color w:val="0000FF"/>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2.</w:t>
            </w:r>
          </w:p>
        </w:tc>
        <w:tc>
          <w:tcPr>
            <w:tcW w:w="9500" w:type="dxa"/>
            <w:vAlign w:val="bottom"/>
          </w:tcPr>
          <w:p>
            <w:pPr>
              <w:ind w:left="220"/>
              <w:spacing w:after="0"/>
              <w:rPr>
                <w:sz w:val="20"/>
                <w:szCs w:val="20"/>
                <w:color w:val="auto"/>
              </w:rPr>
            </w:pPr>
            <w:r>
              <w:rPr>
                <w:rFonts w:ascii="Arial" w:cs="Arial" w:eastAsia="Arial" w:hAnsi="Arial"/>
                <w:sz w:val="16"/>
                <w:szCs w:val="16"/>
                <w:color w:val="0000FF"/>
              </w:rPr>
              <w:t>Properties</w:t>
            </w:r>
          </w:p>
        </w:tc>
        <w:tc>
          <w:tcPr>
            <w:tcW w:w="860" w:type="dxa"/>
            <w:vAlign w:val="bottom"/>
          </w:tcPr>
          <w:p>
            <w:pPr>
              <w:jc w:val="center"/>
              <w:spacing w:after="0"/>
              <w:rPr>
                <w:sz w:val="20"/>
                <w:szCs w:val="20"/>
                <w:color w:val="auto"/>
              </w:rPr>
            </w:pPr>
            <w:r>
              <w:rPr>
                <w:rFonts w:ascii="Arial" w:cs="Arial" w:eastAsia="Arial" w:hAnsi="Arial"/>
                <w:sz w:val="16"/>
                <w:szCs w:val="16"/>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3.</w:t>
            </w:r>
          </w:p>
        </w:tc>
        <w:tc>
          <w:tcPr>
            <w:tcW w:w="9500" w:type="dxa"/>
            <w:vAlign w:val="bottom"/>
          </w:tcPr>
          <w:p>
            <w:pPr>
              <w:ind w:left="220"/>
              <w:spacing w:after="0"/>
              <w:rPr>
                <w:sz w:val="20"/>
                <w:szCs w:val="20"/>
                <w:color w:val="auto"/>
              </w:rPr>
            </w:pPr>
            <w:r>
              <w:rPr>
                <w:rFonts w:ascii="Arial" w:cs="Arial" w:eastAsia="Arial" w:hAnsi="Arial"/>
                <w:sz w:val="16"/>
                <w:szCs w:val="16"/>
                <w:color w:val="0000FF"/>
              </w:rPr>
              <w:t>Legal Proceedings</w:t>
            </w:r>
          </w:p>
        </w:tc>
        <w:tc>
          <w:tcPr>
            <w:tcW w:w="860" w:type="dxa"/>
            <w:vAlign w:val="bottom"/>
          </w:tcPr>
          <w:p>
            <w:pPr>
              <w:jc w:val="center"/>
              <w:spacing w:after="0"/>
              <w:rPr>
                <w:sz w:val="20"/>
                <w:szCs w:val="20"/>
                <w:color w:val="auto"/>
              </w:rPr>
            </w:pPr>
            <w:r>
              <w:rPr>
                <w:rFonts w:ascii="Arial" w:cs="Arial" w:eastAsia="Arial" w:hAnsi="Arial"/>
                <w:sz w:val="16"/>
                <w:szCs w:val="16"/>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4.</w:t>
            </w:r>
          </w:p>
        </w:tc>
        <w:tc>
          <w:tcPr>
            <w:tcW w:w="9500" w:type="dxa"/>
            <w:vAlign w:val="bottom"/>
          </w:tcPr>
          <w:p>
            <w:pPr>
              <w:ind w:left="220"/>
              <w:spacing w:after="0"/>
              <w:rPr>
                <w:sz w:val="20"/>
                <w:szCs w:val="20"/>
                <w:color w:val="auto"/>
              </w:rPr>
            </w:pPr>
            <w:r>
              <w:rPr>
                <w:rFonts w:ascii="Arial" w:cs="Arial" w:eastAsia="Arial" w:hAnsi="Arial"/>
                <w:sz w:val="16"/>
                <w:szCs w:val="16"/>
                <w:color w:val="0000FF"/>
              </w:rPr>
              <w:t>Mine Safety Disclosures</w:t>
            </w:r>
          </w:p>
        </w:tc>
        <w:tc>
          <w:tcPr>
            <w:tcW w:w="860" w:type="dxa"/>
            <w:vAlign w:val="bottom"/>
          </w:tcPr>
          <w:p>
            <w:pPr>
              <w:jc w:val="center"/>
              <w:spacing w:after="0"/>
              <w:rPr>
                <w:sz w:val="20"/>
                <w:szCs w:val="20"/>
                <w:color w:val="auto"/>
              </w:rPr>
            </w:pPr>
            <w:r>
              <w:rPr>
                <w:rFonts w:ascii="Arial" w:cs="Arial" w:eastAsia="Arial" w:hAnsi="Arial"/>
                <w:sz w:val="16"/>
                <w:szCs w:val="16"/>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9500" w:type="dxa"/>
            <w:vAlign w:val="bottom"/>
          </w:tcPr>
          <w:p>
            <w:pPr>
              <w:jc w:val="center"/>
              <w:ind w:left="121"/>
              <w:spacing w:after="0"/>
              <w:rPr>
                <w:sz w:val="20"/>
                <w:szCs w:val="20"/>
                <w:color w:val="auto"/>
              </w:rPr>
            </w:pPr>
            <w:r>
              <w:rPr>
                <w:rFonts w:ascii="Arial" w:cs="Arial" w:eastAsia="Arial" w:hAnsi="Arial"/>
                <w:sz w:val="16"/>
                <w:szCs w:val="16"/>
                <w:b w:val="1"/>
                <w:bCs w:val="1"/>
                <w:color w:val="0000FF"/>
                <w:w w:val="94"/>
              </w:rPr>
              <w:t>PART II</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60" w:type="dxa"/>
            <w:vAlign w:val="bottom"/>
          </w:tcPr>
          <w:p>
            <w:pPr>
              <w:ind w:left="40"/>
              <w:spacing w:after="0"/>
              <w:rPr>
                <w:sz w:val="20"/>
                <w:szCs w:val="20"/>
                <w:color w:val="auto"/>
              </w:rPr>
            </w:pPr>
            <w:r>
              <w:rPr>
                <w:rFonts w:ascii="Arial" w:cs="Arial" w:eastAsia="Arial" w:hAnsi="Arial"/>
                <w:sz w:val="16"/>
                <w:szCs w:val="16"/>
                <w:color w:val="0000FF"/>
              </w:rPr>
              <w:t>Item 5.</w:t>
            </w:r>
          </w:p>
        </w:tc>
        <w:tc>
          <w:tcPr>
            <w:tcW w:w="9500" w:type="dxa"/>
            <w:vAlign w:val="bottom"/>
          </w:tcPr>
          <w:p>
            <w:pPr>
              <w:ind w:left="220"/>
              <w:spacing w:after="0"/>
              <w:rPr>
                <w:sz w:val="20"/>
                <w:szCs w:val="20"/>
                <w:color w:val="auto"/>
              </w:rPr>
            </w:pPr>
            <w:r>
              <w:rPr>
                <w:rFonts w:ascii="Arial" w:cs="Arial" w:eastAsia="Arial" w:hAnsi="Arial"/>
                <w:sz w:val="16"/>
                <w:szCs w:val="16"/>
                <w:color w:val="0000FF"/>
              </w:rPr>
              <w:t>Market for the Registrant’s Common Equity, Related Stockholder Matters and Issuer Purchases of Equity Securities</w:t>
            </w:r>
          </w:p>
        </w:tc>
        <w:tc>
          <w:tcPr>
            <w:tcW w:w="860" w:type="dxa"/>
            <w:vAlign w:val="bottom"/>
          </w:tcPr>
          <w:p>
            <w:pPr>
              <w:jc w:val="center"/>
              <w:spacing w:after="0"/>
              <w:rPr>
                <w:sz w:val="20"/>
                <w:szCs w:val="20"/>
                <w:color w:val="auto"/>
              </w:rPr>
            </w:pPr>
            <w:r>
              <w:rPr>
                <w:rFonts w:ascii="Arial" w:cs="Arial" w:eastAsia="Arial" w:hAnsi="Arial"/>
                <w:sz w:val="16"/>
                <w:szCs w:val="16"/>
                <w:color w:val="0000FF"/>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6.</w:t>
            </w:r>
          </w:p>
        </w:tc>
        <w:tc>
          <w:tcPr>
            <w:tcW w:w="9500" w:type="dxa"/>
            <w:vAlign w:val="bottom"/>
          </w:tcPr>
          <w:p>
            <w:pPr>
              <w:ind w:left="220"/>
              <w:spacing w:after="0"/>
              <w:rPr>
                <w:sz w:val="20"/>
                <w:szCs w:val="20"/>
                <w:color w:val="auto"/>
              </w:rPr>
            </w:pPr>
            <w:r>
              <w:rPr>
                <w:rFonts w:ascii="Arial" w:cs="Arial" w:eastAsia="Arial" w:hAnsi="Arial"/>
                <w:sz w:val="16"/>
                <w:szCs w:val="16"/>
                <w:color w:val="0000FF"/>
              </w:rPr>
              <w:t>[Reserved]</w:t>
            </w:r>
          </w:p>
        </w:tc>
        <w:tc>
          <w:tcPr>
            <w:tcW w:w="860" w:type="dxa"/>
            <w:vAlign w:val="bottom"/>
          </w:tcPr>
          <w:p>
            <w:pPr>
              <w:jc w:val="center"/>
              <w:spacing w:after="0"/>
              <w:rPr>
                <w:sz w:val="20"/>
                <w:szCs w:val="20"/>
                <w:color w:val="auto"/>
              </w:rPr>
            </w:pPr>
            <w:r>
              <w:rPr>
                <w:rFonts w:ascii="Arial" w:cs="Arial" w:eastAsia="Arial" w:hAnsi="Arial"/>
                <w:sz w:val="16"/>
                <w:szCs w:val="16"/>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7.</w:t>
            </w:r>
          </w:p>
        </w:tc>
        <w:tc>
          <w:tcPr>
            <w:tcW w:w="9500" w:type="dxa"/>
            <w:vAlign w:val="bottom"/>
          </w:tcPr>
          <w:p>
            <w:pPr>
              <w:ind w:left="22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860" w:type="dxa"/>
            <w:vAlign w:val="bottom"/>
          </w:tcPr>
          <w:p>
            <w:pPr>
              <w:jc w:val="center"/>
              <w:spacing w:after="0"/>
              <w:rPr>
                <w:sz w:val="20"/>
                <w:szCs w:val="20"/>
                <w:color w:val="auto"/>
              </w:rPr>
            </w:pPr>
            <w:r>
              <w:rPr>
                <w:rFonts w:ascii="Arial" w:cs="Arial" w:eastAsia="Arial" w:hAnsi="Arial"/>
                <w:sz w:val="16"/>
                <w:szCs w:val="16"/>
                <w:color w:val="0000FF"/>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7A.</w:t>
            </w:r>
          </w:p>
        </w:tc>
        <w:tc>
          <w:tcPr>
            <w:tcW w:w="9500" w:type="dxa"/>
            <w:vAlign w:val="bottom"/>
          </w:tcPr>
          <w:p>
            <w:pPr>
              <w:ind w:left="220"/>
              <w:spacing w:after="0"/>
              <w:rPr>
                <w:sz w:val="20"/>
                <w:szCs w:val="20"/>
                <w:color w:val="auto"/>
              </w:rPr>
            </w:pPr>
            <w:r>
              <w:rPr>
                <w:rFonts w:ascii="Arial" w:cs="Arial" w:eastAsia="Arial" w:hAnsi="Arial"/>
                <w:sz w:val="16"/>
                <w:szCs w:val="16"/>
                <w:color w:val="0000FF"/>
              </w:rPr>
              <w:t>Quantitative and Qualitative Disclosures About Market Risk</w:t>
            </w:r>
          </w:p>
        </w:tc>
        <w:tc>
          <w:tcPr>
            <w:tcW w:w="860" w:type="dxa"/>
            <w:vAlign w:val="bottom"/>
          </w:tcPr>
          <w:p>
            <w:pPr>
              <w:jc w:val="center"/>
              <w:spacing w:after="0"/>
              <w:rPr>
                <w:sz w:val="20"/>
                <w:szCs w:val="20"/>
                <w:color w:val="auto"/>
              </w:rPr>
            </w:pPr>
            <w:r>
              <w:rPr>
                <w:rFonts w:ascii="Arial" w:cs="Arial" w:eastAsia="Arial" w:hAnsi="Arial"/>
                <w:sz w:val="16"/>
                <w:szCs w:val="16"/>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8.</w:t>
            </w:r>
          </w:p>
        </w:tc>
        <w:tc>
          <w:tcPr>
            <w:tcW w:w="9500" w:type="dxa"/>
            <w:vAlign w:val="bottom"/>
          </w:tcPr>
          <w:p>
            <w:pPr>
              <w:ind w:left="220"/>
              <w:spacing w:after="0"/>
              <w:rPr>
                <w:sz w:val="20"/>
                <w:szCs w:val="20"/>
                <w:color w:val="auto"/>
              </w:rPr>
            </w:pPr>
            <w:r>
              <w:rPr>
                <w:rFonts w:ascii="Arial" w:cs="Arial" w:eastAsia="Arial" w:hAnsi="Arial"/>
                <w:sz w:val="16"/>
                <w:szCs w:val="16"/>
                <w:color w:val="0000FF"/>
              </w:rPr>
              <w:t>Financial Statements and Supplementary Data</w:t>
            </w:r>
          </w:p>
        </w:tc>
        <w:tc>
          <w:tcPr>
            <w:tcW w:w="860" w:type="dxa"/>
            <w:vAlign w:val="bottom"/>
          </w:tcPr>
          <w:p>
            <w:pPr>
              <w:jc w:val="center"/>
              <w:spacing w:after="0"/>
              <w:rPr>
                <w:sz w:val="20"/>
                <w:szCs w:val="20"/>
                <w:color w:val="auto"/>
              </w:rPr>
            </w:pPr>
            <w:r>
              <w:rPr>
                <w:rFonts w:ascii="Arial" w:cs="Arial" w:eastAsia="Arial" w:hAnsi="Arial"/>
                <w:sz w:val="16"/>
                <w:szCs w:val="16"/>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9.</w:t>
            </w:r>
          </w:p>
        </w:tc>
        <w:tc>
          <w:tcPr>
            <w:tcW w:w="9500" w:type="dxa"/>
            <w:vAlign w:val="bottom"/>
          </w:tcPr>
          <w:p>
            <w:pPr>
              <w:ind w:left="220"/>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860" w:type="dxa"/>
            <w:vAlign w:val="bottom"/>
          </w:tcPr>
          <w:p>
            <w:pPr>
              <w:jc w:val="center"/>
              <w:spacing w:after="0"/>
              <w:rPr>
                <w:sz w:val="20"/>
                <w:szCs w:val="20"/>
                <w:color w:val="auto"/>
              </w:rPr>
            </w:pPr>
            <w:r>
              <w:rPr>
                <w:rFonts w:ascii="Arial" w:cs="Arial" w:eastAsia="Arial" w:hAnsi="Arial"/>
                <w:sz w:val="16"/>
                <w:szCs w:val="16"/>
                <w:color w:val="0000FF"/>
                <w:w w:val="97"/>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9A.</w:t>
            </w:r>
          </w:p>
        </w:tc>
        <w:tc>
          <w:tcPr>
            <w:tcW w:w="9500" w:type="dxa"/>
            <w:vAlign w:val="bottom"/>
          </w:tcPr>
          <w:p>
            <w:pPr>
              <w:ind w:left="220"/>
              <w:spacing w:after="0"/>
              <w:rPr>
                <w:sz w:val="20"/>
                <w:szCs w:val="20"/>
                <w:color w:val="auto"/>
              </w:rPr>
            </w:pPr>
            <w:r>
              <w:rPr>
                <w:rFonts w:ascii="Arial" w:cs="Arial" w:eastAsia="Arial" w:hAnsi="Arial"/>
                <w:sz w:val="16"/>
                <w:szCs w:val="16"/>
                <w:color w:val="0000FF"/>
              </w:rPr>
              <w:t>Controls and Procedures</w:t>
            </w:r>
          </w:p>
        </w:tc>
        <w:tc>
          <w:tcPr>
            <w:tcW w:w="860" w:type="dxa"/>
            <w:vAlign w:val="bottom"/>
          </w:tcPr>
          <w:p>
            <w:pPr>
              <w:jc w:val="center"/>
              <w:spacing w:after="0"/>
              <w:rPr>
                <w:sz w:val="20"/>
                <w:szCs w:val="20"/>
                <w:color w:val="auto"/>
              </w:rPr>
            </w:pPr>
            <w:r>
              <w:rPr>
                <w:rFonts w:ascii="Arial" w:cs="Arial" w:eastAsia="Arial" w:hAnsi="Arial"/>
                <w:sz w:val="16"/>
                <w:szCs w:val="16"/>
                <w:color w:val="0000FF"/>
                <w:w w:val="97"/>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9B.</w:t>
            </w:r>
          </w:p>
        </w:tc>
        <w:tc>
          <w:tcPr>
            <w:tcW w:w="9500" w:type="dxa"/>
            <w:vAlign w:val="bottom"/>
          </w:tcPr>
          <w:p>
            <w:pPr>
              <w:ind w:left="220"/>
              <w:spacing w:after="0"/>
              <w:rPr>
                <w:sz w:val="20"/>
                <w:szCs w:val="20"/>
                <w:color w:val="auto"/>
              </w:rPr>
            </w:pPr>
            <w:r>
              <w:rPr>
                <w:rFonts w:ascii="Arial" w:cs="Arial" w:eastAsia="Arial" w:hAnsi="Arial"/>
                <w:sz w:val="16"/>
                <w:szCs w:val="16"/>
                <w:color w:val="0000FF"/>
              </w:rPr>
              <w:t>Other Information</w:t>
            </w:r>
          </w:p>
        </w:tc>
        <w:tc>
          <w:tcPr>
            <w:tcW w:w="860" w:type="dxa"/>
            <w:vAlign w:val="bottom"/>
          </w:tcPr>
          <w:p>
            <w:pPr>
              <w:jc w:val="center"/>
              <w:spacing w:after="0"/>
              <w:rPr>
                <w:sz w:val="20"/>
                <w:szCs w:val="20"/>
                <w:color w:val="auto"/>
              </w:rPr>
            </w:pPr>
            <w:r>
              <w:rPr>
                <w:rFonts w:ascii="Arial" w:cs="Arial" w:eastAsia="Arial" w:hAnsi="Arial"/>
                <w:sz w:val="16"/>
                <w:szCs w:val="16"/>
                <w:color w:val="0000FF"/>
                <w:w w:val="97"/>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9C.</w:t>
            </w:r>
          </w:p>
        </w:tc>
        <w:tc>
          <w:tcPr>
            <w:tcW w:w="9500" w:type="dxa"/>
            <w:vAlign w:val="bottom"/>
          </w:tcPr>
          <w:p>
            <w:pPr>
              <w:ind w:left="220"/>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860" w:type="dxa"/>
            <w:vAlign w:val="bottom"/>
          </w:tcPr>
          <w:p>
            <w:pPr>
              <w:jc w:val="center"/>
              <w:spacing w:after="0"/>
              <w:rPr>
                <w:sz w:val="20"/>
                <w:szCs w:val="20"/>
                <w:color w:val="auto"/>
              </w:rPr>
            </w:pPr>
            <w:r>
              <w:rPr>
                <w:rFonts w:ascii="Arial" w:cs="Arial" w:eastAsia="Arial" w:hAnsi="Arial"/>
                <w:sz w:val="16"/>
                <w:szCs w:val="16"/>
                <w:color w:val="0000FF"/>
                <w:w w:val="97"/>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9500" w:type="dxa"/>
            <w:vAlign w:val="bottom"/>
          </w:tcPr>
          <w:p>
            <w:pPr>
              <w:jc w:val="center"/>
              <w:ind w:left="121"/>
              <w:spacing w:after="0"/>
              <w:rPr>
                <w:sz w:val="20"/>
                <w:szCs w:val="20"/>
                <w:color w:val="auto"/>
              </w:rPr>
            </w:pPr>
            <w:r>
              <w:rPr>
                <w:rFonts w:ascii="Arial" w:cs="Arial" w:eastAsia="Arial" w:hAnsi="Arial"/>
                <w:sz w:val="16"/>
                <w:szCs w:val="16"/>
                <w:b w:val="1"/>
                <w:bCs w:val="1"/>
                <w:color w:val="0000FF"/>
                <w:w w:val="94"/>
              </w:rPr>
              <w:t>PART III</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60" w:type="dxa"/>
            <w:vAlign w:val="bottom"/>
          </w:tcPr>
          <w:p>
            <w:pPr>
              <w:ind w:left="40"/>
              <w:spacing w:after="0"/>
              <w:rPr>
                <w:sz w:val="20"/>
                <w:szCs w:val="20"/>
                <w:color w:val="auto"/>
              </w:rPr>
            </w:pPr>
            <w:r>
              <w:rPr>
                <w:rFonts w:ascii="Arial" w:cs="Arial" w:eastAsia="Arial" w:hAnsi="Arial"/>
                <w:sz w:val="16"/>
                <w:szCs w:val="16"/>
                <w:color w:val="0000FF"/>
              </w:rPr>
              <w:t>Item 10.</w:t>
            </w:r>
          </w:p>
        </w:tc>
        <w:tc>
          <w:tcPr>
            <w:tcW w:w="9500" w:type="dxa"/>
            <w:vAlign w:val="bottom"/>
          </w:tcPr>
          <w:p>
            <w:pPr>
              <w:ind w:left="220"/>
              <w:spacing w:after="0"/>
              <w:rPr>
                <w:sz w:val="20"/>
                <w:szCs w:val="20"/>
                <w:color w:val="auto"/>
              </w:rPr>
            </w:pPr>
            <w:r>
              <w:rPr>
                <w:rFonts w:ascii="Arial" w:cs="Arial" w:eastAsia="Arial" w:hAnsi="Arial"/>
                <w:sz w:val="16"/>
                <w:szCs w:val="16"/>
                <w:color w:val="0000FF"/>
              </w:rPr>
              <w:t>Directors, Executive Officers and Corporate Governance</w:t>
            </w:r>
          </w:p>
        </w:tc>
        <w:tc>
          <w:tcPr>
            <w:tcW w:w="860" w:type="dxa"/>
            <w:vAlign w:val="bottom"/>
          </w:tcPr>
          <w:p>
            <w:pPr>
              <w:jc w:val="center"/>
              <w:spacing w:after="0"/>
              <w:rPr>
                <w:sz w:val="20"/>
                <w:szCs w:val="20"/>
                <w:color w:val="auto"/>
              </w:rPr>
            </w:pPr>
            <w:r>
              <w:rPr>
                <w:rFonts w:ascii="Arial" w:cs="Arial" w:eastAsia="Arial" w:hAnsi="Arial"/>
                <w:sz w:val="16"/>
                <w:szCs w:val="16"/>
                <w:color w:val="0000FF"/>
                <w:w w:val="97"/>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11.</w:t>
            </w:r>
          </w:p>
        </w:tc>
        <w:tc>
          <w:tcPr>
            <w:tcW w:w="9500" w:type="dxa"/>
            <w:vAlign w:val="bottom"/>
          </w:tcPr>
          <w:p>
            <w:pPr>
              <w:ind w:left="220"/>
              <w:spacing w:after="0"/>
              <w:rPr>
                <w:sz w:val="20"/>
                <w:szCs w:val="20"/>
                <w:color w:val="auto"/>
              </w:rPr>
            </w:pPr>
            <w:r>
              <w:rPr>
                <w:rFonts w:ascii="Arial" w:cs="Arial" w:eastAsia="Arial" w:hAnsi="Arial"/>
                <w:sz w:val="16"/>
                <w:szCs w:val="16"/>
                <w:color w:val="0000FF"/>
              </w:rPr>
              <w:t>Executive Compensation</w:t>
            </w:r>
          </w:p>
        </w:tc>
        <w:tc>
          <w:tcPr>
            <w:tcW w:w="860" w:type="dxa"/>
            <w:vAlign w:val="bottom"/>
          </w:tcPr>
          <w:p>
            <w:pPr>
              <w:jc w:val="center"/>
              <w:spacing w:after="0"/>
              <w:rPr>
                <w:sz w:val="20"/>
                <w:szCs w:val="20"/>
                <w:color w:val="auto"/>
              </w:rPr>
            </w:pPr>
            <w:r>
              <w:rPr>
                <w:rFonts w:ascii="Arial" w:cs="Arial" w:eastAsia="Arial" w:hAnsi="Arial"/>
                <w:sz w:val="16"/>
                <w:szCs w:val="16"/>
                <w:color w:val="0000FF"/>
                <w:w w:val="97"/>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12.</w:t>
            </w:r>
          </w:p>
        </w:tc>
        <w:tc>
          <w:tcPr>
            <w:tcW w:w="9500" w:type="dxa"/>
            <w:vAlign w:val="bottom"/>
          </w:tcPr>
          <w:p>
            <w:pPr>
              <w:ind w:left="220"/>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860" w:type="dxa"/>
            <w:vAlign w:val="bottom"/>
          </w:tcPr>
          <w:p>
            <w:pPr>
              <w:jc w:val="center"/>
              <w:spacing w:after="0"/>
              <w:rPr>
                <w:sz w:val="20"/>
                <w:szCs w:val="20"/>
                <w:color w:val="auto"/>
              </w:rPr>
            </w:pPr>
            <w:r>
              <w:rPr>
                <w:rFonts w:ascii="Arial" w:cs="Arial" w:eastAsia="Arial" w:hAnsi="Arial"/>
                <w:sz w:val="16"/>
                <w:szCs w:val="16"/>
                <w:color w:val="0000FF"/>
                <w:w w:val="97"/>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13.</w:t>
            </w:r>
          </w:p>
        </w:tc>
        <w:tc>
          <w:tcPr>
            <w:tcW w:w="9500" w:type="dxa"/>
            <w:vAlign w:val="bottom"/>
          </w:tcPr>
          <w:p>
            <w:pPr>
              <w:ind w:left="220"/>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860" w:type="dxa"/>
            <w:vAlign w:val="bottom"/>
          </w:tcPr>
          <w:p>
            <w:pPr>
              <w:jc w:val="center"/>
              <w:spacing w:after="0"/>
              <w:rPr>
                <w:sz w:val="20"/>
                <w:szCs w:val="20"/>
                <w:color w:val="auto"/>
              </w:rPr>
            </w:pPr>
            <w:r>
              <w:rPr>
                <w:rFonts w:ascii="Arial" w:cs="Arial" w:eastAsia="Arial" w:hAnsi="Arial"/>
                <w:sz w:val="16"/>
                <w:szCs w:val="16"/>
                <w:color w:val="0000FF"/>
                <w:w w:val="97"/>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14.</w:t>
            </w:r>
          </w:p>
        </w:tc>
        <w:tc>
          <w:tcPr>
            <w:tcW w:w="9500" w:type="dxa"/>
            <w:vAlign w:val="bottom"/>
          </w:tcPr>
          <w:p>
            <w:pPr>
              <w:ind w:left="220"/>
              <w:spacing w:after="0"/>
              <w:rPr>
                <w:sz w:val="20"/>
                <w:szCs w:val="20"/>
                <w:color w:val="auto"/>
              </w:rPr>
            </w:pPr>
            <w:r>
              <w:rPr>
                <w:rFonts w:ascii="Arial" w:cs="Arial" w:eastAsia="Arial" w:hAnsi="Arial"/>
                <w:sz w:val="16"/>
                <w:szCs w:val="16"/>
                <w:color w:val="0000FF"/>
              </w:rPr>
              <w:t>Principal Accountant Fees and Services</w:t>
            </w:r>
          </w:p>
        </w:tc>
        <w:tc>
          <w:tcPr>
            <w:tcW w:w="860" w:type="dxa"/>
            <w:vAlign w:val="bottom"/>
          </w:tcPr>
          <w:p>
            <w:pPr>
              <w:jc w:val="center"/>
              <w:spacing w:after="0"/>
              <w:rPr>
                <w:sz w:val="20"/>
                <w:szCs w:val="20"/>
                <w:color w:val="auto"/>
              </w:rPr>
            </w:pPr>
            <w:r>
              <w:rPr>
                <w:rFonts w:ascii="Arial" w:cs="Arial" w:eastAsia="Arial" w:hAnsi="Arial"/>
                <w:sz w:val="16"/>
                <w:szCs w:val="16"/>
                <w:color w:val="0000FF"/>
                <w:w w:val="97"/>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9500" w:type="dxa"/>
            <w:vAlign w:val="bottom"/>
          </w:tcPr>
          <w:p>
            <w:pPr>
              <w:jc w:val="center"/>
              <w:ind w:left="121"/>
              <w:spacing w:after="0"/>
              <w:rPr>
                <w:sz w:val="20"/>
                <w:szCs w:val="20"/>
                <w:color w:val="auto"/>
              </w:rPr>
            </w:pPr>
            <w:r>
              <w:rPr>
                <w:rFonts w:ascii="Arial" w:cs="Arial" w:eastAsia="Arial" w:hAnsi="Arial"/>
                <w:sz w:val="16"/>
                <w:szCs w:val="16"/>
                <w:b w:val="1"/>
                <w:bCs w:val="1"/>
                <w:color w:val="0000FF"/>
                <w:w w:val="98"/>
              </w:rPr>
              <w:t>PART IV</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60" w:type="dxa"/>
            <w:vAlign w:val="bottom"/>
          </w:tcPr>
          <w:p>
            <w:pPr>
              <w:ind w:left="40"/>
              <w:spacing w:after="0"/>
              <w:rPr>
                <w:sz w:val="20"/>
                <w:szCs w:val="20"/>
                <w:color w:val="auto"/>
              </w:rPr>
            </w:pPr>
            <w:r>
              <w:rPr>
                <w:rFonts w:ascii="Arial" w:cs="Arial" w:eastAsia="Arial" w:hAnsi="Arial"/>
                <w:sz w:val="16"/>
                <w:szCs w:val="16"/>
                <w:color w:val="0000FF"/>
              </w:rPr>
              <w:t>Item 15.</w:t>
            </w:r>
          </w:p>
        </w:tc>
        <w:tc>
          <w:tcPr>
            <w:tcW w:w="9500" w:type="dxa"/>
            <w:vAlign w:val="bottom"/>
          </w:tcPr>
          <w:p>
            <w:pPr>
              <w:ind w:left="220"/>
              <w:spacing w:after="0"/>
              <w:rPr>
                <w:sz w:val="20"/>
                <w:szCs w:val="20"/>
                <w:color w:val="auto"/>
              </w:rPr>
            </w:pPr>
            <w:r>
              <w:rPr>
                <w:rFonts w:ascii="Arial" w:cs="Arial" w:eastAsia="Arial" w:hAnsi="Arial"/>
                <w:sz w:val="16"/>
                <w:szCs w:val="16"/>
                <w:color w:val="0000FF"/>
              </w:rPr>
              <w:t>Exhibits and Financial Statement Schedules</w:t>
            </w:r>
          </w:p>
        </w:tc>
        <w:tc>
          <w:tcPr>
            <w:tcW w:w="860" w:type="dxa"/>
            <w:vAlign w:val="bottom"/>
          </w:tcPr>
          <w:p>
            <w:pPr>
              <w:jc w:val="center"/>
              <w:spacing w:after="0"/>
              <w:rPr>
                <w:sz w:val="20"/>
                <w:szCs w:val="20"/>
                <w:color w:val="auto"/>
              </w:rPr>
            </w:pPr>
            <w:r>
              <w:rPr>
                <w:rFonts w:ascii="Arial" w:cs="Arial" w:eastAsia="Arial" w:hAnsi="Arial"/>
                <w:sz w:val="16"/>
                <w:szCs w:val="16"/>
                <w:color w:val="0000FF"/>
                <w:w w:val="97"/>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16.</w:t>
            </w:r>
          </w:p>
        </w:tc>
        <w:tc>
          <w:tcPr>
            <w:tcW w:w="9500" w:type="dxa"/>
            <w:vAlign w:val="bottom"/>
          </w:tcPr>
          <w:p>
            <w:pPr>
              <w:ind w:left="220"/>
              <w:spacing w:after="0"/>
              <w:rPr>
                <w:sz w:val="20"/>
                <w:szCs w:val="20"/>
                <w:color w:val="auto"/>
              </w:rPr>
            </w:pPr>
            <w:r>
              <w:rPr>
                <w:rFonts w:ascii="Arial" w:cs="Arial" w:eastAsia="Arial" w:hAnsi="Arial"/>
                <w:sz w:val="16"/>
                <w:szCs w:val="16"/>
                <w:color w:val="0000FF"/>
              </w:rPr>
              <w:t>Form 10-K Summary</w:t>
            </w:r>
          </w:p>
        </w:tc>
        <w:tc>
          <w:tcPr>
            <w:tcW w:w="860" w:type="dxa"/>
            <w:vAlign w:val="bottom"/>
          </w:tcPr>
          <w:p>
            <w:pPr>
              <w:jc w:val="center"/>
              <w:spacing w:after="0"/>
              <w:rPr>
                <w:sz w:val="20"/>
                <w:szCs w:val="20"/>
                <w:color w:val="auto"/>
              </w:rPr>
            </w:pPr>
            <w:r>
              <w:rPr>
                <w:rFonts w:ascii="Arial" w:cs="Arial" w:eastAsia="Arial" w:hAnsi="Arial"/>
                <w:sz w:val="16"/>
                <w:szCs w:val="16"/>
                <w:color w:val="0000FF"/>
                <w:w w:val="97"/>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9500" w:type="dxa"/>
            <w:vAlign w:val="bottom"/>
          </w:tcPr>
          <w:p>
            <w:pPr>
              <w:ind w:left="220"/>
              <w:spacing w:after="0"/>
              <w:rPr>
                <w:sz w:val="20"/>
                <w:szCs w:val="20"/>
                <w:color w:val="auto"/>
              </w:rPr>
            </w:pPr>
            <w:r>
              <w:rPr>
                <w:rFonts w:ascii="Arial" w:cs="Arial" w:eastAsia="Arial" w:hAnsi="Arial"/>
                <w:sz w:val="16"/>
                <w:szCs w:val="16"/>
                <w:color w:val="0000FF"/>
              </w:rPr>
              <w:t>Signatures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4"/>
        </w:trPr>
        <w:tc>
          <w:tcPr>
            <w:tcW w:w="86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 w:name="page4"/>
    <w:bookmarkEnd w:id="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Cautionary Note Regarding Forward-Looking Statements</w:t>
      </w:r>
    </w:p>
    <w:p>
      <w:pPr>
        <w:spacing w:after="0" w:line="106"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i w:val="1"/>
          <w:iCs w:val="1"/>
          <w:color w:val="auto"/>
        </w:rPr>
        <w:t>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in this Annual Report on the Form 10-K are forward-looking statements. In some cases, forward-looking statements can be identified by terms such as “anticipates,” “believes,” “could,” “seeks,” “estimates,” “expects,” “intends,” “may,” “plans,” “potential,” “predicts, “projects,” “should,” “will,” “would” or similar expressions and the negatives of those terms. These forward-looking statements are contained principally in Part I, Item 1, Business; Part I, Item 1A, Risk Factors; Part II, Item 7, Management’s Discussion and Analysis of Financial Condition and Results of Operations; and other sections of this Annual Report on Form 10-K. Such statements include, but are not limited to, statements concerning the following:</w:t>
      </w:r>
    </w:p>
    <w:p>
      <w:pPr>
        <w:spacing w:after="0" w:line="70" w:lineRule="exact"/>
        <w:rPr>
          <w:sz w:val="20"/>
          <w:szCs w:val="20"/>
          <w:color w:val="auto"/>
        </w:rPr>
      </w:pPr>
    </w:p>
    <w:p>
      <w:pPr>
        <w:ind w:left="640" w:hanging="320"/>
        <w:spacing w:after="0" w:line="300" w:lineRule="auto"/>
        <w:tabs>
          <w:tab w:leader="none" w:pos="63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as to our future financial performance, including revenue, cost of revenue, expenses, liquidity, cash requirements and our ability to maintain and grow our profitability;</w:t>
      </w:r>
    </w:p>
    <w:p>
      <w:pPr>
        <w:spacing w:after="0" w:line="35"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capabilities, performance and competitive advantage of our technology and products and planned changes;</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timing of new product releases, and the anticipated marketing adoption of our current and future products;</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regarding, and our ability to meet, demand for our products;</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business strategies, including anticipating trends and operating conditions;</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growth of and development in markets in which we target; and our expansion into new and existing markets;</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performance in operations, including component supply management and manufacturing timelines;</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product quality and customer service;</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regarding the effects on our business and financial performance of compliance with applicable laws and regulations;</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changes in tax laws;</w:t>
      </w:r>
    </w:p>
    <w:p>
      <w:pPr>
        <w:spacing w:after="0" w:line="119" w:lineRule="exact"/>
        <w:rPr>
          <w:rFonts w:ascii="Arial" w:cs="Arial" w:eastAsia="Arial" w:hAnsi="Arial"/>
          <w:sz w:val="17"/>
          <w:szCs w:val="17"/>
          <w:i w:val="1"/>
          <w:iCs w:val="1"/>
          <w:color w:val="auto"/>
        </w:rPr>
      </w:pPr>
    </w:p>
    <w:p>
      <w:pPr>
        <w:jc w:val="both"/>
        <w:ind w:left="640" w:hanging="320"/>
        <w:spacing w:after="0" w:line="278" w:lineRule="auto"/>
        <w:tabs>
          <w:tab w:leader="none" w:pos="63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regarding macroeconomic events, geopolitical developments, supply chain disruptions and inflationary pressures and their impact on our business operations, financial performance and the markets in which we, our supplier, manufacturers and installers operate; and</w:t>
      </w:r>
    </w:p>
    <w:p>
      <w:pPr>
        <w:spacing w:after="0" w:line="55"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anticipated benefits and risks relating to our recent acquisitions.</w:t>
      </w:r>
    </w:p>
    <w:p>
      <w:pPr>
        <w:spacing w:after="0" w:line="11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i w:val="1"/>
          <w:iCs w:val="1"/>
          <w:color w:val="auto"/>
        </w:rPr>
        <w:t>Our actual results or experience could differ significantly from the forward-looking statements. Factors that could cause or contribute to these differences include those discussed in Part I, Item 1A, Risk Factors and Part II, Item 7, Management’s Discussion and Analysis of Financial Condition and Results of Operations, as well as those discussed elsewhere in this Annual Report on Form 10-K.</w:t>
      </w:r>
    </w:p>
    <w:p>
      <w:pPr>
        <w:spacing w:after="0" w:line="55"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i w:val="1"/>
          <w:iCs w:val="1"/>
          <w:color w:val="auto"/>
        </w:rPr>
        <w:t>Forward-looking statements are inherently uncertain, and you should not place undue reliance on these statements, which speak only as of the date that they were made. These cautionary statements should be considered in connection with any written or oral forward-looking statements that we may issue in the future. We do not undertake any obligation to release publicly any revisions to these forward-looking statements after completion of the filing of this Annual Report on Form 10-K to reflect later events or circumstances or to reflect the occurrence of unanticipated events. The forward-looking statements in this Annual Report on Form 10-K are intended to be subject to protection afforded by the safe harbor for forward-looking statements contained in the Private Securities Litigation Reform Act of 1995.</w:t>
      </w:r>
    </w:p>
    <w:p>
      <w:pPr>
        <w:spacing w:after="0" w:line="64" w:lineRule="exact"/>
        <w:rPr>
          <w:sz w:val="20"/>
          <w:szCs w:val="20"/>
          <w:color w:val="auto"/>
        </w:rPr>
      </w:pPr>
    </w:p>
    <w:p>
      <w:pPr>
        <w:ind w:right="320" w:firstLine="472"/>
        <w:spacing w:after="0" w:line="300" w:lineRule="auto"/>
        <w:rPr>
          <w:sz w:val="20"/>
          <w:szCs w:val="20"/>
          <w:color w:val="auto"/>
        </w:rPr>
      </w:pPr>
      <w:r>
        <w:rPr>
          <w:rFonts w:ascii="Arial" w:cs="Arial" w:eastAsia="Arial" w:hAnsi="Arial"/>
          <w:sz w:val="17"/>
          <w:szCs w:val="17"/>
          <w:i w:val="1"/>
          <w:iCs w:val="1"/>
          <w:color w:val="auto"/>
        </w:rPr>
        <w:t>In this Annual Report on Form 10-K, unless otherwise indicated or the context otherwise requires, “Enphase Energy,” “Enphase,” “the Company,” “we,” “us,” and “our” refer to Enphase Energy, Inc., a Delaware corporation,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716280</wp:posOffset>
            </wp:positionV>
            <wp:extent cx="6936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 w:name="page5"/>
    <w:bookmarkEnd w:id="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Factors Summary</w:t>
      </w:r>
    </w:p>
    <w:p>
      <w:pPr>
        <w:spacing w:after="0" w:line="11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Investing in our securities involves a high degree of risk. The following is a summary of the principal factors that make an investment in our securities speculative or risky, as more fully described below in the section titled “Risk Factors.” This summary should be read in conjunction with the “Risk Factors” section and should not be relied upon as an exhaustive summary of the material risks facing our business. In addition to this summary, you should consider the information set forth in the “Risk Factors” section and the other information contained in this Annual Report on Form 10-K before investing in our securities: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Related to our Business, Operations and Our Industry</w:t>
      </w:r>
    </w:p>
    <w:p>
      <w:pPr>
        <w:spacing w:after="0" w:line="119" w:lineRule="exact"/>
        <w:rPr>
          <w:sz w:val="20"/>
          <w:szCs w:val="20"/>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Unfavorable macroeconomic and market conditions may adversely affect our industry, business and financial results.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demand for solar energy solutions does not grow or grows at a slower rate than we anticipate, our business will suffer.</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reduction, elimination or expiration of government subsidies and economic incentives for on-grid solar electricity applications could reduce demand for solar photovoltaic systems and harm our business.</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solar industry is highly competitive, and we expect to face increased competition as new and existing competitors introduce products or develop alternative technologies, which could negatively impact our business, financial condition and results of operations.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recent and planned expansion into existing and new markets could subject us to additional business, financial and competitive risks.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fail to capture customers as we design and develop new products, and update existing products.</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upon a small number of outside contract manufacturers, and our business and operations could be disrupted if we encounter problems with these contract manufacturers.</w:t>
      </w:r>
    </w:p>
    <w:p>
      <w:pPr>
        <w:spacing w:after="0" w:line="1" w:lineRule="exact"/>
        <w:rPr>
          <w:rFonts w:ascii="Arial" w:cs="Arial" w:eastAsia="Arial" w:hAnsi="Arial"/>
          <w:sz w:val="17"/>
          <w:szCs w:val="17"/>
          <w:color w:val="auto"/>
        </w:rPr>
      </w:pPr>
    </w:p>
    <w:p>
      <w:pPr>
        <w:jc w:val="both"/>
        <w:ind w:left="640" w:hanging="320"/>
        <w:spacing w:after="0" w:line="278"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primarily on distributors, installers and providers of solar financing to assist in selling our products to customers, and the failure of these customers to perform at the expected level, or at all, would have an adverse effect on our business, financial condition and results of our operations.</w:t>
      </w:r>
    </w:p>
    <w:p>
      <w:pPr>
        <w:spacing w:after="0" w:line="2"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limited-source suppliers for key components and products. If we are unable to source these components and products on a timely basis, we will not be able to deliver our products to our customers.</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Challenges relating to supply chain constraints, including with respect to raw materials, semiconductors and integrated circuits, could adversely impact our revenue, gross margins and results of operations.</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Manufacturing problems could result in delays in product shipments, which would adversely affect our revenue, competitive position and reputation.</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loss of, or events affecting, one of our major customers could reduce our sales and have an adverse effect on our business, financial condition and results of operations.</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energy systems, including our storage solutions, IQ8 microinverters, ACM products and Ensemble OS technology, may not achieve broader market acceptance, which would prevent us from increasing our revenue and market share.</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products contain manufacturing or software defects, our business and financial results could be harmed.</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retain our key personnel or if we fail to attract additional qualified personnel, we may not be able to achieve our anticipated level of growth and our business could suffer.</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Restructuring activities could disrupt our business and adversely affect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669290</wp:posOffset>
            </wp:positionV>
            <wp:extent cx="6936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 w:name="page6"/>
    <w:bookmarkEnd w:id="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Related to our Intellectual Property and Technology</w:t>
      </w:r>
    </w:p>
    <w:p>
      <w:pPr>
        <w:spacing w:after="0" w:line="119" w:lineRule="exact"/>
        <w:rPr>
          <w:sz w:val="20"/>
          <w:szCs w:val="20"/>
          <w:color w:val="auto"/>
        </w:rPr>
      </w:pPr>
    </w:p>
    <w:p>
      <w:pPr>
        <w:jc w:val="both"/>
        <w:ind w:left="640" w:hanging="320"/>
        <w:spacing w:after="0" w:line="271"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dependent on information technology systems, infrastructure and data. We or third parties upon which we rely could be subject to breaches of our information technology systems caused by system security risks, failure of our data protection, cyber-attacks and erroneous or non-malicious actions or failures to act by our employees or others with authorized access to our networks, which could cause significant reputational, legal and financial damages.</w:t>
      </w:r>
    </w:p>
    <w:p>
      <w:pPr>
        <w:spacing w:after="0" w:line="8" w:lineRule="exact"/>
        <w:rPr>
          <w:rFonts w:ascii="Arial" w:cs="Arial" w:eastAsia="Arial" w:hAnsi="Arial"/>
          <w:sz w:val="17"/>
          <w:szCs w:val="17"/>
          <w:color w:val="auto"/>
        </w:rPr>
      </w:pPr>
    </w:p>
    <w:p>
      <w:pPr>
        <w:jc w:val="both"/>
        <w:ind w:left="640" w:hanging="320"/>
        <w:spacing w:after="0" w:line="278"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software we use in providing system configuration recommendations or potential energy savings estimates to customers relies in part on third-party information that may not be accurate or up-to-date; this may therefore generate inaccurate recommendations or estimates, resulting in a loss of reputation and customer confidence.</w:t>
      </w:r>
    </w:p>
    <w:p>
      <w:pPr>
        <w:spacing w:after="0" w:line="2" w:lineRule="exact"/>
        <w:rPr>
          <w:rFonts w:ascii="Arial" w:cs="Arial" w:eastAsia="Arial" w:hAnsi="Arial"/>
          <w:sz w:val="17"/>
          <w:szCs w:val="17"/>
          <w:color w:val="auto"/>
        </w:rPr>
      </w:pPr>
    </w:p>
    <w:p>
      <w:pPr>
        <w:jc w:val="both"/>
        <w:ind w:left="640" w:hanging="320"/>
        <w:spacing w:after="0" w:line="278"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subject to stringent and evolving data privacy and security laws, contractual obligations, information security policies and other obligations governing the use, processing and transfer of personal information and any unauthorized access to, or disclosure or theft of personal information we gather, store or use could harm our reputation and subject us to claims or litigation.</w:t>
      </w:r>
    </w:p>
    <w:p>
      <w:pPr>
        <w:spacing w:after="0" w:line="2"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protect, or incur significant costs in enforcing, our intellectual property and other proprietary rights, our business and results of operations could be materially harmed.</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be subject to disruptions or failures in information technology systems and network infrastructures that could have a material adverse effect on our business and financial condition.</w:t>
      </w:r>
    </w:p>
    <w:p>
      <w:pPr>
        <w:spacing w:after="0" w:line="1"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Related to Legal Proceedings and Regulations</w:t>
      </w:r>
    </w:p>
    <w:p>
      <w:pPr>
        <w:spacing w:after="0" w:line="119" w:lineRule="exact"/>
        <w:rPr>
          <w:sz w:val="20"/>
          <w:szCs w:val="20"/>
          <w:color w:val="auto"/>
        </w:rPr>
      </w:pPr>
    </w:p>
    <w:p>
      <w:pPr>
        <w:jc w:val="both"/>
        <w:ind w:left="640" w:hanging="320"/>
        <w:spacing w:after="0" w:line="278"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current laws or regulations or the imposition of new laws or regulations, or new interpretations thereof, in the solar energy sector, by federal or state agencies in the United States or foreign jurisdictions could impair our ability to compete, and could materially harm our business, financial condition and results of operations.</w:t>
      </w:r>
    </w:p>
    <w:p>
      <w:pPr>
        <w:spacing w:after="0" w:line="2"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the United States trade environment, including the recent imposition of import tariffs, could adversely affect the amount or timing of our revenue, results of operations or cash flows.</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significant international operations subject us to additional risks that could adversely affect our business, results of operations and financial condition.</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Expectations relating to ESG considerations and related reporting obligations may expose the business to potential liabilities, increased costs, and reputational harm.</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could be adversely affected by any violations of the FCPA, the U.K. Bribery Act, and other foreign anti-bribery laws.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Related to our Financial Condition and Liquidity</w:t>
      </w:r>
    </w:p>
    <w:p>
      <w:pPr>
        <w:spacing w:after="0" w:line="119" w:lineRule="exact"/>
        <w:rPr>
          <w:sz w:val="20"/>
          <w:szCs w:val="20"/>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gross profit may fluctuate over time, which could impair our ability to achieve or maintain profitability.</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under continuous pressure to reduce the prices of our products, which has adversely affected, and may continue to adversely affect, our gross margins.</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do not forecast demand for our products accurately, we may experience product shortages, delays in product shipment or excess product inventory, any of which will adversely affect our business and financial condition.</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focus on a limited number of specific markets increases risks associated with the modification, elimination or expiration of governmental subsidies and economic incentives for on-grid solar electricity applications.</w:t>
      </w:r>
    </w:p>
    <w:p>
      <w:pPr>
        <w:spacing w:after="0" w:line="1"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drop in the retail price of electricity derived from the utility grid or from alternative energy sources, or a change in utility pricing structures, may harm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616585</wp:posOffset>
            </wp:positionV>
            <wp:extent cx="6936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 w:name="page7"/>
    <w:bookmarkEnd w:id="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Related to our Acquisition Activity</w:t>
      </w:r>
    </w:p>
    <w:p>
      <w:pPr>
        <w:spacing w:after="0" w:line="67" w:lineRule="exact"/>
        <w:rPr>
          <w:sz w:val="20"/>
          <w:szCs w:val="20"/>
          <w:color w:val="auto"/>
        </w:rPr>
      </w:pPr>
    </w:p>
    <w:p>
      <w:pPr>
        <w:ind w:left="640" w:hanging="320"/>
        <w:spacing w:after="0" w:line="300"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part of growing our business, we have made and expect to continue to make acquisitions. If we fail to successfully select, execute or integrate our acquisitions, then our business and operating results could be harmed and our stock price could decline.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Related to our Debt and Equity Securities</w:t>
      </w:r>
    </w:p>
    <w:p>
      <w:pPr>
        <w:spacing w:after="0" w:line="119" w:lineRule="exact"/>
        <w:rPr>
          <w:sz w:val="20"/>
          <w:szCs w:val="20"/>
          <w:color w:val="auto"/>
        </w:rPr>
      </w:pPr>
    </w:p>
    <w:p>
      <w:pPr>
        <w:ind w:left="640" w:hanging="320"/>
        <w:spacing w:after="0" w:line="270"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financial results may vary significantly from quarter to quarter due to a number of factors, which may lead to volatility in our stock price.</w:t>
      </w:r>
    </w:p>
    <w:p>
      <w:pPr>
        <w:spacing w:after="0" w:line="252"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Conversion of our Convertible Notes may dilute the ownership interest of existing stockholders or may otherwise depress the price of our common stock, adversely affect our financial condition and operating results.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convertible note hedge and warrant transactions and/or their early termination may affect the value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24"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w:t>
        <w:tab/>
        <w:t>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Company</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are a global energy technology company originally founded in March 2006. We deliver smart, easy-to-use solutions that manage solar generation, storage and communication on one platform. Our intelligent microinverters work with virtually every solar panel made, and when paired with our smart technology, results in one of the industry’s best-performing clean energy systems.</w:t>
      </w:r>
    </w:p>
    <w:p>
      <w:pPr>
        <w:spacing w:after="0" w:line="55"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Today, our intelligent microinverters work with virtually every solar panel made, and when paired with our award-winning smart battery technology, results in one of the industry's best-performing clean energy systems. For the first time in the evolution of our centuries-old grid, people can get paid for the clean energy they produce and share with their communities, helping to build a new energy future that harnesses the sun. This clean, free, abundant source of energy can power our lives and ultimately help replace fossil fuels altogether. We have shipped more than 73.0 million microinverters, and approximately 4.0 million Enphase residential and commercial systems have been deployed in more than 150 countries.</w:t>
      </w:r>
    </w:p>
    <w:p>
      <w:pPr>
        <w:spacing w:after="0" w:line="276"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design, develop, manufacture and sell home energy solutions that manage energy generation, energy storage and control and communications on one intelligent platform. We have revolutionized the solar industry by bringing a systems approach to solar technology and by pioneering a semiconductor-based microinverter that converts energy at the individual solar module level and, combined with our proprietary networking and software technologies, provides advanced energy monitoring and control. This is vastly different than a string inverter system using string modules, whether with or without an optimizer, which only converts the energy of the entire array of solar modules from a single high voltage electrical unit and lacks intelligence about the energy producing capacity of the solar array.</w:t>
      </w:r>
    </w:p>
    <w:p>
      <w:pPr>
        <w:spacing w:after="0" w:line="60" w:lineRule="exact"/>
        <w:rPr>
          <w:sz w:val="20"/>
          <w:szCs w:val="20"/>
          <w:color w:val="auto"/>
        </w:rPr>
      </w:pPr>
    </w:p>
    <w:p>
      <w:pPr>
        <w:jc w:val="both"/>
        <w:ind w:firstLine="472"/>
        <w:spacing w:after="0" w:line="243" w:lineRule="auto"/>
        <w:rPr>
          <w:sz w:val="20"/>
          <w:szCs w:val="20"/>
          <w:color w:val="auto"/>
        </w:rPr>
      </w:pPr>
      <w:r>
        <w:rPr>
          <w:rFonts w:ascii="Arial" w:cs="Arial" w:eastAsia="Arial" w:hAnsi="Arial"/>
          <w:sz w:val="17"/>
          <w:szCs w:val="17"/>
          <w:color w:val="auto"/>
        </w:rPr>
        <w:t>The Enphase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Energy System™ brings a high technology, networked approach to solar generation plus energy storage, by leveraging our design expertise across power electronics, semiconductors and cloud-based software technologies. Our integrated approach to energy solutions maximizes a home’s energy potential while providing advanced monitoring and remote maintenance capabilities. The Enphase Energy System uses a single technology platform for seamless management of the entire system, including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Microinverters,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Batteries,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EV Charger, and other hardware. Installers use the Installer App to rapidly commission system components, and system owners may use the Enphase App to monitor their energy production, consumption, and storage. We have a built-in system redundancy in both photovoltaic (“PV”) generation and energy storage, eliminating the risk that comes with a single-point of failure. Further, the nature of our cloud-based, monitored system allows for remote firmware and software updates, that allows cost-effective remote maintenance and ongoing utility compliance.</w:t>
      </w:r>
    </w:p>
    <w:p>
      <w:pPr>
        <w:spacing w:after="0" w:line="88"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have transitioned from solar only systems to complete energy management solutions, which consist of solar, batteries, load control, electrical vehicle (“EV”) charging, compatibility with third-party generators, and grid services. This transition has contributed to the rising global interest in the full electrification of homes and businesses through renewable sources of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412115</wp:posOffset>
            </wp:positionV>
            <wp:extent cx="69361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7" w:name="page8"/>
    <w:bookmarkEnd w:id="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21"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Our objective is to build best-in-class home energy systems and deliver them to homeowners through our installer and distribution partners, enabled by a comprehensive digital platform. Key elements of our strategy include:</w:t>
      </w:r>
    </w:p>
    <w:p>
      <w:pPr>
        <w:spacing w:after="0" w:line="36" w:lineRule="exact"/>
        <w:rPr>
          <w:sz w:val="20"/>
          <w:szCs w:val="20"/>
          <w:color w:val="auto"/>
        </w:rPr>
      </w:pPr>
    </w:p>
    <w:p>
      <w:pPr>
        <w:jc w:val="both"/>
        <w:ind w:left="800" w:hanging="323"/>
        <w:spacing w:after="0" w:line="266" w:lineRule="auto"/>
        <w:tabs>
          <w:tab w:leader="none" w:pos="79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Best-in-class customer experience. </w:t>
      </w:r>
      <w:r>
        <w:rPr>
          <w:rFonts w:ascii="Arial" w:cs="Arial" w:eastAsia="Arial" w:hAnsi="Arial"/>
          <w:sz w:val="17"/>
          <w:szCs w:val="17"/>
          <w:color w:val="auto"/>
        </w:rPr>
        <w:t>Our value proposition is to deliver products that are productive, reliable, smart, simple and safe,</w:t>
      </w:r>
      <w:r>
        <w:rPr>
          <w:rFonts w:ascii="Arial" w:cs="Arial" w:eastAsia="Arial" w:hAnsi="Arial"/>
          <w:sz w:val="17"/>
          <w:szCs w:val="17"/>
          <w:i w:val="1"/>
          <w:iCs w:val="1"/>
          <w:color w:val="auto"/>
        </w:rPr>
        <w:t xml:space="preserve"> </w:t>
      </w:r>
      <w:r>
        <w:rPr>
          <w:rFonts w:ascii="Arial" w:cs="Arial" w:eastAsia="Arial" w:hAnsi="Arial"/>
          <w:sz w:val="17"/>
          <w:szCs w:val="17"/>
          <w:color w:val="auto"/>
        </w:rPr>
        <w:t>with superior customer service, to enable homeowners’ storage and energy independence. On the service front, our installer, distributor and module partners are our first line of association with our ultimate customer, the homeowner and business user. Our goals are to partner better with these service providers so that we can provide exceptional, high quality service to homeowners who have installed our products. We are convinced that continued reinforcement of customer experience improvements by providing 24x7 support can be a competitive advantage for us.</w:t>
      </w:r>
    </w:p>
    <w:p>
      <w:pPr>
        <w:spacing w:after="0" w:line="63" w:lineRule="exact"/>
        <w:rPr>
          <w:rFonts w:ascii="Arial" w:cs="Arial" w:eastAsia="Arial" w:hAnsi="Arial"/>
          <w:sz w:val="17"/>
          <w:szCs w:val="17"/>
          <w:color w:val="auto"/>
        </w:rPr>
      </w:pPr>
    </w:p>
    <w:p>
      <w:pPr>
        <w:jc w:val="both"/>
        <w:ind w:left="800" w:hanging="323"/>
        <w:spacing w:after="0" w:line="271" w:lineRule="auto"/>
        <w:tabs>
          <w:tab w:leader="none" w:pos="79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Grow market share worldwide. </w:t>
      </w:r>
      <w:r>
        <w:rPr>
          <w:rFonts w:ascii="Arial" w:cs="Arial" w:eastAsia="Arial" w:hAnsi="Arial"/>
          <w:sz w:val="17"/>
          <w:szCs w:val="17"/>
          <w:color w:val="auto"/>
        </w:rPr>
        <w:t>We intend to capitalize on our market leadership in the microinverter category and our momentum with</w:t>
      </w:r>
      <w:r>
        <w:rPr>
          <w:rFonts w:ascii="Arial" w:cs="Arial" w:eastAsia="Arial" w:hAnsi="Arial"/>
          <w:sz w:val="17"/>
          <w:szCs w:val="17"/>
          <w:i w:val="1"/>
          <w:iCs w:val="1"/>
          <w:color w:val="auto"/>
        </w:rPr>
        <w:t xml:space="preserve"> </w:t>
      </w:r>
      <w:r>
        <w:rPr>
          <w:rFonts w:ascii="Arial" w:cs="Arial" w:eastAsia="Arial" w:hAnsi="Arial"/>
          <w:sz w:val="17"/>
          <w:szCs w:val="17"/>
          <w:color w:val="auto"/>
        </w:rPr>
        <w:t>installers and homeowners to expand our market share position in our core markets. In addition, we intend to further increase our market share in the Europe, Asia Pacific and Latin America regions. Further, we intend to expand into new markets, including emerging markets, with new and existing products and local go-to-market capabilities.</w:t>
      </w:r>
    </w:p>
    <w:p>
      <w:pPr>
        <w:spacing w:after="0" w:line="61" w:lineRule="exact"/>
        <w:rPr>
          <w:rFonts w:ascii="Arial" w:cs="Arial" w:eastAsia="Arial" w:hAnsi="Arial"/>
          <w:sz w:val="17"/>
          <w:szCs w:val="17"/>
          <w:color w:val="auto"/>
        </w:rPr>
      </w:pPr>
    </w:p>
    <w:p>
      <w:pPr>
        <w:jc w:val="both"/>
        <w:ind w:left="800" w:hanging="323"/>
        <w:spacing w:after="0" w:line="271" w:lineRule="auto"/>
        <w:tabs>
          <w:tab w:leader="none" w:pos="79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Expand our product offerings. </w:t>
      </w:r>
      <w:r>
        <w:rPr>
          <w:rFonts w:ascii="Arial" w:cs="Arial" w:eastAsia="Arial" w:hAnsi="Arial"/>
          <w:sz w:val="17"/>
          <w:szCs w:val="17"/>
          <w:color w:val="auto"/>
        </w:rPr>
        <w:t>We distinguish ourselves from other inverter companies with our systems-based and high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as we continue to invest in research and development to develop all components of our home energy management systems and remain committed to providing our customers and partners with best-in-class power electronics, storage solutions, communications and load control, all managed by a cloud-based home energy management system.</w:t>
      </w:r>
    </w:p>
    <w:p>
      <w:pPr>
        <w:spacing w:after="0" w:line="61" w:lineRule="exact"/>
        <w:rPr>
          <w:rFonts w:ascii="Arial" w:cs="Arial" w:eastAsia="Arial" w:hAnsi="Arial"/>
          <w:sz w:val="17"/>
          <w:szCs w:val="17"/>
          <w:color w:val="auto"/>
        </w:rPr>
      </w:pPr>
    </w:p>
    <w:p>
      <w:pPr>
        <w:jc w:val="both"/>
        <w:ind w:left="800" w:hanging="323"/>
        <w:spacing w:after="0" w:line="278" w:lineRule="auto"/>
        <w:tabs>
          <w:tab w:leader="none" w:pos="79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Increase power and efficiency and reduce cost per watt. </w:t>
      </w:r>
      <w:r>
        <w:rPr>
          <w:rFonts w:ascii="Arial" w:cs="Arial" w:eastAsia="Arial" w:hAnsi="Arial"/>
          <w:sz w:val="17"/>
          <w:szCs w:val="17"/>
          <w:color w:val="auto"/>
        </w:rPr>
        <w:t>Our engineering team is focused on continuing to increase average power</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efficiency and alternating current (“AC”) output power in order to pair with higher rated direct current (“DC”) modules while reducing costs per watt.</w:t>
      </w:r>
    </w:p>
    <w:p>
      <w:pPr>
        <w:spacing w:after="0" w:line="55" w:lineRule="exact"/>
        <w:rPr>
          <w:rFonts w:ascii="Arial" w:cs="Arial" w:eastAsia="Arial" w:hAnsi="Arial"/>
          <w:sz w:val="17"/>
          <w:szCs w:val="17"/>
          <w:color w:val="auto"/>
        </w:rPr>
      </w:pPr>
    </w:p>
    <w:p>
      <w:pPr>
        <w:jc w:val="both"/>
        <w:ind w:left="800" w:hanging="323"/>
        <w:spacing w:after="0" w:line="278" w:lineRule="auto"/>
        <w:tabs>
          <w:tab w:leader="none" w:pos="79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Increase storage energy density and reduce installation time and cost per kWh</w:t>
      </w:r>
      <w:r>
        <w:rPr>
          <w:rFonts w:ascii="Arial" w:cs="Arial" w:eastAsia="Arial" w:hAnsi="Arial"/>
          <w:sz w:val="17"/>
          <w:szCs w:val="17"/>
          <w:color w:val="auto"/>
        </w:rPr>
        <w:t>. Our engineering team is focused on increasing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energy density of our battery capacity, quality and reducing installation time and cost per kilowatt hour (“kWh”) to make solar-plus-storage resilient, sustainable and affordable for the masses.</w:t>
      </w:r>
    </w:p>
    <w:p>
      <w:pPr>
        <w:spacing w:after="0" w:line="55" w:lineRule="exact"/>
        <w:rPr>
          <w:rFonts w:ascii="Arial" w:cs="Arial" w:eastAsia="Arial" w:hAnsi="Arial"/>
          <w:sz w:val="17"/>
          <w:szCs w:val="17"/>
          <w:color w:val="auto"/>
        </w:rPr>
      </w:pPr>
    </w:p>
    <w:p>
      <w:pPr>
        <w:jc w:val="both"/>
        <w:ind w:left="800" w:hanging="323"/>
        <w:spacing w:after="0" w:line="268" w:lineRule="auto"/>
        <w:tabs>
          <w:tab w:leader="none" w:pos="79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Focus on the homeowner, distributor and installer partners. </w:t>
      </w:r>
      <w:r>
        <w:rPr>
          <w:rFonts w:ascii="Arial" w:cs="Arial" w:eastAsia="Arial" w:hAnsi="Arial"/>
          <w:sz w:val="17"/>
          <w:szCs w:val="17"/>
          <w:color w:val="auto"/>
        </w:rPr>
        <w:t>We are focused on making it easier for our distributors, installers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to do business and generating revenue through digitalization of the business-to-business and business-to-customer process of the distributor, installer and customer journey. Our key focus is to expand our digital presence through enhancing our array of tools on our digital platform to keep us continually connected with our installers and homeowners, as well as increasing the use of the online store significantly.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Enphase Energy System, powered by IQ Microinverters, IQ Batteries and other products and services, is an integrated solar, storage and energy management offering that enables self-consumption and delivers our core value proposition of yielding more energy, simplifying design and installation, and improving system uptime and reliability.</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i w:val="1"/>
          <w:iCs w:val="1"/>
          <w:color w:val="auto"/>
        </w:rPr>
        <w:t xml:space="preserve">IQ Microinverters. </w:t>
      </w:r>
      <w:r>
        <w:rPr>
          <w:rFonts w:ascii="Arial" w:cs="Arial" w:eastAsia="Arial" w:hAnsi="Arial"/>
          <w:sz w:val="17"/>
          <w:szCs w:val="17"/>
          <w:color w:val="auto"/>
        </w:rPr>
        <w:t>We now ship IQ8™ series microinverters into 21 countries worldwide. We are also shipping IQ8 Microinverters with peak</w:t>
      </w:r>
      <w:r>
        <w:rPr>
          <w:rFonts w:ascii="Arial" w:cs="Arial" w:eastAsia="Arial" w:hAnsi="Arial"/>
          <w:sz w:val="17"/>
          <w:szCs w:val="17"/>
          <w:i w:val="1"/>
          <w:iCs w:val="1"/>
          <w:color w:val="auto"/>
        </w:rPr>
        <w:t xml:space="preserve"> </w:t>
      </w:r>
      <w:r>
        <w:rPr>
          <w:rFonts w:ascii="Arial" w:cs="Arial" w:eastAsia="Arial" w:hAnsi="Arial"/>
          <w:sz w:val="17"/>
          <w:szCs w:val="17"/>
          <w:color w:val="auto"/>
        </w:rPr>
        <w:t>output power of 480 W AC for the small-commercial market in North America, and grid-tied applications in South Africa, Mexico, Brazil, and India. The new IQ8 Microinverters are designed to maximize energy production and can manage a continuous DC current of 14 amperes, supporting higher powered solar modules through increased energy harvesting.</w:t>
      </w:r>
    </w:p>
    <w:p>
      <w:pPr>
        <w:spacing w:after="0" w:line="6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Enphase IQ8 microinverter-based system has been certified by UL, a global safety science leader, to a UL certification that meets the new North American safety and grid interconnection standards for connecting solar inverters, energy storage systems and distributed energy resources to the grid in compliance with IEEE 1547-2018 and IEEE 1547-1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412115</wp:posOffset>
            </wp:positionV>
            <wp:extent cx="69361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8" w:name="page9"/>
    <w:bookmarkEnd w:id="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In November 2023, we introduced our new IQ8 Microinverter, IQ8P-3P™, for the small commercial solar market in North America. The IQ8P-3P Microinverter enables a peak output power of up to 480 W, supporting small three-phase commercial applications and newer, high-powered solar panels.</w:t>
      </w:r>
    </w:p>
    <w:p>
      <w:pPr>
        <w:spacing w:after="0" w:line="108"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i w:val="1"/>
          <w:iCs w:val="1"/>
          <w:color w:val="auto"/>
        </w:rPr>
        <w:t>IQ Batteries</w:t>
      </w:r>
      <w:r>
        <w:rPr>
          <w:rFonts w:ascii="Arial" w:cs="Arial" w:eastAsia="Arial" w:hAnsi="Arial"/>
          <w:sz w:val="17"/>
          <w:szCs w:val="17"/>
          <w:color w:val="auto"/>
        </w:rPr>
        <w:t>. Our Enphase IQ Battery storage systems, with usable and scalable capacity of 10.1 kWh and 3.4 kWh for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and 10.5 kWh and 3.5 kWh for Europe and other international countries, are based on our Ensemble OS™ energy system, which powers the world’s first grid-independent microinverter-based storage systems. We currently ship our Enphase IQ Battery storage systems to customers in North America, Belgium, Germany, Austria, France, the Netherlands, Switzerland, Spain, Portugal, Sweden, Denmark, and Greece. Enphase IQ Batteries in Europe can be installed with both single-phase and three-phase third-party solar energy inverters, enabling homeowners to upgrade their existing home solar systems with a residential battery storage solution that reduces costs while providing increased self-reliance.</w:t>
      </w:r>
    </w:p>
    <w:p>
      <w:pPr>
        <w:spacing w:after="0" w:line="112" w:lineRule="exact"/>
        <w:rPr>
          <w:sz w:val="20"/>
          <w:szCs w:val="20"/>
          <w:color w:val="auto"/>
        </w:rPr>
      </w:pPr>
    </w:p>
    <w:p>
      <w:pPr>
        <w:jc w:val="both"/>
        <w:ind w:firstLine="472"/>
        <w:spacing w:after="0" w:line="251" w:lineRule="auto"/>
        <w:rPr>
          <w:sz w:val="20"/>
          <w:szCs w:val="20"/>
          <w:color w:val="auto"/>
        </w:rPr>
      </w:pPr>
      <w:r>
        <w:rPr>
          <w:rFonts w:ascii="Arial" w:cs="Arial" w:eastAsia="Arial" w:hAnsi="Arial"/>
          <w:sz w:val="17"/>
          <w:szCs w:val="17"/>
          <w:color w:val="auto"/>
        </w:rPr>
        <w:t>In May 2023, we introduced our latest Enphase Energy System, which features the new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Battery 5P and IQ8 Microinverters. The IQ Battery 5P is modular with 5 kWh capacity and the IQ8 Microinverters provide a peak output power of 384 W. The IQ Battery 5P is also available for customers in Australia, the United States, Puerto Rico, the United Kingdom, Italy and Australia. The IQ Battery 5P is modular by design and is designed to deliver 3.84 kW continuous power and 7.68 kW peak power, which allows homeowners to start heavy loads like air conditioners easily during power outages.</w:t>
      </w:r>
    </w:p>
    <w:p>
      <w:pPr>
        <w:spacing w:after="0" w:line="72" w:lineRule="exact"/>
        <w:rPr>
          <w:sz w:val="20"/>
          <w:szCs w:val="20"/>
          <w:color w:val="auto"/>
        </w:rPr>
      </w:pPr>
    </w:p>
    <w:p>
      <w:pPr>
        <w:ind w:right="240" w:firstLine="472"/>
        <w:spacing w:after="0" w:line="245" w:lineRule="auto"/>
        <w:rPr>
          <w:sz w:val="20"/>
          <w:szCs w:val="20"/>
          <w:color w:val="auto"/>
        </w:rPr>
      </w:pPr>
      <w:r>
        <w:rPr>
          <w:rFonts w:ascii="Arial" w:cs="Arial" w:eastAsia="Arial" w:hAnsi="Arial"/>
          <w:sz w:val="17"/>
          <w:szCs w:val="17"/>
          <w:color w:val="auto"/>
        </w:rPr>
        <w:t>Our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Load Controller for our Enphase IQ Battery storage systems allow homeowners to decide what gets power in their home in the event of a grid outage, with the ability to choose up to four loads. These loads will be on when the grid is present and shed automatically in the event of a grid failure. This product makes installation simpler and saves time for installers.</w:t>
      </w:r>
    </w:p>
    <w:p>
      <w:pPr>
        <w:spacing w:after="0" w:line="8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i w:val="1"/>
          <w:iCs w:val="1"/>
          <w:color w:val="auto"/>
        </w:rPr>
        <w:t xml:space="preserve">Electric Vehicle (“EV”) Chargers. </w:t>
      </w:r>
      <w:r>
        <w:rPr>
          <w:rFonts w:ascii="Arial" w:cs="Arial" w:eastAsia="Arial" w:hAnsi="Arial"/>
          <w:sz w:val="17"/>
          <w:szCs w:val="17"/>
          <w:color w:val="auto"/>
        </w:rPr>
        <w:t>The increasing penetration of EVs has implications for home energy management, as households not</w:t>
      </w:r>
      <w:r>
        <w:rPr>
          <w:rFonts w:ascii="Arial" w:cs="Arial" w:eastAsia="Arial" w:hAnsi="Arial"/>
          <w:sz w:val="17"/>
          <w:szCs w:val="17"/>
          <w:i w:val="1"/>
          <w:iCs w:val="1"/>
          <w:color w:val="auto"/>
        </w:rPr>
        <w:t xml:space="preserve"> </w:t>
      </w:r>
      <w:r>
        <w:rPr>
          <w:rFonts w:ascii="Arial" w:cs="Arial" w:eastAsia="Arial" w:hAnsi="Arial"/>
          <w:sz w:val="17"/>
          <w:szCs w:val="17"/>
          <w:color w:val="auto"/>
        </w:rPr>
        <w:t>only consume significantly more power with an EV, but also have a large battery that can be used for both backup and grid service. In the first quarter of 2023, we began production shipments of Enphase branded EV chargers at our existing contract manufacturing facility in Mexico. We expect this move could help to meet the rapidly growing demand for reliable and affordable EV charging solutions by providing a greater supply of product and more predictable lead times. Our EV chargers are compatible with most EVs sold in North America. Customers are able to purchase Enphase-branded EV chargers with a charging power range between 32 amperes and 64 amperes.</w:t>
      </w:r>
    </w:p>
    <w:p>
      <w:pPr>
        <w:spacing w:after="0" w:line="64"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January 2023, we demonstrated our bidirectional EV charger technology enabling vehicle-to-home and vehicle-to-grid functionality. This new bidirectional EV charger is designed to leverage the power of grid forming IQ8 Microinverters and Ensemble OS energy management technology to seamlessly integrate into Enphase home energy systems, and can be controlled from the Enphase App, empowering homeowners to make, use, save, and sell their own power.</w:t>
      </w:r>
    </w:p>
    <w:p>
      <w:pPr>
        <w:spacing w:after="0" w:line="57" w:lineRule="exact"/>
        <w:rPr>
          <w:sz w:val="20"/>
          <w:szCs w:val="20"/>
          <w:color w:val="auto"/>
        </w:rPr>
      </w:pPr>
    </w:p>
    <w:p>
      <w:pPr>
        <w:jc w:val="both"/>
        <w:ind w:firstLine="472"/>
        <w:spacing w:after="0" w:line="251" w:lineRule="auto"/>
        <w:rPr>
          <w:sz w:val="20"/>
          <w:szCs w:val="20"/>
          <w:color w:val="auto"/>
        </w:rPr>
      </w:pPr>
      <w:r>
        <w:rPr>
          <w:rFonts w:ascii="Arial" w:cs="Arial" w:eastAsia="Arial" w:hAnsi="Arial"/>
          <w:sz w:val="17"/>
          <w:szCs w:val="17"/>
          <w:color w:val="auto"/>
        </w:rPr>
        <w:t>In June 2023, we introduced the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Energy Router family of devices in Germany and Austria to enable the integration of select third-party EV chargers and heat pumps into Enphase solar and battery systems. The IQ Energy Router family of devices monitors and controls energy usage between an Enphase solar and battery system, EV chargers and heat pumps. The devices work in coordination with the Enphase Energy System and deploy artificial intelligence-based solar production forecasting, consumption forecasting, and an optimization engine to maximize self-consumption.</w:t>
      </w:r>
    </w:p>
    <w:p>
      <w:pPr>
        <w:spacing w:after="0" w:line="7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In October 2023, we launched our smart Enphase IQ EV Chargers in the United States and Canada. The IQ EV Charger is Wi-Fi-equipped and includes smart control and monitoring capabilities. The IQ EV Charger is designed to seamlessly integrate into our solar and battery system to help homeowners maximize electricity cost savings by charging directly from solar energy.</w:t>
      </w:r>
    </w:p>
    <w:p>
      <w:pPr>
        <w:spacing w:after="0" w:line="55"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i w:val="1"/>
          <w:iCs w:val="1"/>
          <w:color w:val="auto"/>
        </w:rPr>
        <w:t xml:space="preserve">Grid Services. </w:t>
      </w:r>
      <w:r>
        <w:rPr>
          <w:rFonts w:ascii="Arial" w:cs="Arial" w:eastAsia="Arial" w:hAnsi="Arial"/>
          <w:sz w:val="17"/>
          <w:szCs w:val="17"/>
          <w:color w:val="auto"/>
        </w:rPr>
        <w:t>We participate in the ConnectedSolutions program, which is an incentive program implemented by two utilities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Northeast region of the United States to reduce electrical demand during high-use periods. Enphase storage customers in Connecticut, Massachusetts and Rhode Island can sign-up, monitor, track money earned and control participation in the program using the Enphase App. We also participate in the Hawaiian Electric’s Battery Bonus grid services program that offers an incentive for homeowners on the island of Oahu to install a new home battery. And we participate in the Arizona Public Service residential battery services program, which offers homeowners who install Enphase IQ Batteries in its service territory the chance to participate and earn money through one-time, upfront incentives. In addition, the Vermont-based utility Green Mountain Power (“GMP”)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487045</wp:posOffset>
            </wp:positionV>
            <wp:extent cx="6936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9" w:name="page10"/>
    <w:bookmarkEnd w:id="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offers Enphase Energy Systems to its customers in a cutting-edge battery lease grid services pilot program. Homeowners can also enroll in GMP’s “Bring Your Own Device” grid services program, which allows customers with their own Enphase Energy Systems to participate and earn an up-front incentive. These grid services programs allow utilities to leverage IQ Batteries instead of turning on polluting peaker plants, while generating an income stream for the IQ Battery owner. Although these programs do not drive material revenues, we continue to believe that facilitating grid services participation for our customers can reduce the lifetime cost of IQ Batteries and help drive increased demand for our Enphase Energy Systems.</w:t>
      </w:r>
    </w:p>
    <w:p>
      <w:pPr>
        <w:spacing w:after="0" w:line="27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December 2022, Pacific Gas &amp; Electric Company (“PG&amp;E”) and Enphase announced the launch of a fixed power solutions pilot program, Residential Storage Initiative, in which PG&amp;E is providing free Enphase IQ Battery storage systems to approximately 100 low-income residential customers that have been the most frequently impacted by outages as a result of PG&amp;E’s Enhanced Powerline Safety Settings. Customers participating in the pilot are auto enrolled in the PG&amp;E Power Saver Rewards program, where they can earn money and help California avoid power interruptions by reducing consumption and utilizing energy stored in their battery systems during times of high demand.</w:t>
      </w:r>
    </w:p>
    <w:p>
      <w:pPr>
        <w:spacing w:after="0" w:line="6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December 2023, we announced our expanded support for virtual power plants through grid services programs across the United States powered by the IQ Battery. Through the PG&amp;E Emergency Load Reduction Program, California homeowners in PG&amp;E territory who install Enphase IQ Batteries and enroll in the program could earn money from PG&amp;E for using the electricity stored in their IQ Batteries to help reduce demand on the grid during peak load periods. Homeowners with IQ Batteries can also now enroll in Public Service Enterprise Group Long Island’s Battery Storage Rewards Program and Connecticut’s Energy Storage Solutions Program.</w:t>
      </w:r>
    </w:p>
    <w:p>
      <w:pPr>
        <w:spacing w:after="0" w:line="58" w:lineRule="exact"/>
        <w:rPr>
          <w:sz w:val="20"/>
          <w:szCs w:val="20"/>
          <w:color w:val="auto"/>
        </w:rPr>
      </w:pPr>
    </w:p>
    <w:p>
      <w:pPr>
        <w:jc w:val="both"/>
        <w:ind w:firstLine="472"/>
        <w:spacing w:after="0" w:line="245" w:lineRule="auto"/>
        <w:rPr>
          <w:sz w:val="20"/>
          <w:szCs w:val="20"/>
          <w:color w:val="auto"/>
        </w:rPr>
      </w:pPr>
      <w:r>
        <w:rPr>
          <w:rFonts w:ascii="Arial" w:cs="Arial" w:eastAsia="Arial" w:hAnsi="Arial"/>
          <w:sz w:val="17"/>
          <w:szCs w:val="17"/>
          <w:i w:val="1"/>
          <w:iCs w:val="1"/>
          <w:color w:val="auto"/>
        </w:rPr>
        <w:t>Enphase</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Installer Platform. </w:t>
      </w:r>
      <w:r>
        <w:rPr>
          <w:rFonts w:ascii="Arial" w:cs="Arial" w:eastAsia="Arial" w:hAnsi="Arial"/>
          <w:sz w:val="17"/>
          <w:szCs w:val="17"/>
          <w:color w:val="auto"/>
        </w:rPr>
        <w:t>We are now offering Solargraf</w:t>
      </w:r>
      <w:r>
        <w:rPr>
          <w:rFonts w:ascii="Arial" w:cs="Arial" w:eastAsia="Arial" w:hAnsi="Arial"/>
          <w:sz w:val="22"/>
          <w:szCs w:val="22"/>
          <w:color w:val="auto"/>
          <w:vertAlign w:val="superscript"/>
        </w:rPr>
        <w:t>SM</w:t>
      </w:r>
      <w:r>
        <w:rPr>
          <w:rFonts w:ascii="Arial" w:cs="Arial" w:eastAsia="Arial" w:hAnsi="Arial"/>
          <w:sz w:val="17"/>
          <w:szCs w:val="17"/>
          <w:color w:val="auto"/>
        </w:rPr>
        <w:t>, our cloud-based solar and battery design, proposal software and permitting</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for both residential and commercial customers. Solargraf is offered in the United States, Canada, Brazil, Germany and Austria for residential customers and in select regions for commercial customers.</w:t>
      </w:r>
    </w:p>
    <w:p>
      <w:pPr>
        <w:spacing w:after="0" w:line="81"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We also offer a predictive software platform dedicated to simplifying the cleantech service landscape by matching cleantech asset owners to a local and on-demand workforce of service providers. In addition, we offer another software platform designed to provide high quality leads to solar installers, with the objective of increasing lead volumes and conversion rates to help drive down the customer acquisition costs for installers.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 and Sales</w:t>
      </w:r>
    </w:p>
    <w:p>
      <w:pPr>
        <w:spacing w:after="0" w:line="121"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We currently offer solutions targeting the residential and commercial markets in the United States, Canada, Mexico, Europe, Australia, New Zealand, India, Brazil, the Philippines, Thailand, South Africa and certain other Central American and Asian markets. We sell primarily to solar distributors who combine our products with others, including solar modules products and racking systems, and resell to installers in each target region. In addition to our solar distributors, we sell directly to select large installers, original equipment manufacturers (“OEM”) and strategic partners. Our OEM customers include solar module manufacturers who integrate our microinverters with their solar module products and resell to both distributors and installers. Strategic partners include a variety of companies, including industrial equipment suppliers and providers of solar financing solutions. We also sell certain products and services to homeowners, primarily in support of our warranty services and legacy product upgrade programs, via our online store. In the years ended December 31, 2023, 2022 and 2021, one customer accounted for approximately 40%, 37% and 34%, respectively, of our total net revenues. Our revenue generated from the United States market has represented 64%, 76% and 80% of our total net revenues for the annual periods ended on December 31, 2023, 2022 and 2021, respectively, as we work to expand our international business.</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markets for our products are highly competitive and we compete with central and string inverter manufacturers, storage system manufacturers and new technologies that compete with our business. The principal areas in which we compete with other companies include:</w:t>
      </w:r>
    </w:p>
    <w:p>
      <w:pPr>
        <w:spacing w:after="0" w:line="36" w:lineRule="exact"/>
        <w:rPr>
          <w:sz w:val="20"/>
          <w:szCs w:val="20"/>
          <w:color w:val="auto"/>
        </w:rPr>
      </w:pPr>
    </w:p>
    <w:p>
      <w:pPr>
        <w:ind w:left="620" w:hanging="143"/>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product performance and features;</w:t>
      </w:r>
    </w:p>
    <w:p>
      <w:pPr>
        <w:spacing w:after="0" w:line="119" w:lineRule="exact"/>
        <w:rPr>
          <w:rFonts w:ascii="Arial" w:cs="Arial" w:eastAsia="Arial" w:hAnsi="Arial"/>
          <w:sz w:val="17"/>
          <w:szCs w:val="17"/>
          <w:color w:val="auto"/>
        </w:rPr>
      </w:pPr>
    </w:p>
    <w:p>
      <w:pPr>
        <w:ind w:left="620" w:hanging="143"/>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total cost of ownership;</w:t>
      </w:r>
    </w:p>
    <w:p>
      <w:pPr>
        <w:spacing w:after="0" w:line="119" w:lineRule="exact"/>
        <w:rPr>
          <w:rFonts w:ascii="Arial" w:cs="Arial" w:eastAsia="Arial" w:hAnsi="Arial"/>
          <w:sz w:val="17"/>
          <w:szCs w:val="17"/>
          <w:color w:val="auto"/>
        </w:rPr>
      </w:pPr>
    </w:p>
    <w:p>
      <w:pPr>
        <w:ind w:left="620" w:hanging="143"/>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breadth of product line;</w:t>
      </w:r>
    </w:p>
    <w:p>
      <w:pPr>
        <w:spacing w:after="0" w:line="119" w:lineRule="exact"/>
        <w:rPr>
          <w:rFonts w:ascii="Arial" w:cs="Arial" w:eastAsia="Arial" w:hAnsi="Arial"/>
          <w:sz w:val="17"/>
          <w:szCs w:val="17"/>
          <w:color w:val="auto"/>
        </w:rPr>
      </w:pPr>
    </w:p>
    <w:p>
      <w:pPr>
        <w:ind w:left="620" w:hanging="143"/>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local sales and distribution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0" w:name="page11"/>
    <w:bookmarkEnd w:id="1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20" w:hanging="14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module compatibility and interoperability;</w:t>
      </w:r>
    </w:p>
    <w:p>
      <w:pPr>
        <w:spacing w:after="0" w:line="119" w:lineRule="exact"/>
        <w:rPr>
          <w:rFonts w:ascii="Arial" w:cs="Arial" w:eastAsia="Arial" w:hAnsi="Arial"/>
          <w:sz w:val="17"/>
          <w:szCs w:val="17"/>
          <w:color w:val="auto"/>
        </w:rPr>
      </w:pPr>
    </w:p>
    <w:p>
      <w:pPr>
        <w:ind w:left="620" w:hanging="14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reliability and duration of product warranty;</w:t>
      </w:r>
    </w:p>
    <w:p>
      <w:pPr>
        <w:spacing w:after="0" w:line="119" w:lineRule="exact"/>
        <w:rPr>
          <w:rFonts w:ascii="Arial" w:cs="Arial" w:eastAsia="Arial" w:hAnsi="Arial"/>
          <w:sz w:val="17"/>
          <w:szCs w:val="17"/>
          <w:color w:val="auto"/>
        </w:rPr>
      </w:pPr>
    </w:p>
    <w:p>
      <w:pPr>
        <w:ind w:left="620" w:hanging="14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technological expertise;</w:t>
      </w:r>
    </w:p>
    <w:p>
      <w:pPr>
        <w:spacing w:after="0" w:line="119" w:lineRule="exact"/>
        <w:rPr>
          <w:rFonts w:ascii="Arial" w:cs="Arial" w:eastAsia="Arial" w:hAnsi="Arial"/>
          <w:sz w:val="17"/>
          <w:szCs w:val="17"/>
          <w:color w:val="auto"/>
        </w:rPr>
      </w:pPr>
    </w:p>
    <w:p>
      <w:pPr>
        <w:ind w:left="620" w:hanging="14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brand recognition;</w:t>
      </w:r>
    </w:p>
    <w:p>
      <w:pPr>
        <w:spacing w:after="0" w:line="119" w:lineRule="exact"/>
        <w:rPr>
          <w:rFonts w:ascii="Arial" w:cs="Arial" w:eastAsia="Arial" w:hAnsi="Arial"/>
          <w:sz w:val="17"/>
          <w:szCs w:val="17"/>
          <w:color w:val="auto"/>
        </w:rPr>
      </w:pPr>
    </w:p>
    <w:p>
      <w:pPr>
        <w:ind w:left="620" w:hanging="14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customer service and support;</w:t>
      </w:r>
    </w:p>
    <w:p>
      <w:pPr>
        <w:spacing w:after="0" w:line="119" w:lineRule="exact"/>
        <w:rPr>
          <w:rFonts w:ascii="Arial" w:cs="Arial" w:eastAsia="Arial" w:hAnsi="Arial"/>
          <w:sz w:val="17"/>
          <w:szCs w:val="17"/>
          <w:color w:val="auto"/>
        </w:rPr>
      </w:pPr>
    </w:p>
    <w:p>
      <w:pPr>
        <w:ind w:left="620" w:hanging="14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compliance with industry standards and certifications;</w:t>
      </w:r>
    </w:p>
    <w:p>
      <w:pPr>
        <w:spacing w:after="0" w:line="119" w:lineRule="exact"/>
        <w:rPr>
          <w:rFonts w:ascii="Arial" w:cs="Arial" w:eastAsia="Arial" w:hAnsi="Arial"/>
          <w:sz w:val="17"/>
          <w:szCs w:val="17"/>
          <w:color w:val="auto"/>
        </w:rPr>
      </w:pPr>
    </w:p>
    <w:p>
      <w:pPr>
        <w:ind w:left="620" w:hanging="14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compliance with current and planned local electrical codes;</w:t>
      </w:r>
    </w:p>
    <w:p>
      <w:pPr>
        <w:spacing w:after="0" w:line="119" w:lineRule="exact"/>
        <w:rPr>
          <w:rFonts w:ascii="Arial" w:cs="Arial" w:eastAsia="Arial" w:hAnsi="Arial"/>
          <w:sz w:val="17"/>
          <w:szCs w:val="17"/>
          <w:color w:val="auto"/>
        </w:rPr>
      </w:pPr>
    </w:p>
    <w:p>
      <w:pPr>
        <w:ind w:left="620" w:hanging="14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integration with storage offerings;</w:t>
      </w:r>
    </w:p>
    <w:p>
      <w:pPr>
        <w:spacing w:after="0" w:line="119" w:lineRule="exact"/>
        <w:rPr>
          <w:rFonts w:ascii="Arial" w:cs="Arial" w:eastAsia="Arial" w:hAnsi="Arial"/>
          <w:sz w:val="17"/>
          <w:szCs w:val="17"/>
          <w:color w:val="auto"/>
        </w:rPr>
      </w:pPr>
    </w:p>
    <w:p>
      <w:pPr>
        <w:ind w:left="620" w:hanging="14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size and financial stability of operations;</w:t>
      </w:r>
    </w:p>
    <w:p>
      <w:pPr>
        <w:spacing w:after="0" w:line="119" w:lineRule="exact"/>
        <w:rPr>
          <w:rFonts w:ascii="Arial" w:cs="Arial" w:eastAsia="Arial" w:hAnsi="Arial"/>
          <w:sz w:val="17"/>
          <w:szCs w:val="17"/>
          <w:color w:val="auto"/>
        </w:rPr>
      </w:pPr>
    </w:p>
    <w:p>
      <w:pPr>
        <w:ind w:left="620" w:hanging="14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size of installed base; and</w:t>
      </w:r>
    </w:p>
    <w:p>
      <w:pPr>
        <w:spacing w:after="0" w:line="119" w:lineRule="exact"/>
        <w:rPr>
          <w:rFonts w:ascii="Arial" w:cs="Arial" w:eastAsia="Arial" w:hAnsi="Arial"/>
          <w:sz w:val="17"/>
          <w:szCs w:val="17"/>
          <w:color w:val="auto"/>
        </w:rPr>
      </w:pPr>
    </w:p>
    <w:p>
      <w:pPr>
        <w:ind w:left="620" w:hanging="143"/>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local manufacturing and product content.</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an installation consisting of a traditional central inverter, the solar PV modules are connected in series strings. In a large installation, there are multiple series strings connected in parallel. The aggregated voltage from each of these strings is then fed into a large central inverter. We believe that traditional string inverters have a number of design and performance challenges limiting innovation and their ability to reduce the cost of solar power systems, including the following:</w:t>
      </w:r>
    </w:p>
    <w:p>
      <w:pPr>
        <w:spacing w:after="0" w:line="61" w:lineRule="exact"/>
        <w:rPr>
          <w:sz w:val="20"/>
          <w:szCs w:val="20"/>
          <w:color w:val="auto"/>
        </w:rPr>
      </w:pPr>
    </w:p>
    <w:p>
      <w:pPr>
        <w:jc w:val="both"/>
        <w:ind w:left="640" w:hanging="320"/>
        <w:spacing w:after="0" w:line="278"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Productivity limits</w:t>
      </w:r>
      <w:r>
        <w:rPr>
          <w:rFonts w:ascii="Arial" w:cs="Arial" w:eastAsia="Arial" w:hAnsi="Arial"/>
          <w:sz w:val="17"/>
          <w:szCs w:val="17"/>
          <w:color w:val="auto"/>
        </w:rPr>
        <w:t>. If solar modules are wired using a traditional central inverter—a group or “string” of modules are wired in series,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an entire string’s output is limited by the output of the lowest-performing module. Because of its string design, there is a single point of failure risk with the traditional string inverter approach.</w:t>
      </w:r>
    </w:p>
    <w:p>
      <w:pPr>
        <w:spacing w:after="0" w:line="5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Reli</w:t>
      </w:r>
      <w:r>
        <w:rPr>
          <w:rFonts w:ascii="Arial" w:cs="Arial" w:eastAsia="Arial" w:hAnsi="Arial"/>
          <w:sz w:val="17"/>
          <w:szCs w:val="17"/>
          <w:color w:val="auto"/>
        </w:rPr>
        <w:t>a</w:t>
      </w:r>
      <w:r>
        <w:rPr>
          <w:rFonts w:ascii="Arial" w:cs="Arial" w:eastAsia="Arial" w:hAnsi="Arial"/>
          <w:sz w:val="17"/>
          <w:szCs w:val="17"/>
          <w:i w:val="1"/>
          <w:iCs w:val="1"/>
          <w:color w:val="auto"/>
        </w:rPr>
        <w:t>bility issues</w:t>
      </w:r>
      <w:r>
        <w:rPr>
          <w:rFonts w:ascii="Arial" w:cs="Arial" w:eastAsia="Arial" w:hAnsi="Arial"/>
          <w:sz w:val="17"/>
          <w:szCs w:val="17"/>
          <w:color w:val="auto"/>
        </w:rPr>
        <w:t>. Traditional string inverters are the single most common component of solar installations to fail, resulting in system</w:t>
      </w:r>
      <w:r>
        <w:rPr>
          <w:rFonts w:ascii="Arial" w:cs="Arial" w:eastAsia="Arial" w:hAnsi="Arial"/>
          <w:sz w:val="17"/>
          <w:szCs w:val="17"/>
          <w:i w:val="1"/>
          <w:iCs w:val="1"/>
          <w:color w:val="auto"/>
        </w:rPr>
        <w:t xml:space="preserve"> </w:t>
      </w:r>
      <w:r>
        <w:rPr>
          <w:rFonts w:ascii="Arial" w:cs="Arial" w:eastAsia="Arial" w:hAnsi="Arial"/>
          <w:sz w:val="17"/>
          <w:szCs w:val="17"/>
          <w:color w:val="auto"/>
        </w:rPr>
        <w:t>downtime and adversely impacting total energy output. As a result, string inverters typically carry warranties of only 5 to 12 years.</w:t>
      </w:r>
    </w:p>
    <w:p>
      <w:pPr>
        <w:spacing w:after="0" w:line="35" w:lineRule="exact"/>
        <w:rPr>
          <w:rFonts w:ascii="Arial" w:cs="Arial" w:eastAsia="Arial" w:hAnsi="Arial"/>
          <w:sz w:val="17"/>
          <w:szCs w:val="17"/>
          <w:color w:val="auto"/>
        </w:rPr>
      </w:pPr>
    </w:p>
    <w:p>
      <w:pPr>
        <w:jc w:val="both"/>
        <w:ind w:left="640" w:hanging="320"/>
        <w:spacing w:after="0" w:line="271"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Complex design and installation requirements</w:t>
      </w:r>
      <w:r>
        <w:rPr>
          <w:rFonts w:ascii="Arial" w:cs="Arial" w:eastAsia="Arial" w:hAnsi="Arial"/>
          <w:sz w:val="17"/>
          <w:szCs w:val="17"/>
          <w:color w:val="auto"/>
        </w:rPr>
        <w:t>. The string inverter-based solar PV installation requires greater effort on the part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installer, both in terms of design and on-site labor. String inverter installations require string design and calculations for safe and reliable operation, as well as specialized equipment such as DC combiners, conduits and disconnects. In addition, the use of high-voltage DC requires specialized knowledge and training and safety precautions to install string inverter technology.</w:t>
      </w:r>
    </w:p>
    <w:p>
      <w:pPr>
        <w:spacing w:after="0" w:line="61" w:lineRule="exact"/>
        <w:rPr>
          <w:rFonts w:ascii="Arial" w:cs="Arial" w:eastAsia="Arial" w:hAnsi="Arial"/>
          <w:sz w:val="17"/>
          <w:szCs w:val="17"/>
          <w:color w:val="auto"/>
        </w:rPr>
      </w:pPr>
    </w:p>
    <w:p>
      <w:pPr>
        <w:jc w:val="both"/>
        <w:ind w:left="640" w:hanging="320"/>
        <w:spacing w:after="0" w:line="278"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Safety issues</w:t>
      </w:r>
      <w:r>
        <w:rPr>
          <w:rFonts w:ascii="Arial" w:cs="Arial" w:eastAsia="Arial" w:hAnsi="Arial"/>
          <w:sz w:val="17"/>
          <w:szCs w:val="17"/>
          <w:color w:val="auto"/>
        </w:rPr>
        <w:t>. String inverter solar PV installations have a wide distribution of high-voltage (600 volts to 1,000 volts) DC wiring. If</w:t>
      </w:r>
      <w:r>
        <w:rPr>
          <w:rFonts w:ascii="Arial" w:cs="Arial" w:eastAsia="Arial" w:hAnsi="Arial"/>
          <w:sz w:val="17"/>
          <w:szCs w:val="17"/>
          <w:i w:val="1"/>
          <w:iCs w:val="1"/>
          <w:color w:val="auto"/>
        </w:rPr>
        <w:t xml:space="preserve"> </w:t>
      </w:r>
      <w:r>
        <w:rPr>
          <w:rFonts w:ascii="Arial" w:cs="Arial" w:eastAsia="Arial" w:hAnsi="Arial"/>
          <w:sz w:val="17"/>
          <w:szCs w:val="17"/>
          <w:color w:val="auto"/>
        </w:rPr>
        <w:t>damaged, DC wires can generate sustained electrical arcs, reaching temperatures of more than 5,000°F. This creates the risk of fire for solar PV installation owners and injury for installers and maintenance personnel.</w:t>
      </w:r>
    </w:p>
    <w:p>
      <w:pPr>
        <w:spacing w:after="0" w:line="55"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These challenges of traditional string inverters have a direct impact on the cost and expected return on investment of solar installations to both installers and system owners:</w:t>
      </w:r>
    </w:p>
    <w:p>
      <w:pPr>
        <w:spacing w:after="0" w:line="36" w:lineRule="exact"/>
        <w:rPr>
          <w:sz w:val="20"/>
          <w:szCs w:val="20"/>
          <w:color w:val="auto"/>
        </w:rPr>
      </w:pPr>
    </w:p>
    <w:p>
      <w:pPr>
        <w:jc w:val="both"/>
        <w:ind w:left="640" w:hanging="320"/>
        <w:spacing w:after="0" w:line="271"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Installer</w:t>
      </w:r>
      <w:r>
        <w:rPr>
          <w:rFonts w:ascii="Arial" w:cs="Arial" w:eastAsia="Arial" w:hAnsi="Arial"/>
          <w:sz w:val="17"/>
          <w:szCs w:val="17"/>
          <w:color w:val="auto"/>
        </w:rPr>
        <w:t>. Solar PV installers aim for simple installation design, fast installation times and maximum system performance and predictability.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The installation of high-voltage DC string inverter technology, however, requires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w:t>
      </w:r>
    </w:p>
    <w:p>
      <w:pPr>
        <w:spacing w:after="0" w:line="61" w:lineRule="exact"/>
        <w:rPr>
          <w:rFonts w:ascii="Arial" w:cs="Arial" w:eastAsia="Arial" w:hAnsi="Arial"/>
          <w:sz w:val="17"/>
          <w:szCs w:val="17"/>
          <w:color w:val="auto"/>
        </w:rPr>
      </w:pPr>
    </w:p>
    <w:p>
      <w:pPr>
        <w:jc w:val="both"/>
        <w:ind w:left="640" w:hanging="320"/>
        <w:spacing w:after="0" w:line="266"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System owner</w:t>
      </w:r>
      <w:r>
        <w:rPr>
          <w:rFonts w:ascii="Arial" w:cs="Arial" w:eastAsia="Arial" w:hAnsi="Arial"/>
          <w:sz w:val="17"/>
          <w:szCs w:val="17"/>
          <w:color w:val="auto"/>
        </w:rPr>
        <w:t>. Solar power system owners aim for high energy production, low cost, high reliability, and low maintenance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reduced fire risks. With traditional string inverters, owners often are unable to optimize the size or shape of their solar PV installations due to string design limitations. As such, they experience performance loss from shading and other obstructions, can face frequent system failures and lack the ability to effectively monitor the performance of their solar PV installation. In addition, string inverter installations operate at high-voltage DC, which bears significant fire risks. Further, due to their large size, string inverter installations can affect architectural aesthetics of the house or commercial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1" w:name="page12"/>
    <w:bookmarkEnd w:id="1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Several of our existing and potential competitors are significantly larger than us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in creating market awareness for these offerings.</w:t>
      </w:r>
    </w:p>
    <w:p>
      <w:pPr>
        <w:spacing w:after="0" w:line="272"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Competitors in the inverter market include, among others, SolarEdge Technologies, Inc. (“SolarEdge”), Tesla, Inc. (“Tesla”), Huawei Technologies Co. Ltd., (“Huawei”), Sungrow Power Supply Co., Ltd., Growatt New Energy Co., Ltd and other companies offering string inverters with and without solar optimizers. We believe that our microinverter solutions offer significant advantages and competitive differentiation relative to traditional central or string inverter technology, even when supplemented by DC-to-DC optimizers on the roof.</w:t>
      </w:r>
    </w:p>
    <w:p>
      <w:pPr>
        <w:spacing w:after="0" w:line="6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Competitors in the storage market include Tesla, SolarEdge, Huawei, LG Chem, BYD and other producers of battery cells and integrated storage systems market. Competitors in the EV charger market include Wallbox, ChargePoint Holdings, Inc., Tesla, JuiceBox and EVBox, among others.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Quality Control and Supply Chain Management</w:t>
      </w:r>
    </w:p>
    <w:p>
      <w:pPr>
        <w:spacing w:after="0" w:line="121"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We utilize a sourcing strategy that emphasizes global procurement of materials and product manufacturing in lower cost regions. We outsource the manufacturing of our products to third-party contract manufacturers. Flex Ltd. and affiliates (“Flex”), Salcomp Plc. and affiliates (“Salcomp”), and Sunwoda Electric Co. Ltd. (“Sunwoda”) assemble and test our microinverters, IQ Battery storage systems and IQ Gateway products. Prices for such services are agreed to by the parties on a quarterly basis, and we are obligated to purchase manufactured products and raw materials that cannot be resold upon the termination of the corresponding agreement. Flex also provides receiving, kitting, storage, transportation, inventory visibility and other value-added logistics services at locations managed by Flex. Hong Kong Sinbon Industrial Limited manufactures our custom AC cables. Amperex Technology Limited and A123 Systems LLC supply lithium-ion batteries to help increase our available capacity. In addition, we rely on several unaffiliated companies to supply certain components used in the fabrication of our products.</w:t>
      </w:r>
    </w:p>
    <w:p>
      <w:pPr>
        <w:spacing w:after="0" w:line="7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Our relationships with Flex, Salcomp and Sunwoda provide us with strategic manufacturing capabilities and flexibility. During the fiscal year 2023, we began shipments of microinverters from our contract manufacturers in the United States. Moving manufacturing to the United States allows us to take advantage of the benefits of the Inflation Reduction Act of 2022 (the “IRA”) as well as help us better serve our customers by cutting down delivery times and diversifying our supply chain.</w:t>
      </w:r>
    </w:p>
    <w:p>
      <w:pPr>
        <w:spacing w:after="0" w:line="6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In the first quarter of 2023, we began production shipments of Enphase branded EV chargers at our existing contract manufacturing facility in Mexico. We expect this move could help to meet the rapidly growing demand for reliable and affordable EV charging solutions by providing a greater supply of product and more predictable lead times.</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the fourth quarter of 2023, we implemented a restructuring plan (the “2023 Restructuring Plan”) to reduce our operating costs, and better align our cost structure with current market conditions, strategic priorities and our ongoing commitment to profitable growth. As part of the 2023 Restructuring Plan, we plan to cease operations at our contract manufacturing locations in Romania and in Wisconsin, United States, and resize our other contract manufacturing sites.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Service</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continue to cultivate an organizational focus on customer satisfaction and are committed to providing a best-in-class customer experience. We maintain high levels of customer engagement through our customer support group, Enphase community, and the Enphase App. We significantly improved features in Service Manager™, which installers can use from their mobile devices to get service instantly. We continue to provide 24/7 support for installers and Enphase system owners globally across our phone, online chat and email communications channel. We continue to train our customer service agents with a goal of reducing average customer wait times to under one minute, and we continue to expand our network of field service technicians in the United States, Europe and Australia to provide direct homeowner assistance. Our Net Promoter Score (commonly referred to as “NPS”) improved to 76% in 2023 from 69% in 2022 as a result of multiple customer service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487045</wp:posOffset>
            </wp:positionV>
            <wp:extent cx="69361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2" w:name="page13"/>
    <w:bookmarkEnd w:id="1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We plan to continue to devote substantial resources to research and development with the objective of developing new products and systems and increasing the value or reducing the cost of existing products and systems. Our research and development roadmap identifies new product features and defines improvement targets for existing products that enhance the benefit of our energy management solutions to our customers and support our growth plans. We measure the effectiveness of our research and development using metrics that include product cost, performance and reliability, homeowner and installer experience, as well as development cost and performance to schedule.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We operate in an industry in which innovation, investment in new ideas and protection of our intellectual property rights are critical for success. We protect our technology through a variety of means, including through patent, trademark, copyright and trade secrets laws in the United States and similar laws in other countries, confidentiality agreements and other contractual arrangements. As of December 31, 2023, we have approximately 401 global patents and 264 pending patent applications. Our patents are expiring on an ongoing basis between the present and 2044, but there is not a material portion of our patent portfolio expiring in the near future.</w:t>
      </w:r>
    </w:p>
    <w:p>
      <w:pPr>
        <w:spacing w:after="0" w:line="6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We have licensed certain technologies for application in hardware and software in our products. Such licenses are generally fully-paid, royalty-free licenses. Given the volume and pace of new patents worldwide, it may become necessary in the future to license intellectual property on terms that are yet unknown to us, and that may be less favorable than licenses in the past. In addition, we license open source software from various third parties for use in hardware and software. Such open source software is licensed under open source licenses, and we take efforts to maintain compliance with such licenses.</w:t>
      </w:r>
    </w:p>
    <w:p>
      <w:pPr>
        <w:spacing w:after="0" w:line="63"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We continually assess the need for patent protection for those aspects of our technology that we believe provide significant competitive advantages. A majority of our patents relate to DC to AC power conversion, energy storage devices and related energy environments.</w:t>
      </w:r>
    </w:p>
    <w:p>
      <w:pPr>
        <w:spacing w:after="0" w:line="3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With respect to proprietary know-how that is not patentable and processes for which patents are difficult to enforce, we rely on trade secret protection and confidentiality agreements to safeguard our interests. We believe that many elements of our microinverter and storage manufacturing processes involve proprietary know-how, technology or data that are not covered by patents or patent applications, including technical processes, test equipment designs, algorithms and procedures.</w:t>
      </w:r>
    </w:p>
    <w:p>
      <w:pPr>
        <w:spacing w:after="0" w:line="6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We own or have rights to various trademarks and service marks in the United States and in other countries, including Enphase, the Enphase “e”, IQ, and many other marks. We rely on both registration of our marks as well as common law protection where available.</w:t>
      </w:r>
    </w:p>
    <w:p>
      <w:pPr>
        <w:spacing w:after="0" w:line="3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All of our research and development personnel have entered into confidentiality and proprietary information agreements with us. These agreements address intellectual property protection and require our employees to assign to us all of the inventions, designs and technologies they develop during the course of employment with us.</w:t>
      </w:r>
    </w:p>
    <w:p>
      <w:pPr>
        <w:spacing w:after="0" w:line="5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We also require our customers and business partners to enter into confidentiality agreements before we disclose any sensitive aspects of our technology or business plans.</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As part of our overall strategy to protect our intellectual property, we may take legal actions to prevent third parties from infringing or misappropriating our intellectual property or from otherwise gaining access to our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3" w:name="page14"/>
    <w:bookmarkEnd w:id="1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Regulations</w:t>
      </w:r>
    </w:p>
    <w:p>
      <w:pPr>
        <w:spacing w:after="0" w:line="121"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Our business activities are subject to a changing patchwork of laws and regulations that prevail at the federal, state, regional and local levels as well as in foreign jurisdictions. For example, substantially all of our import operations are subject to complex trade and customs laws, regulations and tax requirements such as sanctions orders or tariffs set by governments through mutual agreements or unilateral actions. In addition, the countries in which our products are manufactured or imported may from time to time impose additional duties, tariffs or other restrictions on our imports or adversely modify existing restrictions. Changes in tax policies or trade regulations, the disallowance of tax deductions on imported merchandise, or the imposition of new tariffs on imported products, could have an adverse effect on our business and results of operations. Compliance with these laws, rules and regulations has not had, and is not expected to have, a material effect on our capital expenditures and results of operations.</w:t>
      </w:r>
    </w:p>
    <w:p>
      <w:pPr>
        <w:spacing w:after="0" w:line="70"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are also subject to other complex foreign and U.S. laws and regulations related to anti-bribery and corruption laws, antitrust or competition laws, and data privacy and security laws, such as the EU General Data Protection Regulation, among others. We have policies and procedures in place to promote compliance with these laws and regulations. To date, our compliance actions and costs relating to these laws, rules and regulations have not resulted in a material cost or effect on our capital expenditures, earnings or competitive position. Government regulations are subject to change, and accordingly we are unable to assess the possible effect of compliance with future requirements or whether our compliance with such regulations will materially impact our business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Incentives</w:t>
      </w:r>
    </w:p>
    <w:p>
      <w:pPr>
        <w:spacing w:after="0" w:line="121" w:lineRule="exact"/>
        <w:rPr>
          <w:sz w:val="20"/>
          <w:szCs w:val="20"/>
          <w:color w:val="auto"/>
        </w:rPr>
      </w:pPr>
    </w:p>
    <w:p>
      <w:pPr>
        <w:jc w:val="both"/>
        <w:ind w:firstLine="472"/>
        <w:spacing w:after="0" w:line="213" w:lineRule="exact"/>
        <w:rPr>
          <w:sz w:val="20"/>
          <w:szCs w:val="20"/>
          <w:color w:val="auto"/>
        </w:rPr>
      </w:pPr>
      <w:r>
        <w:rPr>
          <w:rFonts w:ascii="Arial" w:cs="Arial" w:eastAsia="Arial" w:hAnsi="Arial"/>
          <w:sz w:val="17"/>
          <w:szCs w:val="17"/>
          <w:color w:val="auto"/>
        </w:rPr>
        <w:t>U.S. federal, state and local government bodies, as well as non-U.S. government bodies provide incentives to owners, distributors, system integrators and manufacturers of solar energy and battery energy storage systems to promote the use of these resources in the form of rebates, tax credits, lower VAT rate and other financial incentives, such as system performance payments, payments for renewable energy credits associated with renewable energy generation and exclusion of solar energy systems from property tax assessments. The market for on</w:t>
      </w:r>
      <w:r>
        <w:rPr>
          <w:rFonts w:ascii="MS PGothic" w:cs="MS PGothic" w:eastAsia="MS PGothic" w:hAnsi="MS PGothic"/>
          <w:sz w:val="17"/>
          <w:szCs w:val="17"/>
          <w:color w:val="auto"/>
        </w:rPr>
        <w:t>‑</w:t>
      </w:r>
      <w:r>
        <w:rPr>
          <w:rFonts w:ascii="Arial" w:cs="Arial" w:eastAsia="Arial" w:hAnsi="Arial"/>
          <w:sz w:val="17"/>
          <w:szCs w:val="17"/>
          <w:color w:val="auto"/>
        </w:rPr>
        <w:t>grid applications, where solar power, possibly coupled with battery storage, is used to supplement a customer’s electricity purchased from the utility network or sold to a utility under tariff, often depends in large part on the availability and size of these government subsidies and economic incentives, which vary by geographic market and from time to time, thus helping to catalyze customer acceptance of solar energy as an alternative to utility-provided power. The disallowance or changes in government subsidies or economic incentives could have an adverse effect on our business and results of operations. Among other government-established incentives, net energy metering and related policies have supported the growth of on-grid solar and storage products, and changes to such policies may significantly reduce demand for electricity from our solar and storage service offerings. Net energy metering provides compensation for a customer exporting excess solar generation to the electrical grid.</w:t>
      </w:r>
    </w:p>
    <w:p>
      <w:pPr>
        <w:spacing w:after="0" w:line="284"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In August 2022, the IRA was enacted, which includes extension of the investment tax credit (“ITC”) as well as a new advanced manufacturing production tax credit (“AMPTC”), to incentivize clean energy component sourcing and production, including for the production of microinverters. The IRA also included a 10% ITC for solar system components that are manufactured with a minimum threshold of domestic content. The IRA provides an AMPTC on microinverters of 11 cents per alternating current watt, which had a favorable impact to our results of operations in the year ended December 31, 2023. The AMPTC for microinverters decreases by 25% each year beginning in 2030 and ending after 2032. Under the IRA, the ITC was also extended until 2032 to allow a qualifying homeowner to deduct 30% of the cost of installing residential solar systems from their U.S. federal income taxes, thereby returning a material portion of the purchase price of the residential solar system to homeowners. Under the terms of the current extension, the ITC will remain at 30% through the end of 2032, reduce to 26% for 2033, reduce to 22% for 2034, and further reduce to 0% after the end of 2034 for residential solar systems, unless it is extended before that time. We believe the enactment of the IRA is favorable to our overall business.</w:t>
      </w:r>
    </w:p>
    <w:p>
      <w:pPr>
        <w:spacing w:after="0" w:line="6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In December 2022, the California Public Utilities Commission (“CPUC”) approved a new net energy metering policy, called Net Energy Metering 3.0 (“NEM 3.0”), which went into effect starting April 15, 2023. The new policy reduces the compensation earned by solar customers selling extra energy to the grid by a substantial amount. The average export rate in California under NEM 3.0 is approximately $0.05/kWh to $0.08/kWh compared to the prior average of $0.25/kWh to $0.35/kWh under the prior regime, called Net Energy Metering 2.0 (“NEM 2.0”). In November 2023, the CPUC also adopted changes to its Virtual NEM and NEM Aggregation programs that prohibit the netting of import energy charges at multi-meter commercial or agricultural properties with solar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4" w:name="page15"/>
    <w:bookmarkEnd w:id="1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generated at or adjacent to those properties, except for residential account holders in a multi-family residential property. Both of these policy changes in California reduced demand for solar PV systems in the year ended December 31, 2023 and may continue to do so for future inverter sales. However, the reduction in export compensation under NEM 3.0, coupled with rising utility rates, may encourage deployment of battery energy storage with solar PV systems and mitigate some of the demand reductions.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1"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Historically, the majority of our revenue are from the North American and European regions which experience higher sales of our products in the second, third and fourth quarters and have been affected by seasonal customer demand trends, including weather patterns and construction cycles. The first quarter historically has had softer customer demand in our industry, due to these same factors. Although these seasonal factors are common in the solar sector, historical patterns should not be considered a reliable indicator of our future sales activity or performance.</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 and Climate Change</w:t>
      </w:r>
    </w:p>
    <w:p>
      <w:pPr>
        <w:spacing w:after="0" w:line="121"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We have understood the climate change threat from the beginning and have been creating clean energy technologies needed to directly combat it, protect our environment and enable sustainable development. We recognize our ability to do so rests on our capacity to understand, anticipate and successfully navigate various types of climate risk. Our strategy is advancing solutions to meet any number of climate risk mitigation opportunities – solar energy equipment, battery storage, EV charging, smart load management and integration with grid modernization efforts.</w:t>
      </w:r>
    </w:p>
    <w:p>
      <w:pPr>
        <w:spacing w:after="0" w:line="27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align our risk assessment and climate strategy with the recommendations of the Taskforce for Climate-Related Financial Disclosures (“TCFD”), as all existing and emerging climate risk disclosure regulations are modeled on this framework. We issued our third TCFD aligned Environmental, Social and Governance Report in 2023 and plan to follow up with another aligned report in 2024.</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believe that sound corporate governance is critical to helping us achieve our goals, including with respect to designing products that address both energy generation and consumption. We continue to evolve a governance framework that exercises appropriate oversight of responsibilities at all levels throughout the company and manages its affairs consistent with high principles of business ethics and advancing a sustainable future for all.</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As of December 31, 2023, we had 3,157 full-time employees. Of the full-time employees, 1,218 were engaged in research and development, 1,220 in sales and marketing, 283 in general and administration, 268 in solar system configuration design and permitting services and 168 in manufacturing and operations. Of these employees, 1,002 were in the United States, 1,696 in India, 223 in Europe, 118 in New Zealand, 29 in Australia, 25 in Mexico, 24 in Canada, 24 in China, and 16 in Brazil.</w:t>
      </w:r>
    </w:p>
    <w:p>
      <w:pPr>
        <w:spacing w:after="0" w:line="6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None of our employees are represented by a labor union; however, our employees in France are represented by a collective bargaining agreement. We have not experienced any employment-related work stoppages, and we consider our relations with our employees to be good.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Culture</w:t>
      </w:r>
    </w:p>
    <w:p>
      <w:pPr>
        <w:spacing w:after="0" w:line="11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Supporting our purpose of “Advancing a sustainable future for all,” all employees are expected to uphold the following core values that drive our culture:</w:t>
      </w:r>
    </w:p>
    <w:p>
      <w:pPr>
        <w:spacing w:after="0" w:line="36" w:lineRule="exact"/>
        <w:rPr>
          <w:sz w:val="20"/>
          <w:szCs w:val="20"/>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Customer First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Integrity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Innovation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Teamwork</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Quality</w:t>
      </w:r>
    </w:p>
    <w:p>
      <w:pPr>
        <w:spacing w:after="0" w:line="119"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These core values are represented by how we work together, how we perform and how we all get rewarded. Values are reinforced in new hire training, culture workshops and everyday interactions.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5" w:name="page16"/>
    <w:bookmarkEnd w:id="1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Talent</w:t>
      </w:r>
    </w:p>
    <w:p>
      <w:pPr>
        <w:spacing w:after="0" w:line="119"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Our talent and culture are critical to our success. Our human capital management philosophy and objectives focus on creating a high-performance culture in which our employees deliver, succeed and lead. We achieve our objectives through various employee engagement and talent development efforts. Our employee engagement efforts include our quarterly all-employee town hall meetings, through which we aim to keep our employees well-informed and to increase transparency, and employee engagement surveys, through which we incorporate critical employee feedback into our culture, operations and strategic plans. We have established relationships with top universities worldwide, professional associations and industry groups to build a talent pipeline and established the Enphase Learning Academy to provide employees with on demand relevant technical and professional programs.</w:t>
      </w:r>
    </w:p>
    <w:p>
      <w:pPr>
        <w:spacing w:after="0" w:line="68"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are committed to promoting and cultivating an inclusive and diverse culture that welcomes and celebrates everyone without bias. In addition, we look to actively engage within our communities to foster and attain social equity. We became a corporate sponsor of the non-profit Women in Cleantech and Sustainability and our Chief Executive Officer signed the CEO Action for Diversity &amp; Inclusion pledge. This shows our commitment to advancing diversity and inclusion in the workplace.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Philosophy</w:t>
      </w:r>
    </w:p>
    <w:p>
      <w:pPr>
        <w:spacing w:after="0" w:line="119" w:lineRule="exact"/>
        <w:rPr>
          <w:sz w:val="20"/>
          <w:szCs w:val="20"/>
          <w:color w:val="auto"/>
        </w:rPr>
      </w:pPr>
    </w:p>
    <w:p>
      <w:pPr>
        <w:jc w:val="both"/>
        <w:ind w:firstLine="472"/>
        <w:spacing w:after="0" w:line="291" w:lineRule="auto"/>
        <w:rPr>
          <w:sz w:val="20"/>
          <w:szCs w:val="20"/>
          <w:color w:val="auto"/>
        </w:rPr>
      </w:pPr>
      <w:r>
        <w:rPr>
          <w:rFonts w:ascii="Arial" w:cs="Arial" w:eastAsia="Arial" w:hAnsi="Arial"/>
          <w:sz w:val="17"/>
          <w:szCs w:val="17"/>
          <w:color w:val="auto"/>
        </w:rPr>
        <w:t>Our compensation philosophy creates the framework for our rewards strategy. We have a pay-for-performance culture that ties compensation to the performance of the individual and our company. We provide competitive compensation programs that focus on the following five key elements:</w:t>
      </w:r>
    </w:p>
    <w:p>
      <w:pPr>
        <w:spacing w:after="0" w:line="260" w:lineRule="exact"/>
        <w:rPr>
          <w:sz w:val="20"/>
          <w:szCs w:val="20"/>
          <w:color w:val="auto"/>
        </w:rPr>
      </w:pPr>
    </w:p>
    <w:p>
      <w:pPr>
        <w:ind w:left="640" w:hanging="320"/>
        <w:spacing w:after="0" w:line="300"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Pay-for-performance: Reward and recognize leading contributors and high potential employees by paying market competitive total direct compensation, which includes base salary, quarterly bonus or commission, and stock-based compensation</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External market-based research: Pay levels that are competitive with respect to the labor markets and industries in which we compete for talent</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Internal equity: Maintaining internally consistent and non-discriminatory pay and pay practices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Fiscal responsibility: Providing programs in line with economic conditions and our company’s financial health</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Legal compliance: Ensure the organization is legally compliant with employee compensation laws in all states and countries in which we operate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and Wellness</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We invest in our employees through high-quality benefits and various health and wellness initiatives. Our benefits packages provide a balance of protection along with the flexibility to meet the individual needs of our employees. Our global work-from-home policy introduced in response to COVID-19 pandemic was modified to allow employees in certain countries and locations to work in a hybrid mode as business necessitates. Our focus remains on the safety of our employees and business partners, and we strive to protect the health and well-being of the communities in which we operate, in part, by providing technology to our employees, end-customers and business partners to help them do their best work while remote. We expect these business operating conditions will substantially remain in effect throughout 2024. We will continue to actively monitor the situation and we will make further changes to our business operations as may be permitted by federal, state, or local authorities and that we determine are in the best interests of our employees, end-customers, partners, suppliers and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file electronically with the U.S. Securities and Exchange Commission (“SEC”), our Annual Reports on Form 10-K, Quarterly Reports on Form 10-Q, Current Reports on Form 8-K and amendments to those reports filed pursuant to Section 13(a) or 15(d) of the Exchange Act can be accessed on our Investor Relations website at www.investor.enphase.com. Alternatively, you may access these reports at the SEC’s website at www.sec.gov. We make available, free of charge, copies of these reports as soon as reasonably practicable after filing these reports with the SEC or otherwise furnishing it to the SEC.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6" w:name="page17"/>
    <w:bookmarkEnd w:id="1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1A.</w:t>
        <w:tab/>
        <w:t>Risk Factors</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Annual Report on Form 10-K, including our consolidated financial statements and related notes. See also “Forward-Looking Statements” in the forepart of this Annual Report on Form 10-K.</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Operations and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macroeconomic and market conditions may adversely affect our industry, business and financial results.</w:t>
      </w:r>
    </w:p>
    <w:p>
      <w:pPr>
        <w:spacing w:after="0" w:line="119"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Our business depends on the overall demand for our solar energy products and on the economic health and willingness of our customers and potential customers to make capital commitments to purchase our products and services. Macroeconomic or market uncertainty, including increased interest rates and high inflation, or expectations of future interest rate cuts by the U.S. Federal Reserve, may cause, and has caused, customers to delay purchasing our products and services or not purchase at all. In addition, a number of the risks associated with our business, which are disclosed in these risk factors, may increase in likelihood, magnitude or duration, and we may face new risks that we have not yet identified.</w:t>
      </w:r>
    </w:p>
    <w:p>
      <w:pPr>
        <w:spacing w:after="0" w:line="27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Unfavorable macroeconomic and market conditions can result and have previously resulted in sustained periods of decreased demand. Macroeconomic and market conditions could be adversely affected by a variety of political, economic or other factors in the United States and international markets, which could, in turn, adversely affect spending levels of installers and end users and could create volatility or deteriorating conditions in the markets in which we operate. Macroeconomic uncertainty or weakness could result in:</w:t>
      </w:r>
    </w:p>
    <w:p>
      <w:pPr>
        <w:spacing w:after="0" w:line="61" w:lineRule="exact"/>
        <w:rPr>
          <w:sz w:val="20"/>
          <w:szCs w:val="20"/>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reduced demand for our products as a result of constraints on capital spending for residential solar energy systems by our customers;</w:t>
      </w:r>
    </w:p>
    <w:p>
      <w:pPr>
        <w:spacing w:after="0" w:line="30"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increased price competition for our products that may adversely affect revenue, gross margin and profitability;</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decreased ability to forecast operating results and make decisions about budgeting, planning and future investments;</w:t>
      </w:r>
    </w:p>
    <w:p>
      <w:pPr>
        <w:spacing w:after="0" w:line="14" w:lineRule="exact"/>
        <w:rPr>
          <w:rFonts w:ascii="Arial" w:cs="Arial" w:eastAsia="Arial" w:hAnsi="Arial"/>
          <w:sz w:val="17"/>
          <w:szCs w:val="17"/>
          <w:color w:val="auto"/>
        </w:rPr>
      </w:pPr>
    </w:p>
    <w:p>
      <w:pPr>
        <w:jc w:val="both"/>
        <w:ind w:left="640" w:hanging="320"/>
        <w:spacing w:after="0" w:line="257"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business and financial difficulties faced by our suppliers, distributors or other partners, including impacts to material costs, sales, liquidity levels, ability to continue investing in their businesses, ability to import or export goods, ability to meet development commitments and manufacturing capability; and</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increased overhead and production costs as a percentage of revenue.</w:t>
      </w:r>
    </w:p>
    <w:p>
      <w:pPr>
        <w:spacing w:after="0" w:line="103"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Reductions in customer spending in response to unfavorable or uncertain macroeconomic and market conditions, globally or in a particular region where we operate, would adversely affect our business, results of operations and financial condition.</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demand for solar energy solutions does not grow or grows at a slower rate than we anticipate, our business will suffer.</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Our IQ Microinverters, ACM products and IQ Battery storage systems are utilized in solar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 and we cannot be certain that consumers and businesses will adopt solar PV systems as an alternative energy source at levels sufficient to continue to grow our business. Traditional electricity distribution is based on the regulated industry model under which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70" w:lineRule="exact"/>
        <w:rPr>
          <w:sz w:val="20"/>
          <w:szCs w:val="20"/>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market acceptance of solar PV systems based on our product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7" w:name="page18"/>
    <w:bookmarkEnd w:id="1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cost competitiveness, reliability and performance of solar PV systems compared to conventional and non-solar renewable energy sources and products;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availability and amount of government subsidies and incentives to support the development and deployment of solar energy solutions;</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extent to which the electric power industry and broader energy industries are deregulated to permit broader adoption of solar electricity generation;</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and availability of key raw materials and components used in the production of solar PV systems;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prices of traditional utility-provided energy sources;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levels of investment by end-users of solar energy products, which tend to decrease when economic growth slows; and</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emergence, continuance or success of, or increased government support for, other alternative energy generation technologies and products.</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If demand for solar energy solutions does not grow, demand for our customers’ products from residential homeowners and commercial businesses will decrease, which would have an adverse impact on our ability to increase our revenue and grow our business.</w:t>
      </w:r>
    </w:p>
    <w:p>
      <w:pPr>
        <w:spacing w:after="0" w:line="3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Further, our success depends on continued demand for solar energy solutions and the ability of solar equipment vendors to meet this demand. Supply chain disruptions, increased interest rates and higher inflation, have caused and may continue to cause various negative effects, including an inability to meet the needs of our existing or potential end customers. If demand for solar energy solutions decreases or does not grow, demand for our customers’ products as well as demand for our products will decrease, which would have an adverse impact on our ability to increase our revenue and grow our business.</w:t>
      </w:r>
    </w:p>
    <w:p>
      <w:pPr>
        <w:spacing w:after="0" w:line="115"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20"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market for on-grid applications, where solar power, on a standalone basis or paired with energy storage systems, is used to supplement a customer’s electricity purchased from the utility network or sold to a utility under tariff, depends in large part on the availability and size of government and economic incentives that vary by geographic market. Because our customers’ sales of solar power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64"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National, state and local government bodies in many countries, including the United States, have provided incentives in the form of feed-in tariffs (“FiTs”), rebates, tax credits and other incentives to system owners, distributors, system integrators and manufacturers of solar PV systems and battery energy storage systems to bolster the cost competitiveness of solar electricity in on-grid applications relative to the cost of utility power,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64"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where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Furthermore, electric utility companies may establish pricing structures or interconnection requirements that could adversely affect our sales and be harmful to the solar and distributed rooftop solar generation industry.</w:t>
      </w:r>
    </w:p>
    <w:p>
      <w:pPr>
        <w:spacing w:after="0" w:line="68"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Among other government-established incentives, net energy metering and related policies have supported the growth of on-grid solar products, and changes to such policies may reduce demand for electricity from our solar service offerings. Net energy metering is a utility rate program that requires a consumer’s electric company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8" w:name="page19"/>
    <w:bookmarkEnd w:id="1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11" w:lineRule="exact"/>
        <w:rPr>
          <w:sz w:val="20"/>
          <w:szCs w:val="20"/>
          <w:color w:val="auto"/>
        </w:rPr>
      </w:pPr>
      <w:r>
        <w:rPr>
          <w:rFonts w:ascii="Arial" w:cs="Arial" w:eastAsia="Arial" w:hAnsi="Arial"/>
          <w:sz w:val="17"/>
          <w:szCs w:val="17"/>
          <w:color w:val="auto"/>
        </w:rPr>
        <w:t>purchase the excess solar energy that the consumer’s solar panels produce and pay the retail rate for electricity exported to the grid, less certain non-bypassable fees paid by the consumer. For example, in 2016, the CPUC issued an order retaining retail rate-based net energy metering credits for residential customers of California's major utilities as part of NEM 2.0. Customers under NEM 2.0 were made subject to interconnection application fees and must take service under time</w:t>
      </w:r>
      <w:r>
        <w:rPr>
          <w:rFonts w:ascii="MS PGothic" w:cs="MS PGothic" w:eastAsia="MS PGothic" w:hAnsi="MS PGothic"/>
          <w:sz w:val="17"/>
          <w:szCs w:val="17"/>
          <w:color w:val="auto"/>
        </w:rPr>
        <w:t>‑</w:t>
      </w:r>
      <w:r>
        <w:rPr>
          <w:rFonts w:ascii="Arial" w:cs="Arial" w:eastAsia="Arial" w:hAnsi="Arial"/>
          <w:sz w:val="17"/>
          <w:szCs w:val="17"/>
          <w:color w:val="auto"/>
        </w:rPr>
        <w:t xml:space="preserve"> of-use rates with different electricity prices during peak and off-peak hours. Existing customers who receive service under the prior net energy metering program, as well as new customers under the NEM 2.0 program, remain eligible for the NEM 2.0 program for a period of 20 years. However, on December 15, 2022, the CPUC adopted a “NEM 3.0” policy, also known as the Net Billing Tariff, that unbundles export compensation from retail rates and instead bases it on a tool called the Avoided Cost Calculator (“ACC”), which estimates the hourly utility costs that are avoided by exports from distributed generation. The CPUC did seek to ease the transition for the solar market by adopting export “adders” to the hourly ACC values for the first several years of the tariff. Nevertheless, these ACC-based export compensation values are significantly lower than retail rates for most hours of the year and may therefore increase payback periods, and thereby reduce demand, for solar-only systems. Similarly, in November 2023, the CPUC adopted changes to its Virtual NEM and NEM Aggregation programs that prohibit the netting of import energy charges at multi-meter commercial or agricultural properties with solar energy generated at or adjacent to those properties, except for residential account holders in a multi-family residential property. These types of modifications to net energy metering incentives have impacted and could further harm our business, both in California, where we have derived a significant portion of historical revenues in the United States, and in other jurisdictions, if pursued there.</w:t>
      </w:r>
    </w:p>
    <w:p>
      <w:pPr>
        <w:spacing w:after="0" w:line="88"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i w:val="1"/>
          <w:iCs w:val="1"/>
          <w:color w:val="auto"/>
        </w:rPr>
        <w:t>The solar industry is highly competitive, and we expect to face increased competition as new and existing competitors introduce products or develop alternative technologies, which could negatively impact our business, financial condition and results of operations.</w:t>
      </w:r>
    </w:p>
    <w:p>
      <w:pPr>
        <w:spacing w:after="0" w:line="24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compete primarily against central and string inverter manufacturers, as well as against new solutions and emerging technologies that directly compete with our business. A number of companies have developed or are developing microinverters and other products that will compete directly with our solutions in the module-level power electronics market. We also compete against manufacturers of energy storage systems and EV chargers for our solutions in these markets.</w:t>
      </w:r>
    </w:p>
    <w:p>
      <w:pPr>
        <w:spacing w:after="0" w:line="6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Competitors in the inverter market include, among others, SolarEdge, Tesla, Huawei, Sungrow Power Supply Co., Ltd., Growatt New Energy Co., Ltd and other companies offering string inverters with and without solar optimizers. Competitors in the storage market include Tesla, SolarEdge, Huawei, LG Chem, BYD and other producers of battery cells and integrated storage systems market. Competitors in the EV charger market include Wallbox, ChargePoint, Tesla, JuiceBox and EVBox, among others.</w:t>
      </w:r>
    </w:p>
    <w:p>
      <w:pPr>
        <w:spacing w:after="0" w:line="61"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of our products in order to compete effectively. Suppliers of solar products, particularly solar modules, have experienced eroding prices over the last several years and as a result many have faced margin compression and declining revenues. If we have to reduce our prices, or if we are unable to offset any future reductions in our average selling prices (“ASPs”) by increasing our sales volume, reducing our costs and expenses or introducing new products, our revenue and gross profit would suffer.</w:t>
      </w:r>
    </w:p>
    <w:p>
      <w:pPr>
        <w:spacing w:after="0" w:line="6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63"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also may face competition from some of our customers or potential customers who evaluate our capabilities against the merits of manufacturing products internally. Other solar module manufacturers could also develop or acquire competing inverter technology or attempt to develop components that directly perform DC-to-AC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9" w:name="page20"/>
    <w:bookmarkEnd w:id="1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systems or sell products that compete with our systems, which would negatively impact our revenue and gross profit.</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Our recent and planned expansion into existing and new markets could subject us to additional business, financial and competitive risks.</w:t>
      </w:r>
    </w:p>
    <w:p>
      <w:pPr>
        <w:spacing w:after="0" w:line="30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We currently offer solar energy systems targeting the residential and commercial markets throughout the world, and we intend to expand into other international markets. Our success in new geographic and product markets will depend on a number of factors, such as:</w:t>
      </w:r>
    </w:p>
    <w:p>
      <w:pPr>
        <w:spacing w:after="0" w:line="36" w:lineRule="exact"/>
        <w:rPr>
          <w:sz w:val="20"/>
          <w:szCs w:val="20"/>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acceptance of microinverters and batteries in markets in which they have not traditionally been used;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compete in new product markets to which we are not accustomed;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accurate forecasting and effective management of inventory levels in line with anticipated product demand;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manage manufacturing capacity and production;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willingness of our potential customers to incur a higher upfront capital investment than may be required for competing solutions;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timely qualification and certification of new products;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reduce production costs in order to price our products competitively;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availability of government subsidies and economic incentives for solar energy solutions;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customer service capabilities and responsiveness;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timely hiring of skilled employees and the efficient execution of our project plan.</w:t>
      </w:r>
    </w:p>
    <w:p>
      <w:pPr>
        <w:spacing w:after="0" w:line="11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Failure to address these new markets successfully, to generate sufficient revenue from these markets to offset associated research and development, marketing and manufacturing costs, or to otherwise effectively anticipate and manage the risks and challenges associated with our potential expansion into new product and geographic markets, could adversely affect our revenue and our ability to achieve or sustain profitability.</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capture customers as we design and develop new products and update existing products.</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We are pursuing opportunities in energy management and energy storage that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or fail to adequately update our legacy products, we may fail to generate revenue in the quantities or timeline projected, thus, having a materially adverse impact on our operating results and financial stability.</w:t>
      </w:r>
    </w:p>
    <w:p>
      <w:pPr>
        <w:spacing w:after="0" w:line="70"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continue to develop new generations of our IQ Microinverters, IQ Batteries and EV charging products. Developing new products or next generation products is complex and requires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 Our installers may not have sufficient resources or expertise necessary to sell our products at the prices, in the volumes and within the time frames that we expect, which could hinder our ability to expand our operations and harm our revenue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0" w:name="page21"/>
    <w:bookmarkEnd w:id="2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We depend upon a small number of outside contract manufacturers, and our business and operations could be disrupted if we encounter problems with these contract manufacturers.</w:t>
      </w:r>
    </w:p>
    <w:p>
      <w:pPr>
        <w:spacing w:after="0" w:line="20"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do not have internal manufacturing capabilities and rely upon a small number of contract manufacturers to build our products. In particular, we outsource the manufacturing of our products to third-party contract manufacturers. Flex, Salcomp and Sunwoda assemble and test our IQ Microinverter, ACM products, IQ Battery storage systems and IQ Gateway products. Prices for such services are agreed to by the parties on a quarterly basis, and we are obligated to purchase manufactured products and raw materials that cannot be resold upon the termination of the related agreement. As of December 31, 2023, our related purchase obligations (including amounts related to component inventory procured by our primary contract manufacturers on our behalf) were approximately $184.4 million. The timing of purchases in future periods could differ materially from our estimates due to fluctuations in demand requirements related to varying sales levels as well as changes in economic conditions.</w:t>
      </w:r>
    </w:p>
    <w:p>
      <w:pPr>
        <w:spacing w:after="0" w:line="278"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Flex also provides receiving, kitting, storage, transportation, inventory visibility and other value-added logistics services at locations managed by Flex. In addition, we rely on several unaffiliated companies to supply certain components used in the fabrication of our products.</w:t>
      </w:r>
    </w:p>
    <w:p>
      <w:pPr>
        <w:spacing w:after="0" w:line="3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Our reliance on a small number of contract manufacturers makes us vulnerable to possible capacity constraints and reduced control over component availability, delivery schedules, manufacturing yields and costs. We do not have long-term supply contracts with our contract manufacturing partners. Consequently, these manufacturers are not obligated to supply products to us for any period, in any specified quantity or at any certain price. If any of these suppliers reduce or eliminate the supply of the components to us in the future, our revenue, business, financial condition and results of operations would be adversely impacted.</w:t>
      </w:r>
    </w:p>
    <w:p>
      <w:pPr>
        <w:spacing w:after="0" w:line="6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Further, the revenue that our contract manufacturers generate from our orders may represent a relatively small percentage of their overall revenue. As a result, fulfilling our orders may not be considered a priority in the event of constrained ability to fulfill all of their customer obligations in a timely manner. In addition, the facilities in which the vast majority of our products are manufactured are located outside of the United States. We believe that the location of these facilities outside of the United States increases our supply risk, including the risk of supply interruptions or reductions in manufacturing quality or controls.</w:t>
      </w:r>
    </w:p>
    <w:p>
      <w:pPr>
        <w:spacing w:after="0" w:line="63"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which may not be available to us on favorable terms, if at all. An alternative contract manufacturer may not be available to us when needed or may not be in a position to satisfy our quality or production requirements on commercially reasonable terms. Any significant interruption in manufacturing would require us to reduce our supply of products to our customers, which in turn would reduce our revenue, harm our relationships with our customers and cause us to forgo potential revenue opportunities.</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rely primarily on distributors, installers and providers of solar financing to assist in selling our products to customers, and the failure of these customers to perform at the expected level, or at all, would have an adverse effect on our business, financial condition and results of our operations.</w:t>
      </w:r>
    </w:p>
    <w:p>
      <w:pPr>
        <w:spacing w:after="0" w:line="43"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sell our solutions primarily through distributors, as well as through direct sales to solar equipment installers and developers of third-party solar finance offerings. We do not have exclusive arrangements with these third parties. As a result, many of these third parties, or customers, also use or market and sell products from our competitors, which may reduce our sales. These customers may generally terminate their relationships with us at any time, or with short notice, and further may fail to devote the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68"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typically provide our distributors and installers with training and other programs, including accreditations and certifications; however, these programs may not be effective or utilized consistently. Further, newer distributors and installers may require extensive training and may take significant time and resources to achieve productivity. Our distributors and installers may subject us to lawsuits, potential liability and reputational harm if, for example, any were to misrepresent the functionality of our platform or products to customers, fail to perform services to our customers’ expectations, or violate laws or our policies. In addition, our distributors and installers may utilize our platform to develop products and services that could potentially compete with products and services that we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1" w:name="page22"/>
    <w:bookmarkEnd w:id="2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currently or in the future. Concerns over competitive matters or intellectual property ownership could constrain the growth and development of these relationships or result in the termination of one or more relationships. If we fail to effectively manage and grow our network of distributors and installers, or properly monitor the quality and efficacy of their service delivery, our ability to sell our products and efficiently provide our services may be impacted, and our operating results may be harmed.</w:t>
      </w:r>
    </w:p>
    <w:p>
      <w:pPr>
        <w:spacing w:after="0" w:line="6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customers to perform as expected, or failure by us to cultivate new customer relationships, could hinder our ability to expand our operations and harm our revenue and operating results.</w:t>
      </w:r>
    </w:p>
    <w:p>
      <w:pPr>
        <w:spacing w:after="0" w:line="11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We depend on limited-source suppliers for key components and products. If we are unable to source these components and products on a timely basis, we will not be able to deliver our products to our customers.</w:t>
      </w:r>
    </w:p>
    <w:p>
      <w:pPr>
        <w:spacing w:after="0" w:line="20"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We depend on sole-source and limited-source suppliers for key components of our products, such as our ASICs and lithium-ion batteries. Any of the sole-source and limited-source suppliers upon whom we rely could experience quality and reliability issues, stop producing our components, cease operations, face climate-related disruptions,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 a timely manner, or at all. Switching suppliers may require that we redesign our products to accommodate new components and may potentially require us to re-qualify our products, which would be costly and time-consuming. Any interruption in the quality or supply of sole-source or limited-source components for our products would adversely affect our ability to meet scheduled product deliveries to our customers and could result in lost revenue or higher expenses and would harm our business.</w:t>
      </w:r>
    </w:p>
    <w:p>
      <w:pPr>
        <w:spacing w:after="0" w:line="69" w:lineRule="exact"/>
        <w:rPr>
          <w:sz w:val="20"/>
          <w:szCs w:val="20"/>
          <w:color w:val="auto"/>
        </w:rPr>
      </w:pPr>
    </w:p>
    <w:p>
      <w:pPr>
        <w:ind w:right="40"/>
        <w:spacing w:after="0" w:line="310" w:lineRule="auto"/>
        <w:rPr>
          <w:sz w:val="20"/>
          <w:szCs w:val="20"/>
          <w:color w:val="auto"/>
        </w:rPr>
      </w:pPr>
      <w:r>
        <w:rPr>
          <w:rFonts w:ascii="Arial" w:cs="Arial" w:eastAsia="Arial" w:hAnsi="Arial"/>
          <w:sz w:val="17"/>
          <w:szCs w:val="17"/>
          <w:b w:val="1"/>
          <w:bCs w:val="1"/>
          <w:i w:val="1"/>
          <w:iCs w:val="1"/>
          <w:color w:val="auto"/>
        </w:rPr>
        <w:t>Challenges relating to supply chain constraints, including with respect to raw materials, semiconductors and integrated circuits, could adversely impact our revenue, gross margins and results of operations.</w:t>
      </w:r>
    </w:p>
    <w:p>
      <w:pPr>
        <w:spacing w:after="0" w:line="20"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In times of increased demand, the global supply market for certain raw materials and components, including, in particular, semiconductors, integrated circuits and other electronic components used in some of our products, has experienced significant constraint and disruption. A constrained supply environment could affect component availability, lead times and cost and could increase the likelihood of unexpected cancellations or delays of previously committed supply of key components. To mitigate these risks, we may in the future and have in the past incurred higher costs to secure available inventory, have extended our purchase commitments and placed non-cancellable, advanced orders with or through suppliers, particularly for long lead time components. Our efforts to expand our manufacturing capacity and multi-source and pre-order components may fail to reduce the impact of these adverse supply chain conditions on our business.</w:t>
      </w:r>
    </w:p>
    <w:p>
      <w:pPr>
        <w:spacing w:after="0" w:line="68"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Despite any mitigation efforts, constrained supply conditions may adversely impact our revenue and results of operations. At the same time, increased costs associated with supply premiums, labor, expediting fees and freight and logistics may adversely impact our gross margin, profitability and ability to reduce the cost to manufacture our products in a manner consistent with prior periods. In the past, the COVID-19 pandemic and regional conflicts and wars has also contributed to and exacerbated the strain on our supply chain, and there can be no assurance that these types of impacts will not continue, or worsen, in the future. Increased supply chain challenges could also result in increased use of cash, engineering design changes and delays in new product introductions, each of which could adversely impact our business and financial results. In the event of any persistent supply chain challenges, these challenges would adversely impact our revenue, gross margins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620395</wp:posOffset>
            </wp:positionV>
            <wp:extent cx="69361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2" w:name="page23"/>
    <w:bookmarkEnd w:id="2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20"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product warranty claims. Errors or defects may arise from raw materials supplied by third parties that are beyond our detection or control, which could lead to additional product warranty claims that may adversely affect our business and results of operations.</w:t>
      </w:r>
    </w:p>
    <w:p>
      <w:pPr>
        <w:spacing w:after="0" w:line="337"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Manufacturing problems could result in delays in product shipments, which would adversely affect our revenue, competitive position and reputation.</w:t>
      </w:r>
    </w:p>
    <w:p>
      <w:pPr>
        <w:spacing w:after="0" w:line="20"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have in the past and may in the future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278"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A disruption could also occur in one of our contract manufacturers’ facilities due to any number of reasons, such as equipment failure contaminated materials, process deviations, the effects of climate change and related extreme weather events, or social, geopolitical or health factors, including pandemics or widespread health epidemics such as the COVID-19 pandemic, which could adversely impact manufacturing yields or delay product shipments. As a result, we could incur additional costs that would adversely affect our gross profit, and product shipments to our customers could be delayed beyond the schedules requested, which would negatively affect our revenue, competitive position and reputation.</w:t>
      </w:r>
    </w:p>
    <w:p>
      <w:pPr>
        <w:spacing w:after="0" w:line="27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and changes in customer requirements, manufacturing facilities or processes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 Furthermore, counterfeit parts in our supply chain have been and continue to be a concern, since any counterfeit part can be a lower quality product, which may affect our system reliability.</w:t>
      </w:r>
    </w:p>
    <w:p>
      <w:pPr>
        <w:spacing w:after="0" w:line="278"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The risks of these types of manufacturing problems are further increased during the introduction of new product lines, which has from time to time caused, and may in the future cause, temporary suspension of product lines while problems are addressed or corrected. Since our business is substantially dependent on a limited number of product lines, any prolonged or substantial suspension of an individual product line could result in a material adverse effect on our revenue, gross profit and competitive position as well as our distributor and 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617855</wp:posOffset>
            </wp:positionV>
            <wp:extent cx="69361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3" w:name="page24"/>
    <w:bookmarkEnd w:id="2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The loss of, or events affecting, one of our major customers could reduce our sales and have an adverse effect on our business, financial condition and results of operations.</w:t>
      </w:r>
    </w:p>
    <w:p>
      <w:pPr>
        <w:spacing w:after="0" w:line="20"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For the fiscal year ended December 31, 2023, one customer accounted for approximately 40% of total net revenues. Further, as of December 31, 2023, amounts due from one customer represented approximately 40% of the total accounts receivable balance. Our customers’ decisions to purchase our products are influenced by a number of factors outside of our control, including, among others, retail energy prices, the macroeconomic environment, and government regulation and incentives.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We may also be affected by events impacting our large customers that result in their decreasing their orders with us or impairing their ability to pay for our products. The loss of, or events affecting, one or more of our large customers has had from time to time, and could in the future have a material adverse effect on our business, financial condition and results of operations.</w:t>
      </w:r>
    </w:p>
    <w:p>
      <w:pPr>
        <w:spacing w:after="0" w:line="125"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Our energy systems, including our storage solutions, IQ8 microinverters and Ensemble OS technology, may not achieve broader market acceptance, which would prevent us from increasing our revenue and market share.</w:t>
      </w:r>
    </w:p>
    <w:p>
      <w:pPr>
        <w:spacing w:after="0" w:line="2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If we fail to achieve broader market acceptance of the Enphase Energy System, including international acceptance of our storage solutions, IQ8 microinverters, ACM products and Ensemble OS technology, there would be an adverse impact on our ability to increase our revenue, gain market share and achieve and sustain profitability. Our ability to achieve broader market acceptance for our products and services will be impacted by a number of factors, including:</w:t>
      </w:r>
    </w:p>
    <w:p>
      <w:pPr>
        <w:spacing w:after="0" w:line="61" w:lineRule="exact"/>
        <w:rPr>
          <w:sz w:val="20"/>
          <w:szCs w:val="20"/>
          <w:color w:val="auto"/>
        </w:rPr>
      </w:pPr>
    </w:p>
    <w:p>
      <w:pPr>
        <w:ind w:left="800" w:hanging="323"/>
        <w:spacing w:after="0" w:line="300" w:lineRule="auto"/>
        <w:tabs>
          <w:tab w:leader="none" w:pos="7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produce energy systems that compete favorably against other solutions on the basis of price, quality, reliability and performance;</w:t>
      </w:r>
    </w:p>
    <w:p>
      <w:pPr>
        <w:spacing w:after="0" w:line="35" w:lineRule="exact"/>
        <w:rPr>
          <w:rFonts w:ascii="Arial" w:cs="Arial" w:eastAsia="Arial" w:hAnsi="Arial"/>
          <w:sz w:val="17"/>
          <w:szCs w:val="17"/>
          <w:color w:val="auto"/>
        </w:rPr>
      </w:pPr>
    </w:p>
    <w:p>
      <w:pPr>
        <w:ind w:left="780" w:hanging="30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timely introduce and complete new designs and timely qualify and certify our products;</w:t>
      </w:r>
    </w:p>
    <w:p>
      <w:pPr>
        <w:spacing w:after="0" w:line="119"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whether installers, system owners and solar financing providers will continue to adopt our systems, which have a relatively limited history with respect to reliability and performance;</w:t>
      </w:r>
    </w:p>
    <w:p>
      <w:pPr>
        <w:spacing w:after="0" w:line="35"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whether installers, system owners and solar financing providers will adopt our storage solution, which is a relatively new technology with a limited history with respect to reliability and performance;</w:t>
      </w:r>
    </w:p>
    <w:p>
      <w:pPr>
        <w:spacing w:after="0" w:line="35"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of prospective system owners to obtain long-term financing for solar PV installations based on our product platform on acceptable terms or at all;</w:t>
      </w:r>
    </w:p>
    <w:p>
      <w:pPr>
        <w:spacing w:after="0" w:line="35"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develop products, systems and services that comply with local standards and regulatory requirements, as well as potential in-country manufacturing requirements; and</w:t>
      </w:r>
    </w:p>
    <w:p>
      <w:pPr>
        <w:spacing w:after="0" w:line="35" w:lineRule="exact"/>
        <w:rPr>
          <w:rFonts w:ascii="Arial" w:cs="Arial" w:eastAsia="Arial" w:hAnsi="Arial"/>
          <w:sz w:val="17"/>
          <w:szCs w:val="17"/>
          <w:color w:val="auto"/>
        </w:rPr>
      </w:pPr>
    </w:p>
    <w:p>
      <w:pPr>
        <w:ind w:left="780" w:hanging="303"/>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develop and maintain successful relationships with our customers and suppliers.</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addition, our ability to achieve increased market share will depend on our ability to increase sales to established solar installers, who have traditionally sold central or string inverters, or who currently sell DC-to-DC optimizers. These installers often have made substantial investments in design, installation resources and training in traditional central or string inverter systems or DC optimizers, which may create challenges for us to achieve their adoption of our solutions.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products contain manufacturing or software defects, our business and financial results could be harmed.</w:t>
      </w:r>
    </w:p>
    <w:p>
      <w:pPr>
        <w:spacing w:after="0" w:line="119"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design and make complex products and they may contain undetected or latent errors or defects. Complex hardware and software systems, such as our products, can often contain undetected errors when first introduced or as new versions are released. In the past, we have experienced latent defects only discovered once the microinverters or batteries are deployed in the field. Changes in our supply chain or the failure of our suppliers to otherwise provide our third-party contract manufacturers with components or materials that meet our specifications could introduce defects into our products. As we grow our product volumes, the chance of manufacturing defects could increase. In addition, new product introductions or design changes made for the purpose of cost reduction, performance improvement or improved reliability could introduce new design defects that may impact the performance and life of our products. Any design or manufacturing defects or other failures of our products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620395</wp:posOffset>
            </wp:positionV>
            <wp:extent cx="69361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4" w:name="page25"/>
    <w:bookmarkEnd w:id="2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perform as expected could cause us to incur significant service and re-engineering costs, divert the attention of our engineering personnel from product development efforts and significantly and adversely affect installer and customer satisfaction, market acceptance and our business reputation. Furthermore, if we are unable to correct manufacturing defects or other failures of products in a manner satisfactory to our customers, our results of operations, customer satisfaction and our business reputation could be adversely affected.</w:t>
      </w:r>
    </w:p>
    <w:p>
      <w:pPr>
        <w:spacing w:after="0" w:line="6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Since some of our products are electricity-producing devices, it is possible that our systems could result in injury, whether by product malfunctions, defects, improper installation, or other causes. We rely on third party installers to install our products according to our installation guides and with local laws. Any significant installation problems could cause us significant harm, including, the incurrence of significant service costs, diverting the attention of our engineering personnel from product development efforts and adversely affecting installer and customer satisfaction, market acceptance and our business reputation, and could subject us to litigation and regulatory costs.</w:t>
      </w:r>
    </w:p>
    <w:p>
      <w:pPr>
        <w:spacing w:after="0" w:line="6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addition, due to the high energy density of lithium-ion cells, mishandling, inappropriate storage or delivery, non-compliance with safety instructions or field failures can potentially cause a battery cell to rapidly release its stored energy, which may in turn cause a thermal event that can ignite nearby materials, including other lithium-ion cells. As the use of lithium-ion batteries becomes more widespread, these events may occur more often, causing damage to property, injury, lawsuits and adverse publicity, which may adversely affect our reputation, results of operations or financial condition.</w:t>
      </w:r>
    </w:p>
    <w:p>
      <w:pPr>
        <w:spacing w:after="0" w:line="63"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20"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Our future success and ability to implement our business strategy depends, in part, on our ability to attract and retain key personnel, and on the continued contributions of members of our senior management team and key personnel in areas such as engineering, marketing and sales, any of whom would be difficult to replace. For example, we are highly dependent on our president and chief executive officer, Badrinarayanan Kothandaraman. Mr. Kothandaraman possesses technical knowledge of our business, operations and strategy, and he has substantial experience and contacts that help us implement our goals, strategy and plan. If we lose his services or if he decides to join a competitor or otherwise compete directly or indirectly with us, our business, operating results and financial condition could be materially harmed.</w:t>
      </w:r>
    </w:p>
    <w:p>
      <w:pPr>
        <w:spacing w:after="0" w:line="64"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All of our employees, including our senior management, are free to terminate their employment relationships with us at any time. Competition for highly skilled executives and employees in the technology industry is intense, and our competitors have targeted individuals in our organization that have desired skills and experience. If we are not able to continue to attract, train and retain our leadership team and our qualified employees necessary for our business, the progress of our product development programs could be hindered, and we could be materially adversely affected. To help attract, retain and motivate our executives and qualified employees, we use stock-based incentive awards, including restricted stock units. If the value of such stock awards does not appreciate as measured by the performance of the price of our common stock, or if our share-based compensation otherwise ceases to be viewed as a valuable benefit, our ability to attract, retain and motivate our executives and employees could be weakened, which could harm our business and results of operations. Also, if the value of our stock awards increases substantially, this could potentially create substantial personal wealth for our executives and employees and affect our ability to retain our personnel. In addition, any restructuring plans may adversely impact our ability to attract and retain key employees.</w:t>
      </w:r>
    </w:p>
    <w:p>
      <w:pPr>
        <w:spacing w:after="0" w:line="6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Additionally, our ability to attract qualified personnel, including senior management and key technical personnel, is critical to the execution of our growth strategy. Competition for qualified senior management personnel and highly skilled individuals with technical expertise is extremely intense, and we face challenges identifying, hiring and retaining qualified personnel in all areas of our business. In addition, integrating new employees into our team could prove disruptive to our operations, require substantial resources and management attention and ultimately prove unsuccessful. Our failure to attract and retain qualified senior management and other key technical personnel could limit or delay our strategic efforts, which could have a material adverse effect on our business, financial condition, results of operations and prospects.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activities could disrupt our business and adversely affect our results of operations.</w:t>
      </w:r>
    </w:p>
    <w:p>
      <w:pPr>
        <w:spacing w:after="0" w:line="11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have taken steps, including reducing our global workforce, streamlining our operations and internal reorganizations, to increase operational efficiencies and execution, reduce operating costs, and better align our workforce and cost structure with current market condition. We may take similar steps in the future as we seek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5" w:name="page26"/>
    <w:bookmarkEnd w:id="2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realize operating synergies, meet our strategic priorities and profitability objectives, or to reflect more closely changes in our business needs. These changes could be disruptive to our business, including our research and development efforts, and could result in significant expense, including accounting charges for inventory and technology-related write-offs, workforce reduction costs and charges relating to consolidation of excess facilities. Substantial expense or charges resulting from restructuring activities could adversely affect our results of operations and use of cash in those periods in which we undertake such actions.</w:t>
      </w:r>
    </w:p>
    <w:p>
      <w:pPr>
        <w:spacing w:after="0" w:line="63"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Any failure by management to properly manage growth could have a material adverse effect on our business, operating results and financial condition.</w:t>
      </w:r>
    </w:p>
    <w:p>
      <w:pPr>
        <w:spacing w:after="0" w:line="20"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Our business has grown rapidly, and, if our business develops, we may continue to grow our business rapidly. Growth in our business could place significant demands on our management, operations, systems, accounting, internal controls and financial resources, and it may also negatively impact our ability to retain key personnel. If we experience difficulties in any of these or other areas, we may not be able to expand our business successfully or effectively manage our growth. Any failure by management to manage our growth and to respond to changes in our business could have a material adverse effect on our business,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has been and could continue to be affected by seasonal trends and construction cycles</w:t>
      </w:r>
      <w:r>
        <w:rPr>
          <w:rFonts w:ascii="Arial" w:cs="Arial" w:eastAsia="Arial" w:hAnsi="Arial"/>
          <w:sz w:val="17"/>
          <w:szCs w:val="17"/>
          <w:color w:val="auto"/>
        </w:rPr>
        <w:t>.</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We have been and could continue to be subject to industry-specific seasonal fluctuations. Historically, the majority of our revenue are from the North American and European regions, which experience higher sales of our products in the second, third and fourth quarters and have been affected by seasonal customer demand trends, including weather patterns and construction cycles. The first quarter historically has had softer customer demand in our industry, due to these same factors. In the United States, customers will sometimes make purchasing decisions towards the end of the year in order to take advantage of tax credits or for budgetary reasons. In addition, construction levels are typically slower in colder and wetter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22"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If we are unsuccessful in continuing to expand our direct-to-consumer sales channel by driving purchases through our website, our business and results of operation could be harmed.</w:t>
      </w:r>
    </w:p>
    <w:p>
      <w:pPr>
        <w:spacing w:after="0" w:line="20"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Although we primarily sell our solutions and products directly to solar distributors, who resell to installers and integrators, who then in turn integrate our products into complete solar PV installations for residential and commercial system owners, we have recently invested significant resources in our direct-to-consumer sales channel through our website, and our future growth relies, in part, on our ability to attract consumers through this channel. Expanding our direct-to-consumer sales model will require significant expenditures in marketing, software development and infrastructure. Further, the success of direct-to-consumer sales through our website is also subject to general business regulations and laws, as well as federal, state, foreign and provincial regulations and laws specifically governing the internet and e-commerce. These regulations and laws may cover taxation, tariffs, privacy, data protection, pricing, distribution, electronic contracts and other communications, consumer protection and intellectual property. These laws and regulations can be complex, difficult to interpret and may change over time. Continued regulatory limitations and other obstacles interfering with our ability to sell our products directly to consumers could have a negative and material impact our business, prospects, financial condition and results of operations.</w:t>
      </w:r>
    </w:p>
    <w:p>
      <w:pPr>
        <w:spacing w:after="0" w:line="6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Further, the expansion of our direct-to-consumer channel could alienate some of our existing distributors and installers and cause a reduction in sales from these third parties. Our existing distributors and installers may perceive themselves to be at a disadvantage based on the direct-to-consumer sales offered through our website. Due to these and other factors, conflicts in our sales channels could arise and cause our existing distributors and installers to divert resources away from the promotion and sale of our products. If we are unable to successfully continue to drive traffic to, and increase sales through, our website, our business and results of operations could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6" w:name="page27"/>
    <w:bookmarkEnd w:id="2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 and Technology</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We are dependent on information technology systems, infrastructure and data. We or third parties upon which we rely could be subject to breaches of our information technology systems caused by system security risks, failure of our data protection, cyber-attacks and erroneous or non-malicious actions or failures to act by our employees or others with authorized access to our networks, which could cause significant reputational, legal and financial damages.</w:t>
      </w:r>
    </w:p>
    <w:p>
      <w:pPr>
        <w:spacing w:after="0" w:line="48"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Like many companies, in the ordinary course of business we process, use transfer, generate, disclose, secure, transmit and store a wide variety of confidential and proprietary information including personal information and other sensitive information relating to our business, products and services. The secure maintenance of this information is critical to our business and reputation. Despite our implementation of security measures, our systems are vulnerable to damages from computer viruses, computer denial-of-service attacks, ransomware, supply chain attacks, worms and other malicious software programs or other attacks, covert introduction of malware to computers and networks, unauthorized access, including impersonation of authorized users, social-engineering attacks (including through deep fakes, which may be increasingly more difficult to identify as fake, and phishing attacks), efforts to discover and exploit any security vulnerabilities or securities weaknesses and other similar issues and disruptions. In particular, severe ransomware attacks are becoming increasingly prevalent – particularly for companies like ours that interact with critical infrastructure or manufacturing – and can lead to significant interruptions in our operations, and ability to provide our products or services. Although we make significant efforts to maintain the security, availability, integrity and confidentiality of our information technology and related systems and have implemented measures to manage the risk of a security breach or disruption, there can be no assurance that our security efforts and measures will be effective, or that attempted security breaches or disruptions would not be successful or damaging.</w:t>
      </w:r>
    </w:p>
    <w:p>
      <w:pPr>
        <w:spacing w:after="0" w:line="282"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Remote work has become more common and has increased risks to our information technology and related systems, as more of our employees utilize network connections, computers and devices outside our premises or network, including working at home, while in transit and in public locations.</w:t>
      </w:r>
    </w:p>
    <w:p>
      <w:pPr>
        <w:spacing w:after="0" w:line="55"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The techniques used in attempted cyber-attacks and intrusions are sophisticated and constantly evolving and may be difficult to detect for long periods of time. We may be unable to anticipate these techniques or implement adequate preventative measures. Although to date we have not experienced any material breaches of our systems that could have material adverse effect on our business, attacks and intrusions on our systems will continue and we may experience a breach of our systems that compromises sensitive company information or customer data including personal information. In addition, hardware, software, or applications we develop or procure from third parties may contain defects in design or manufacture or other problems that could unexpectedly compromise information security. Intentional or non-malicious breaches by employees or others may pose a risk that sensitive data, including our intellectual property, trade secrets or personal information of our employees, customers or users, or other business partners may be exposed to unauthorized persons or to the public, or that risks of loss or misuse of this information could occur. Furthermore, if we experience a significant data security breach, we could be exposed to reputational damage and significant costs, including to rebuild our systems, modify our products and services, defend litigation, respond to government enforcement actions, pay damages or take other remedial steps, any of which could adversely affect our business, results of operations and financial condition. In addition, we may be required to incur significant costs to protect against damage caused by these disruptions or security breaches in the future. These risks, as well as the number and frequency of cybersecurity events globally, may also be heightened during times of geopolitical tension or instability.</w:t>
      </w:r>
    </w:p>
    <w:p>
      <w:pPr>
        <w:spacing w:after="0" w:line="27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3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We may also rely on and share information with contractors and third-party providers to conduct our business and provide our products and services. Although such contractors and third-party providers take steps designed to secure data and prevent security incidents, our ability to monitor these third-parties’ information security practices and potential security incidents is limited, and these third-parties may not have adequate information security measures in place. These third-party providers may experience a significant data security breach, which may also detrimentally affect our business, ability to provide our products and services,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7" w:name="page28"/>
    <w:bookmarkEnd w:id="2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The cost and operational consequences of implementing further data protection measures could be significant and theft of our intellectual property or proprietary business information could require substantial expenditures to remedy. Further, we cannot be certain that (a) our liability insurance will be sufficient in type or amount to cover us against claims related to security breaches, cyberattacks and other related breaches; (b) such coverage will cover any indemnification claims against us relating to any incident, will continue to be available to us on economically reasonable terms, or at all; and (c) any insurer will not deny coverage as to any future claim. The successful assertion of one or more large claims against us that exceed available insurance coverage, or the occurrence of changes in our insurance policies, including premium increases or the imposition or large deductible or co-insurance requirements, could adversely affect our reputation, business, financial condition and results of operations.</w:t>
      </w:r>
    </w:p>
    <w:p>
      <w:pPr>
        <w:spacing w:after="0" w:line="278"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was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The software we use in providing system configuration recommendations or potential energy savings estimates to customers relies in part on third-party information that may not be accurate or up-to-date; this may therefore generate inaccurate recommendations or estimates, resulting in a loss of reputation and customer confidence.</w:t>
      </w:r>
    </w:p>
    <w:p>
      <w:pPr>
        <w:spacing w:after="0" w:line="4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We provide our customers online tools to help them determine proper system sizing and configurations, estimates of bill savings and potential revenues resulting from executing a specific curtailment strategy. These estimates are in turn based on a number of factors such as customer tariff structures, estimated wholesale electricity prices, future economic conditions and estimates of the reduction in electricity usage as a result of a curtailment activity. If the estimates we provide prove to be significantly different from actual payments or savings received by our customers, it may result in the loss of reputation and/or customer confidence.</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are subject to stringent and evolving data privacy and security laws, contractual obligations, information security policies and other obligations governing the use, processing and transfer of personal information, and any unauthorized access to, or disclosure or theft of, personal information we gather, store or use could harm our reputation and subject us to claims or litigation.</w:t>
      </w:r>
    </w:p>
    <w:p>
      <w:pPr>
        <w:spacing w:after="0" w:line="43"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receive, store and use certain personal information of our customers, and the end-users of our customers’ energy systems, including names, addresses, e-mail addresses, energy system details and performance information.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68"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We are subject to a variety of local, state, national and international laws, directives and regulations that apply to the collection, use, retention, protection, disclosure, transfer and other processing of personal data in the different jurisdictions in which we operate, including, for example, comprehensive regulatory systems in the United States, Europe and Brazil. It remains unclear what additional requirements will be codified in future laws, how those laws will be enforced, and how these legal shifts impact our operations and risk. We may be required to modify our data practices and policies, at potentially substantial additional costs and expenses. Complying with these forthcoming and future laws, regulations, amendments to or re-interpretations of existing laws and regulations, and contractual or other obligations relating to privacy, data protection, data transfers, data localization, or information security may require us to make changes to our services to enable us or our customers to meet new legal requirements, incur substantial operational costs, modify our data practices and policies, and restrict our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488315</wp:posOffset>
            </wp:positionV>
            <wp:extent cx="69361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8" w:name="page29"/>
    <w:bookmarkEnd w:id="2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certain privacy and other laws impose obligations to provide notification of security breaches of computer databases that contain personal information to affected individuals, state officers and others. Any actual or perceived failure by us to comply with these laws, regulations or other obligations may lead to significant fines, penalties, regulatory investigations, lawsuits, significant costs for remediation, damage to our reputation, or other liabilities.</w:t>
      </w:r>
    </w:p>
    <w:p>
      <w:pPr>
        <w:spacing w:after="0" w:line="11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If we fail to protect, or incur significant costs in enforcing, our intellectual property and other proprietary rights, our business and results of operations could be materially harmed.</w:t>
      </w:r>
    </w:p>
    <w:p>
      <w:pPr>
        <w:spacing w:after="0" w:line="20"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7"/>
          <w:szCs w:val="17"/>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other countries, many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This includes an inherent risk that our registered or unregistered trademarks or trade names that we own or use may be challenged, infringed, circumvented, declared generic, lapsed or determined to be infringing on or dilutive of other marks, and that we may not be able to protect our rights, all of which may cause material adverse impact on our marketing abilities. Our patent protection depends on compliance with various required procedures, document submissions, fee payments, and other requirements imposed by national patent offices, and our patent protection could be reduced or eliminated for non-compliance with these requirements, despite our engagement of reputable law firms and other professionals to help us comply with such requirements. Even where we do comply with such requirements and enjoy the full length of patent protection, patent terms are finite in length – generally 20 years from the earliest U.S. non-provisional priority filing date – which may be inadequate to protect our competitive position on our products. In countries where we have not applied for patent protection or where effective intellectual property protection is not available to the same extent as in the U.S., we may be at greater risk that our proprietary rights will be misappropriated, infringed or otherwise violated.</w:t>
      </w:r>
    </w:p>
    <w:p>
      <w:pPr>
        <w:spacing w:after="0" w:line="74"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To protect our unregistered intellectual property, including our trade secrets and know-how, we rely in part on trade secret laws and confidentiality and invention assignment agreements with our employees and independent contractors.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7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15"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20"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 infrastructures to operate our business. In addition, our web-based monitoring service, which our installers and end-user customers use to track and monitor the performance of their energy systems, is dependent on cloud-based hosting services, along with the availability of internet or cellular data services at end-user premises. Despite testing by us, real or perceived errors, failures or bugs in our customer solutions, software or technology or the technology or software we license from third parties, including open source software, may not be found until our customers use our products. Real or perceived errors, failures or bugs in our products could result in negative publicity, loss 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9" w:name="page30"/>
    <w:bookmarkEnd w:id="2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delay in market acceptance of our products, harm to our brand, weakening of our competitive position or claims by customers for losses sustained by them. A disruption, infiltration or failure of our information technology systems, third-party cloud hosting platforms or end-user data services as a result of software or hardware malfunctions, system implementations or upgrades, computer viruses, cyber-attacks, third-party security breaches, employee/human error, theft or misuse, malfeasance, power disruptions, natural disasters or accidents could cause breaches of data security, failure of our service,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such future events could further harm our competitive position, result in a loss of customer confidence, cause us to incur significant costs to remedy any damages and ultimately materially adversely affect our business and financial condition.</w:t>
      </w:r>
    </w:p>
    <w:p>
      <w:pPr>
        <w:spacing w:after="0" w:line="69"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20"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Our competitors and other third parties hold numerous patents related to technology used in our industry, and claims of patent or other intellectual property right infringement or violation have been litigated against our competitors.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upon any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An adverse outcome with respect to any intellectual property claim could invalidate our proprietary rights and force us to do one or more of the following:</w:t>
      </w:r>
    </w:p>
    <w:p>
      <w:pPr>
        <w:spacing w:after="0" w:line="280" w:lineRule="exact"/>
        <w:rPr>
          <w:sz w:val="20"/>
          <w:szCs w:val="20"/>
          <w:color w:val="auto"/>
        </w:rPr>
      </w:pPr>
    </w:p>
    <w:p>
      <w:pPr>
        <w:ind w:left="800" w:hanging="323"/>
        <w:spacing w:after="0" w:line="300" w:lineRule="auto"/>
        <w:tabs>
          <w:tab w:leader="none" w:pos="7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 from a third-party claiming infringement a license to sell or use the relevant technology, which may not be available on reasonable terms, or at all;</w:t>
      </w:r>
    </w:p>
    <w:p>
      <w:pPr>
        <w:spacing w:after="0" w:line="35" w:lineRule="exact"/>
        <w:rPr>
          <w:rFonts w:ascii="Arial" w:cs="Arial" w:eastAsia="Arial" w:hAnsi="Arial"/>
          <w:sz w:val="17"/>
          <w:szCs w:val="17"/>
          <w:color w:val="auto"/>
        </w:rPr>
      </w:pPr>
    </w:p>
    <w:p>
      <w:pPr>
        <w:ind w:left="780" w:hanging="303"/>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stop manufacturing, selling, incorporating or using products that embody the asserted intellectual property;</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pay substantial monetary damages;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indemnify our customers under some of our customer contracts; or</w:t>
      </w:r>
    </w:p>
    <w:p>
      <w:pPr>
        <w:spacing w:after="0" w:line="119" w:lineRule="exact"/>
        <w:rPr>
          <w:rFonts w:ascii="Arial" w:cs="Arial" w:eastAsia="Arial" w:hAnsi="Arial"/>
          <w:sz w:val="17"/>
          <w:szCs w:val="17"/>
          <w:color w:val="auto"/>
        </w:rPr>
      </w:pPr>
    </w:p>
    <w:p>
      <w:pPr>
        <w:ind w:left="800" w:hanging="323"/>
        <w:spacing w:after="0" w:line="270" w:lineRule="auto"/>
        <w:tabs>
          <w:tab w:leader="none" w:pos="7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expend significant resources to redesign the products that use the infringing technology, or to develop or acquire non-infringing technology.</w:t>
      </w:r>
    </w:p>
    <w:p>
      <w:pPr>
        <w:spacing w:after="0" w:line="30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Any of these actions could result in a substantial reduction in our revenue and could result in losses over an extended period of time.</w:t>
      </w:r>
    </w:p>
    <w:p>
      <w:pPr>
        <w:spacing w:after="0" w:line="119"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2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have licensed, and in the future we may choose or be required to license, technology or intellectual property from third parties in connection with the development and marketing of our products. We cannot assure you that such licenses will be available to us on commercially reasonable terms, or at all, and our inability to obtain such licenses could require us to substitute technology of lower quality or of greater cost.</w:t>
      </w:r>
    </w:p>
    <w:p>
      <w:pPr>
        <w:spacing w:after="0" w:line="55"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Further, such licenses may be non-exclusive, which could result in our competitors gaining access to the same intellectual property. The licensing or acquisition of third-party intellectual property rights is a competitive area, and other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or commercialization capabilities. In addition, companies that perceive us to be a competitor may be unwilling to assign or license rights to us. We could encounter delays and incur significant costs, in product or service introductions while we attempt to develop alternative products or services, or redesign our products or services, to avoid infringing third-party patents or proprietary rights. Failure to obtain any such licenses or to develop a workaround could prevent us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487045</wp:posOffset>
            </wp:positionV>
            <wp:extent cx="69361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0" w:name="page31"/>
    <w:bookmarkEnd w:id="3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commercializing products or services, and the prohibition of sale or the threat of the prohibition of sale of any of our products or services could materially affect our business and our ability to gain market acceptance for our products or services.</w:t>
      </w:r>
    </w:p>
    <w:p>
      <w:pPr>
        <w:spacing w:after="0" w:line="36"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7"/>
          <w:szCs w:val="17"/>
          <w:color w:val="auto"/>
        </w:rPr>
        <w:t>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Further,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open source licenses, we may be subject to costly third-party claims of intellectual property infringement or ownership of our proprietary source code.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above could harm our business and put us at a competitive disadvantage.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Proceedings and Regulations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Changes in current laws or regulations or the imposition of new laws or regulations, or new interpretations thereof, in the solar energy sector, by federal or state agencies in the United States or foreign jurisdictions could impair our ability to compete and could materially harm our business, financial condition and results of operations.</w:t>
      </w:r>
    </w:p>
    <w:p>
      <w:pPr>
        <w:spacing w:after="0" w:line="4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There has been and will continue to be regulatory uncertainty in the clean energy sector generally and the solar energy sector in particular. Changes in current laws or regulations, or the imposition of new laws and regulations in the United States and around the world, could materially and adversely affect our business, financial condition and results of operations. In addition, any changes to the laws and implementing regulations affecting the clean energy sector may create delays in the introduction of new products, prevent our customers from deploying our products or, in some cases, require us to redesign our products.</w:t>
      </w:r>
    </w:p>
    <w:p>
      <w:pPr>
        <w:spacing w:after="0" w:line="6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For example, several states or territories, including California, Hawaii and Queensland, Australia, have either implemented or are considering implementing rules regulating the installation of solar power systems, and we may not be able to adequately evolve our products and services to accommodate such new policies and regulations, which may result in new rates and tariffs. In the event that we cannot comply with these or other new regulations or implement a solution to such noncompliance as they arise, the total market available for our microinverter and battery products in such states, and our business as a result, may be adversely impacted.</w:t>
      </w:r>
    </w:p>
    <w:p>
      <w:pPr>
        <w:spacing w:after="0" w:line="63"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Additionally, if the federal or state agencies in the United States takes action to eliminate or reduce laws, regulations and incentives supporting solar energy, such actions may result in a decrease in demand for solar energy in the United States and other geographical markets, it would harm our business, financial condition and results of operations.</w:t>
      </w:r>
    </w:p>
    <w:p>
      <w:pPr>
        <w:spacing w:after="0" w:line="55"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Changes in the United States trade environment, including the recent imposition of import tariffs, could adversely affect the amount or timing of our revenue, results of operations or cash flows.</w:t>
      </w:r>
    </w:p>
    <w:p>
      <w:pPr>
        <w:spacing w:after="0" w:line="20"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Escalating trade tensions between the U.S. and China have led to increased tariffs and trade restrictions, including tariffs applicable to certain of our products. For example, in September 2018, the U.S. began assessing 10% tariffs on certain solar products manufactured in China, including our microinverter products and related accessories which are manufactured in China. These tariffs increased to 25% in May 2019, and on January 2020, the United States and China entered into an initial trade deal which preserves the bulk of the tariffs imposed in 2018 and maintains a threat of additional sanctions should China breach the terms of the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1" w:name="page32"/>
    <w:bookmarkEnd w:id="3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However, in March 2020, the Office of the U.S. Trade Representative announced certain exclusion requests related to tariffs on Chinese imported microinverter products that fit the dimensions and weight limits within a Section 301 Tariff exclusion (the “Tariff Exclusion”). The Tariff Exclusion applied to covered products exported from China to the United States from September 24, 2018 until August 7, 2020. Accordingly, we sought and received refunds totaling approximately $38.9 million plus approximately $0.6 million accrued interest on tariffs previously paid from September 24, 2018 to March 31, 2020 for certain microinverters that qualify for the Tariff Exclusion. This exemption expired in August 2020, and our request to extend it has been denied. Unless U.S. policy changes, or we are eligible for other exemptions or take other actions to avoid them, such tariffs will continue to apply to our microinverters and other products. Such tariffs could hurt the demand for these products and materially harm our business, financial condition and results of operations. There is no guarantee that we will be successful in obtaining exemptions or that any actions that we may pursue with respect to the organization and operation of our business will effectively mitigate the effects of any tariffs that apply to our business. If we are not able to avoid or mitigate the effects of such tariffs, the tariffs (or mitigating actions we might take) could result in material additional costs to us and our suppliers, and our results of operations could be negatively impacted as a result.</w:t>
      </w:r>
    </w:p>
    <w:p>
      <w:pPr>
        <w:spacing w:after="0" w:line="75"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It is unknown whether and to what extent additional new tariffs or other new laws or regulations will be adopted that increase the cost of manufacturing in China and/or importing components from China to the United States. Further, it is unknown what effect that any such new tariffs or retaliatory actions would have on us or our industry and customers. Our lithium-ion phosphate (“LFP”) battery cells for our storage products are supplied solely via our two suppliers in China. Although we are in the process of searching for other suppliers outside of China for future supplies, the expertise and industry for the LFP battery cell is primarily in China and we cannot be certain that we will locate additional qualified suppliers with the right expertise to develop our battery cells outside of China, if at all.</w:t>
      </w:r>
    </w:p>
    <w:p>
      <w:pPr>
        <w:spacing w:after="0" w:line="64"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In response to the tensions in U.S.-China trade relations and increased tariffs, we focused efforts and resources on attaining manufacturers outside of China, primarily in Mexico and India. The tariffs and the possibility of additional tariffs in the future have created uncertainty in the industry. If the price of solar power systems in the United States increases, the use of solar power systems could become less economically feasible and could reduce our gross margins or reduce the demand of solar power systems manufactured and sold, which in turn may decrease demand for our products. Additionally, existing or future tariffs may negatively affect key partners, suppliers, and manufacturers. Such outcomes could adversely affect the amount or timing of our revenue,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 As additional new tariffs, legislation and/or regulations are implemented, or if existing trade agreements are renegotiated or if China or other affected countries take retaliatory trade actions, such changes could have a material adverse effect on our business, financial condition, results of operations or cash flows.</w:t>
      </w:r>
    </w:p>
    <w:p>
      <w:pPr>
        <w:spacing w:after="0" w:line="75"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addition, 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15"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Our significant international operations subject us to additional risks that could adversely affect our business, results of operations and financial condition.</w:t>
      </w:r>
    </w:p>
    <w:p>
      <w:pPr>
        <w:spacing w:after="0" w:line="2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have significant international operations, including in emerging markets such as India, and we are continuing to expand our international operations as part of our growth strategy. As of December 31, 2023, approximately 54% of our total employees were located in India, where we primarily conduct our research and development activities, procurement, customer support services, and other general and administrative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2" w:name="page33"/>
    <w:bookmarkEnd w:id="3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addition, during 2023, we continued to expand our operations into Europe and for the year ended December 31, 2023 approximately 31% of our net revenues was derived from Europe as compared to approximately 19% of our net revenues from the same region for the year ended December 31, 2022. Our current international operations and our ongoing plans to expand our international operations have placed, and will continue to place, a strain on our employees, management systems and other resources.</w:t>
      </w:r>
    </w:p>
    <w:p>
      <w:pPr>
        <w:spacing w:after="0" w:line="6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international operations may fail to succeed due to risks inherent in operating businesses internationally, such as:</w:t>
      </w:r>
    </w:p>
    <w:p>
      <w:pPr>
        <w:spacing w:after="0" w:line="119" w:lineRule="exact"/>
        <w:rPr>
          <w:sz w:val="20"/>
          <w:szCs w:val="20"/>
          <w:color w:val="auto"/>
        </w:rPr>
      </w:pPr>
    </w:p>
    <w:p>
      <w:pPr>
        <w:ind w:left="780" w:hanging="30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adverse social, political and economic conditions, such as inflation and rising interest rates;</w:t>
      </w:r>
    </w:p>
    <w:p>
      <w:pPr>
        <w:spacing w:after="0" w:line="119"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lack of familiarity with commercial and social norms and customs in countries which may adversely affect our ability to recruit, retain and manage employees in these countries;</w:t>
      </w:r>
    </w:p>
    <w:p>
      <w:pPr>
        <w:spacing w:after="0" w:line="35" w:lineRule="exact"/>
        <w:rPr>
          <w:rFonts w:ascii="Arial" w:cs="Arial" w:eastAsia="Arial" w:hAnsi="Arial"/>
          <w:sz w:val="17"/>
          <w:szCs w:val="17"/>
          <w:color w:val="auto"/>
        </w:rPr>
      </w:pPr>
    </w:p>
    <w:p>
      <w:pPr>
        <w:ind w:left="780" w:hanging="30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and costs associated with staffing and managing foreign operations;</w:t>
      </w:r>
    </w:p>
    <w:p>
      <w:pPr>
        <w:spacing w:after="0" w:line="119"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potential diversion of management’s attention to oversee and direct operations that are geographically distant from our U.S. headquarters;</w:t>
      </w:r>
    </w:p>
    <w:p>
      <w:pPr>
        <w:spacing w:after="0" w:line="35"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compliance with multiple, conflicting and changing governmental laws and regulations, including environmental, employment, tax, privacy and data protection laws and other regulatory requirements;</w:t>
      </w:r>
    </w:p>
    <w:p>
      <w:pPr>
        <w:spacing w:after="0" w:line="35"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legal systems in which our ability to enforce and protect our rights may be different or less effective than in the United States and in which the ultimate result of dispute resolution is more difficult to predict;</w:t>
      </w:r>
    </w:p>
    <w:p>
      <w:pPr>
        <w:spacing w:after="0" w:line="35" w:lineRule="exact"/>
        <w:rPr>
          <w:rFonts w:ascii="Arial" w:cs="Arial" w:eastAsia="Arial" w:hAnsi="Arial"/>
          <w:sz w:val="17"/>
          <w:szCs w:val="17"/>
          <w:color w:val="auto"/>
        </w:rPr>
      </w:pPr>
    </w:p>
    <w:p>
      <w:pPr>
        <w:ind w:left="780" w:hanging="30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difficulty and cost of staffing and managing foreign operations;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tariffs, export controls and other non-tariff barriers such as quotas and local content rules;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more limited protection for intellectual property rights in some countries;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adverse tax consequences, including as a result of transfer pricing adjustments involving our foreign operations;</w:t>
      </w:r>
    </w:p>
    <w:p>
      <w:pPr>
        <w:spacing w:after="0" w:line="106" w:lineRule="exact"/>
        <w:rPr>
          <w:rFonts w:ascii="Arial" w:cs="Arial" w:eastAsia="Arial" w:hAnsi="Arial"/>
          <w:sz w:val="17"/>
          <w:szCs w:val="17"/>
          <w:color w:val="auto"/>
        </w:rPr>
      </w:pPr>
    </w:p>
    <w:p>
      <w:pPr>
        <w:ind w:left="780" w:hanging="30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effects of adverse changes in currency exchange rates;</w:t>
      </w:r>
    </w:p>
    <w:p>
      <w:pPr>
        <w:spacing w:after="0" w:line="237" w:lineRule="exact"/>
        <w:rPr>
          <w:rFonts w:ascii="Arial" w:cs="Arial" w:eastAsia="Arial" w:hAnsi="Arial"/>
          <w:sz w:val="17"/>
          <w:szCs w:val="17"/>
          <w:color w:val="auto"/>
        </w:rPr>
      </w:pPr>
    </w:p>
    <w:p>
      <w:pPr>
        <w:ind w:left="780" w:hanging="30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higher incidence of corruption or unethical business practices;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restrictions on the transfer of funds;</w:t>
      </w:r>
    </w:p>
    <w:p>
      <w:pPr>
        <w:spacing w:after="0" w:line="119"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natural disasters (including as a result of climate change), acts of war or terrorism, and public health emergencies, including the COVID-19 pandemic; and</w:t>
      </w:r>
    </w:p>
    <w:p>
      <w:pPr>
        <w:spacing w:after="0" w:line="35" w:lineRule="exact"/>
        <w:rPr>
          <w:rFonts w:ascii="Arial" w:cs="Arial" w:eastAsia="Arial" w:hAnsi="Arial"/>
          <w:sz w:val="17"/>
          <w:szCs w:val="17"/>
          <w:color w:val="auto"/>
        </w:rPr>
      </w:pPr>
    </w:p>
    <w:p>
      <w:pPr>
        <w:jc w:val="both"/>
        <w:ind w:left="800" w:hanging="323"/>
        <w:spacing w:after="0" w:line="278" w:lineRule="auto"/>
        <w:tabs>
          <w:tab w:leader="none" w:pos="7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uncertain economic, legal and political conditions in Europe, Asia and other regions where we do business, including, for example, as a result of the ongoing military conflicts in Ukraine, the Gaza Strip and nearby areas, and any changes in China-Taiwan and U.S.-China relations.</w:t>
      </w:r>
    </w:p>
    <w:p>
      <w:pPr>
        <w:spacing w:after="0" w:line="55"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success of our international sales and operations will depend, in large part, on our ability to anticipate and manage these risks effectively. Our failure to manage any of these risks could harm our international operations, reduce our international sales, and could give rise to liabilities, costs or other business difficulties that could adversely affect our operations and financial results.</w:t>
      </w:r>
    </w:p>
    <w:p>
      <w:pPr>
        <w:spacing w:after="0" w:line="55" w:lineRule="exact"/>
        <w:rPr>
          <w:sz w:val="20"/>
          <w:szCs w:val="20"/>
          <w:color w:val="auto"/>
        </w:rPr>
      </w:pPr>
    </w:p>
    <w:p>
      <w:pPr>
        <w:ind w:right="760"/>
        <w:spacing w:after="0" w:line="310" w:lineRule="auto"/>
        <w:rPr>
          <w:sz w:val="20"/>
          <w:szCs w:val="20"/>
          <w:color w:val="auto"/>
        </w:rPr>
      </w:pPr>
      <w:r>
        <w:rPr>
          <w:rFonts w:ascii="Arial" w:cs="Arial" w:eastAsia="Arial" w:hAnsi="Arial"/>
          <w:sz w:val="17"/>
          <w:szCs w:val="17"/>
          <w:b w:val="1"/>
          <w:bCs w:val="1"/>
          <w:i w:val="1"/>
          <w:iCs w:val="1"/>
          <w:color w:val="auto"/>
        </w:rPr>
        <w:t>Expectations relating to ESG considerations and related reporting obligations may expose the business to potential liabilities, increased costs, and reputational harm.</w:t>
      </w:r>
    </w:p>
    <w:p>
      <w:pPr>
        <w:spacing w:after="0" w:line="20"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Many stakeholders including governments, regulators, investors, employees and business partners are increasingly focused on corporate environmental, social and governance (“ESG”) considerations such as greenhouse gas emissions, natural resource management, human rights and human capital management practices. Any failure, perceived or otherwise, to comply with existing and emerging ESG-related laws and regulations in the United States, Europe and elsewhere, or to meet varied and evolving stakeholder expectations or standards with respect to ESG issues could result in legal and regulatory proceedings and may harm our business, reputation,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3" w:name="page34"/>
    <w:bookmarkEnd w:id="3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adversely affected by any violations of the FCPA, the U.K. Bribery Act, and other foreign anti-bribery laws.</w:t>
      </w:r>
    </w:p>
    <w:p>
      <w:pPr>
        <w:spacing w:after="0" w:line="119"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The U.S. FCPA generally prohibits companies and their intermediaries from making improper payments to non-U.S. government officials for the purpose of obtaining or retaining business. Other countries in which we operate also have anti-bribery laws, some of which prohibit improper payments to government and non-government persons and entities, and others (e.g., the FCPA and the U.K. Bribery Act) extend their application to activities outside of their country of origin. Our policies mandate compliance with all applicable anti-bribery laws. We currently operate in, and may further expand into, key parts of the world that have experienced governmental corruption to some degree and, in certain circumstances, strict compliance with anti-bribery laws may conflict with local customs and practices. In addition, due to the level of regulation in our industry, our entry into new jurisdictions through internal growth or acquisitions requires substantial government contact where norms can differ from U.S. standards. Additionally, the costs of complying with these laws (including the costs of investigations, auditing, and monitoring) could adversely affect our current or future business. Although, we implement policies and procedures and conduct training designed to facilitate compliance with these anti-bribery laws, thereby mitigating the risk of violations of such laws, our employees, subcontractors, agents and partners may take actions in violation of our policies and anti-bribery laws. Any such violation, even if prohibited by our policies, could subject us to criminal or civil penalties or other sanctions, which could have a material adverse effect on our business, financial condition, cash flows, and reputation.</w:t>
      </w:r>
    </w:p>
    <w:p>
      <w:pPr>
        <w:spacing w:after="0" w:line="72"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From time to time we are involved in a number of legal proceedings and, while we cannot predict the outcomes of such proceedings and other contingencies with certainty, some of these outcomes could adversely affect our business and financial condition.</w:t>
      </w:r>
    </w:p>
    <w:p>
      <w:pPr>
        <w:spacing w:after="0" w:line="20"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are, or may become, involved in legal proceedings, government and agency investigations, and consumer, employment, tort and other litigation. We cannot predict with certainty the outcomes of these legal proceedings. The outcome of these legal proceeding could require us to take, or refrain from taking, actions which could negatively affect our operations or could require us to pay substantial amounts of money adversely affecting our financial condition and results of operations. There can also be no assurance that we are adequately insured to protect against all claims and potential liabilities. Additionally, defending against lawsuits and legal proceedings may involve significant expense and could divert the attention of our key personnel.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Condition and Liquidity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gross profit may fluctuate over time, which could impair our ability to achieve or maintain profitability.</w:t>
      </w:r>
    </w:p>
    <w:p>
      <w:pPr>
        <w:spacing w:after="0" w:line="11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36" w:lineRule="exact"/>
        <w:rPr>
          <w:sz w:val="20"/>
          <w:szCs w:val="20"/>
          <w:color w:val="auto"/>
        </w:rPr>
      </w:pPr>
    </w:p>
    <w:p>
      <w:pPr>
        <w:ind w:left="780" w:hanging="303"/>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customer, geographic or product mix;</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price competition, including the impact of customer and competitor discounts and rebates;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impact of inflation and higher interest rates;</w:t>
      </w:r>
    </w:p>
    <w:p>
      <w:pPr>
        <w:spacing w:after="0" w:line="119"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reduce and control product costs, including our ability to make product cost reductions in a timely manner to offset declines in our product prices;</w:t>
      </w:r>
    </w:p>
    <w:p>
      <w:pPr>
        <w:spacing w:after="0" w:line="35"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warranty costs and reserves, including changes resulting from changes in estimates related to the long-term performance of our products, product replacement costs and warranty claim rates, as well as changes in the discount rates;</w:t>
      </w:r>
    </w:p>
    <w:p>
      <w:pPr>
        <w:spacing w:after="0" w:line="35"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 of cost savings due to changes in component or raw material pricing or charges incurred due to inventory holding periods if product demand is not correctly anticipated;</w:t>
      </w:r>
    </w:p>
    <w:p>
      <w:pPr>
        <w:spacing w:after="0" w:line="35" w:lineRule="exact"/>
        <w:rPr>
          <w:rFonts w:ascii="Arial" w:cs="Arial" w:eastAsia="Arial" w:hAnsi="Arial"/>
          <w:sz w:val="17"/>
          <w:szCs w:val="17"/>
          <w:color w:val="auto"/>
        </w:rPr>
      </w:pPr>
    </w:p>
    <w:p>
      <w:pPr>
        <w:ind w:left="780" w:hanging="303"/>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introduction of new products;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ordering patterns from our distributors;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price reductions on older products to sell remaining inventory;</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component shortages and related expedited shipping costs;</w:t>
      </w:r>
    </w:p>
    <w:p>
      <w:pPr>
        <w:spacing w:after="0" w:line="119" w:lineRule="exact"/>
        <w:rPr>
          <w:rFonts w:ascii="Arial" w:cs="Arial" w:eastAsia="Arial" w:hAnsi="Arial"/>
          <w:sz w:val="17"/>
          <w:szCs w:val="17"/>
          <w:color w:val="auto"/>
        </w:rPr>
      </w:pPr>
    </w:p>
    <w:p>
      <w:pPr>
        <w:ind w:left="800" w:hanging="323"/>
        <w:spacing w:after="0" w:line="270" w:lineRule="auto"/>
        <w:tabs>
          <w:tab w:leader="none" w:pos="7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reduce production costs, such as through technology innovations, in order to offset price declines in our products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636905</wp:posOffset>
            </wp:positionV>
            <wp:extent cx="69361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4" w:name="page35"/>
    <w:bookmarkEnd w:id="3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80" w:hanging="303"/>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shipment volume;</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distribution channels;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excess and obsolete inventory and inventory holding charges;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expediting costs incurred to meet customer delivery requirements;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to the IRA;</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tariffs assessed on our products imported to the U.S. and elsewhere; and</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Fluctuations in gross profit may adversely affect our ability to manage our business or achieve or maintain profitability.</w:t>
      </w:r>
    </w:p>
    <w:p>
      <w:pPr>
        <w:spacing w:after="0" w:line="119"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We are under continuous pressure to reduce the prices of our products, which has adversely affected, and may continue to adversely affect, our gross margins.</w:t>
      </w:r>
    </w:p>
    <w:p>
      <w:pPr>
        <w:spacing w:after="0" w:line="20"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have reduced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ASPs by increasing our sales volume, reducing our costs and expenses or introducing new products, our gross margins would continue to be adversely affected.</w:t>
      </w:r>
    </w:p>
    <w:p>
      <w:pPr>
        <w:spacing w:after="0" w:line="68"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remain price competitive, this could result in lost market share and lower gross margins.</w:t>
      </w:r>
    </w:p>
    <w:p>
      <w:pPr>
        <w:spacing w:after="0" w:line="6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If we do not forecast demand for our products accurately, we may experience product shortages, delays in product shipment or excess product inventory, any of which will adversely affect our business and financial condition.</w:t>
      </w:r>
    </w:p>
    <w:p>
      <w:pPr>
        <w:spacing w:after="0" w:line="20"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installers or end customers, and our sales are generally made by purchase orders that may be canceled, changed or deferred without notice to us or penalty. As a result, it is difficult to forecast future customer demand to plan our operations.</w:t>
      </w:r>
    </w:p>
    <w:p>
      <w:pPr>
        <w:spacing w:after="0" w:line="278"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light of supply chain disruptions and our outsourced manufacturing processes, which could prevent us from fulfilling orders in a timely and cost-efficient manner or at all. In addition, if we overestimate our production requirements, our contract manufacturers may purchase excess components and build excess inventory. If our contract manufacturers, at our request, purchase excess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489585</wp:posOffset>
            </wp:positionV>
            <wp:extent cx="69361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5" w:name="page36"/>
    <w:bookmarkEnd w:id="3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that are unique to our products and are unable to recoup the costs of such excess through resale or return or build excess products, we could be required to pay for these excess parts or products and recognize related inventory write-downs.</w:t>
      </w:r>
    </w:p>
    <w:p>
      <w:pPr>
        <w:spacing w:after="0" w:line="3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55"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2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To date, we have generated most of our revenue from North America, and revenue generated from the U.S. market represented 64%, 76% and 80% of our total net revenues for the annual periods ended on December 31, 2023, 2022 and 2021, respectively. We also expect to continue to generate a majority of our revenue from North America in the future.</w:t>
      </w:r>
    </w:p>
    <w:p>
      <w:pPr>
        <w:spacing w:after="0" w:line="55"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There are several important incentives (including the ITC), AMPTC and other U.S. federal and state tax incentives, that impact our business. Under the IRA, the ITC was extended until 2032 to allow a qualifying homeowner to deduct 30% of the cost of installing residential solar systems from their U.S. federal income taxes, thereby returning a material portion of the purchase price of the residential solar system to homeowners. Under the terms of the current extension, the ITC will remain at 30% through the end of 2032, reduce to 26% for 2033, reduce to 22% for 2034, and further reduce to 0% after the end of 2034 for residential solar systems, unless it is further extended before that time. If the ITC, AMPTC, or other tax credits are reduced or eliminated as part of futures changes to the U.S. Internal Revenue Code, changes to state law or regulatory reform initiatives by subsequent legislative action or by a presidential administration, sales of our products in North America and other markets could be adversely affected. In addition, changes to the IRA could impact the benefits we currently expect to receive from our plans to increase our domestic manufacturing footprint in the United States, in partnership with third-party contract manufacturers.</w:t>
      </w:r>
    </w:p>
    <w:p>
      <w:pPr>
        <w:spacing w:after="0" w:line="73"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Several European countries, including Germany, Belgium, Italy and the United Kingdom, have adopted reductions in or concluded their net energy metering or FiT programs. Certain countries have proposed or enacted taxes levied on renewable energy. These and related developments have significantly impacted the solar industry in Europe and may adversely affect the future demand for solar energy solutions in Europe, which could adversely impact our results of operations.</w:t>
      </w:r>
    </w:p>
    <w:p>
      <w:pPr>
        <w:spacing w:after="0" w:line="61"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We also sell our products in Australia. In 2012, Australia enacted a Renewable Energy Target that is intended to ensure that 33,000 Gigawatt-hours of Australia’s electricity comes from renewable sources by 2020. This policy supports both the installation of large-scale centralized renewable generation projects, along with small-scale systems of under 100kW each for residential and small business customers. This target was met in 2019; however, the scheme continues to require high-energy users to meet their obligations under the policy until 2030. During 2018, the state of Victoria introduced state-based incentive schemes, aimed at solar customers in the state of Victoria. Other Australian states and territories introduced similar programs in 2019. Any change in, or failure to implement, these programs may adversely affect the demand for solar energy solutions in Australia.</w:t>
      </w:r>
    </w:p>
    <w:p>
      <w:pPr>
        <w:spacing w:after="0" w:line="27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6" w:name="page37"/>
    <w:bookmarkEnd w:id="3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20"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coal-fired plants, or improvements to the utility infrastructure could reduce the retail price of electricity from the utility grid, making the purchase of solar PV systems less economically attractive and depressing sales of our products. In addition, energy conservation technologies and public initiatives to reduce demand for electricity also could cause a fall in the retail price of electricity from the utility grid.</w:t>
      </w:r>
    </w:p>
    <w:p>
      <w:pPr>
        <w:spacing w:after="0" w:line="73"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Moreover, technological developments by our competitors in the solar industry, including manufacturers of central inverters and DC-to-DC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increase the cost of installation or operation of solar distributed generation. Such measures can include grid access fees, costly or lengthy interconnection studies, limitations on distributed generation penetration levels, or other measures. If the cost of electricity generated by solar PV installations incorporating our solutions is high relative to the cost of electricity from other sources, our business, financial condition and results of operations may be harmed.</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portfolio of marketable securities is subject to market, interest and credit risk that may reduce its value.</w:t>
      </w:r>
    </w:p>
    <w:p>
      <w:pPr>
        <w:spacing w:after="0" w:line="119"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As of December 31, 2023, we had approximately $1,406.3 million in debt security investments. These investments consisted primarily of money market funds, U.S. Treasuries, U.S. government securities, commercial paper and debt securities of corporations.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and the U.S. debt ceiling crisis, which affected various sectors of the financial markets and led to global credit and liquidity issues. If the global credit market continues to experience volatility or deteriorates, our investment portfolio may be impacted and some or all of our investments may experience other-than-temporary impairment, which could adversely impact our operating results and position.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Acquisition Activity</w:t>
      </w:r>
    </w:p>
    <w:p>
      <w:pPr>
        <w:spacing w:after="0" w:line="121"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As part of growing our business, we have made and expect to continue to make acquisitions. If we fail to successfully select, execute or integrate our acquisitions, then our business and operating results could be harmed and our stock price could decline.</w:t>
      </w:r>
    </w:p>
    <w:p>
      <w:pPr>
        <w:spacing w:after="0" w:line="2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From time to time, we will undertake acquisitions to add new product lines and technologies, gain new sales channels or enter new sales territories. For example, in 2021, we acquired Sofdesk, the solar design business of DIN, 365 Pronto, and ClipperCreek, Inc. (“ClipperCreek”), and in 2022, we acquired SolarLeadFactory, LLC (“SolarLeadFactory”) and GreenCom Networks AG (“GreenCom”). Acquisitions involve numerous risks and challenges, including but not limited to the following:</w:t>
      </w:r>
    </w:p>
    <w:p>
      <w:pPr>
        <w:spacing w:after="0" w:line="61" w:lineRule="exact"/>
        <w:rPr>
          <w:sz w:val="20"/>
          <w:szCs w:val="20"/>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integrating the companies, assets, systems, products, sales channels and personnel that we acquire;</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higher than anticipated acquisition and integration costs and expenses;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reliance on third parties to provide transition services for a period of time after closing to ensure an orderly transition of the business;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growing or maintaining revenues to justify the purchase price and the increased expenses associated with acquisitions;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entering into territories or markets with which we have limited or no prior experience;</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establishing or maintaining business relationships with customers, vendors and suppliers who may be new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486410</wp:posOffset>
            </wp:positionV>
            <wp:extent cx="69361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7" w:name="page38"/>
    <w:bookmarkEnd w:id="3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overcoming the employee, customer, vendor and supplier turnover that may occur as a result of the acquisition;</w:t>
      </w:r>
    </w:p>
    <w:p>
      <w:pPr>
        <w:spacing w:after="0" w:line="66" w:lineRule="exact"/>
        <w:rPr>
          <w:rFonts w:ascii="Arial" w:cs="Arial" w:eastAsia="Arial" w:hAnsi="Arial"/>
          <w:sz w:val="17"/>
          <w:szCs w:val="17"/>
          <w:color w:val="auto"/>
        </w:rPr>
      </w:pPr>
    </w:p>
    <w:p>
      <w:pPr>
        <w:ind w:left="640" w:right="280" w:hanging="320"/>
        <w:spacing w:after="0" w:line="289"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disruption of, and demands on, our ongoing business as a result of integration activities including diversion of management's time and attention from running the day to day operations of our business;</w:t>
      </w:r>
    </w:p>
    <w:p>
      <w:pPr>
        <w:spacing w:after="0" w:line="1" w:lineRule="exact"/>
        <w:rPr>
          <w:rFonts w:ascii="Arial" w:cs="Arial" w:eastAsia="Arial" w:hAnsi="Arial"/>
          <w:sz w:val="17"/>
          <w:szCs w:val="17"/>
          <w:color w:val="auto"/>
        </w:rPr>
      </w:pPr>
    </w:p>
    <w:p>
      <w:pPr>
        <w:ind w:left="640" w:right="780" w:hanging="320"/>
        <w:spacing w:after="0" w:line="289"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inability to implement uniform standards, disclosure controls and procedures, internal controls over financial reporting and other procedures and policies in a timely manner;</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inability to realize the anticipated benefits of or successfully integrate with our existing business the businesses, products, technologies or personnel that we acquire; and</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 post-closing disputes.</w:t>
      </w:r>
    </w:p>
    <w:p>
      <w:pPr>
        <w:spacing w:after="0" w:line="11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As part of undertaking an acquisition, we may also significantly revise our capital structure or operational budget, such as issuing common stock that would dilute the ownership percentage of our stockholders, assuming liabilities or debt, utilizing a substantial portion of our cash resources to pay for the acquisition or significantly increasing operating expenses. Our acquisitions have resulted and may in the future result in charges being taken in an individual quarter as well as future periods, which results in variability in our quarterly earnings. In addition, our effective tax rate in any particular quarter may also be impacted by acquisitions. Following the closing of an acquisition, we may also have disputes with the seller regarding contractual requirements and covenants, purchase price adjustments, contingent payments or for indemnifiable losses. Any such disputes may be time consuming and distract management from other aspects of our business. In addition, if we increase the pace or size of acquisitions, we will have to expend significant management time and effort into the transactions and integrations, and we may not have the proper human resources bandwidth to ensure successful integrations and accordingly, our business could be harmed or the benefits of our acquisitions may not be realized.</w:t>
      </w:r>
    </w:p>
    <w:p>
      <w:pPr>
        <w:spacing w:after="0" w:line="283"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As part of the terms of an acquisition, we may commit to pay additional contingent consideration if certain revenue or other performance milestones are met. We are required to evaluate the fair value of such commitments at each reporting date and adjust the amount recorded if there are changes to the fair value.</w:t>
      </w:r>
    </w:p>
    <w:p>
      <w:pPr>
        <w:spacing w:after="0" w:line="55"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cannot ensure that we will be successful in selecting, executing and integrating acquisitions. Failure to manage and successfully integrate acquisitions could materially harm our business and operating results. In addition, if stock market analysts or our stockholders do not support or believe in the value of the acquisitions that we choose to undertake, our stock price may decline.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invest in companies for both strategic and financial reasons but may not realize a return on our investments.</w:t>
      </w:r>
    </w:p>
    <w:p>
      <w:pPr>
        <w:spacing w:after="0" w:line="11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We have made, and continue to seek to make, investments in companies around the world to further our strategic objectives and support our key business initiatives. These investments may include equity or debt instruments of public or private companies and may be non-marketable at the time of our initial investment. We do not restrict the types of companies in which we seek to invest. These companies may range from early-stage companies that are often still defining their strategic direction to more mature companies with established revenue streams and business models. If any company in which we invest fails, we could lose all or part of our investment in that company. If we determine that an other-than-temporary decline in the fair value exists for an equity or debt investment in a public or private company in which we have invested, we will have to write down the investment to its fair value and recognize the related write-down as an investment loss. The performance of any of these investments could result in significant impairment charges and gains (losses) on other equity investments. We must also analyze accounting and legal issues when making these investments. If we do not structure these investments properly, we may be subject to certain unfavorable accounting impact, such as potential consolidation of financial results.</w:t>
      </w:r>
    </w:p>
    <w:p>
      <w:pPr>
        <w:spacing w:after="0" w:line="6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Furthermore, if the strategic objectives of an investment have been achieved, or if the investment or business diverges from our strategic objectives, we may seek to dispose of the investment. Our non-marketable equity investments in private companies are not liquid, and we may not be able to dispose of these investments on favorable terms or at all. The occurrence of any of these events could harm our results. Gains or losses from equity securities could vary from expectations depending on gains or losses realized on the sale or exchange of securities and impairment charges related to debt instruments as well as equity and other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8" w:name="page39"/>
    <w:bookmarkEnd w:id="3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impairment in the carrying value of goodwill or other intangible and long-lived assets could negatively affect our operating results.</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We record goodwill from the purchase consideration paid in excess of the fair value of the net assets recorded in connection with a business acquisition. We may not realize all the economic benefit from our business acquisitions, which could result in an impairment of goodwill or intangible assets. As of December 31, 2023, goodwill and intangible assets, net were approximately $214.6 million and $68.5 million, respectively. We test goodwill for impairment at least annually during the fourth quarter of each fiscal year or between annual tests if an event occurs or circumstances change that would indicate the carrying amount may be impaired. Goodwill is tested at the reporting unit level, which we have determined to be the same as the entity as a whole (entity level). We first perform a qualitative assessment to determine whether it is more likely than not that the fair value of our reporting unit is less than its carrying value. If, after assessing the qualitative factors, we determine that it is more likely than not that the fair value of our reporting unit is less than it’s carrying value, an impairment analysis will be performed.</w:t>
      </w:r>
    </w:p>
    <w:p>
      <w:pPr>
        <w:spacing w:after="0" w:line="7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Qualitative factors include industry and market consideration, overall financial performance, share price trends and market capitalization and company-specific events. We may be required to record a significant charge in our financial statements during the period in which any impairment of our goodwill or amortizable intangible assets is determined, which would negatively impact our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Debt and Equity Securities</w:t>
      </w:r>
    </w:p>
    <w:p>
      <w:pPr>
        <w:spacing w:after="0" w:line="121"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Our financial results may vary significantly from quarter to quarter due to a number of factors, which may lead to volatility in our stock price.</w:t>
      </w:r>
    </w:p>
    <w:p>
      <w:pPr>
        <w:spacing w:after="0" w:line="20"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Our quarterly revenue and results of operations have varied in the past and may continue to vary significantly from quarter to quarter. As a result, the trading price of our common stock has been, and is likely to continue to be, volatile and could be subject to wide fluctuations in response to various factors, some of which are beyond our control. In addition, the trading prices of the securities of solar companies in general have been highly volatile, and the volatility in market price and trading volume of securities is often unrelated or disproportionate to the financial performance of the companies issuing the securities. Factors affecting the market price of our common stock, some of which are beyond our control, include:</w:t>
      </w:r>
    </w:p>
    <w:p>
      <w:pPr>
        <w:spacing w:after="0" w:line="276" w:lineRule="exact"/>
        <w:rPr>
          <w:sz w:val="20"/>
          <w:szCs w:val="20"/>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seasonal and other fluctuations in demand for our products;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volume and product mix of sales of our products, which may have different ASPs or profit margins;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our pricing and sales policies or the pricing and sales policies of our competitors;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impact of supply chain disruptions on our business, sales and results of operations;</w:t>
      </w:r>
    </w:p>
    <w:p>
      <w:pPr>
        <w:spacing w:after="0" w:line="66" w:lineRule="exact"/>
        <w:rPr>
          <w:rFonts w:ascii="Arial" w:cs="Arial" w:eastAsia="Arial" w:hAnsi="Arial"/>
          <w:sz w:val="17"/>
          <w:szCs w:val="17"/>
          <w:color w:val="auto"/>
        </w:rPr>
      </w:pPr>
    </w:p>
    <w:p>
      <w:pPr>
        <w:ind w:left="640" w:right="280" w:hanging="320"/>
        <w:spacing w:after="0" w:line="289"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design, manufacture and deliver products to our customers in a timely and cost-effective manner and that meet customer requirements;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manage our relationships with our contract manufacturers, customers and suppliers;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quality control or yield problems in our manufacturing operations;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anticipation, announcement or introductions of new or enhanced products by our competitors and ourselves;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reductions in the retail price of electricity;</w:t>
      </w:r>
    </w:p>
    <w:p>
      <w:pPr>
        <w:spacing w:after="0" w:line="66" w:lineRule="exact"/>
        <w:rPr>
          <w:rFonts w:ascii="Arial" w:cs="Arial" w:eastAsia="Arial" w:hAnsi="Arial"/>
          <w:sz w:val="17"/>
          <w:szCs w:val="17"/>
          <w:color w:val="auto"/>
        </w:rPr>
      </w:pPr>
    </w:p>
    <w:p>
      <w:pPr>
        <w:ind w:left="640" w:right="100" w:hanging="320"/>
        <w:spacing w:after="0" w:line="289"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exposure to the credit risks of our customers, particularly in light of the fact that some of our customers are relatively new entrants to the solar market without long operating or credit histories, and the impact of inflation and higher interest rates;</w:t>
      </w:r>
    </w:p>
    <w:p>
      <w:pPr>
        <w:spacing w:after="0" w:line="1" w:lineRule="exact"/>
        <w:rPr>
          <w:rFonts w:ascii="Arial" w:cs="Arial" w:eastAsia="Arial" w:hAnsi="Arial"/>
          <w:sz w:val="17"/>
          <w:szCs w:val="17"/>
          <w:color w:val="auto"/>
        </w:rPr>
      </w:pPr>
    </w:p>
    <w:p>
      <w:pPr>
        <w:ind w:left="640" w:right="20" w:hanging="320"/>
        <w:spacing w:after="0" w:line="289"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laws, regulations and policies applicable to our business and products, particularly those relating to government incentives for solar energy applications;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impact of tariffs on the solar industry in general and our products in particular;</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related to the maintenance and expansion of our business operations;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impact of government-sponsored programs on our customers;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estimate future warranty obligations due to product failure rates, claim rates or replacement costs;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forecast our customer demand and manufacturing requirements, and manage our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486410</wp:posOffset>
            </wp:positionV>
            <wp:extent cx="69361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9" w:name="page40"/>
    <w:bookmarkEnd w:id="3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announcement of acquisitions or dispositions of our assets or business operations;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issuances of our common stock or equity-linked securities such as the Convertible Notes;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our management;</w:t>
      </w:r>
    </w:p>
    <w:p>
      <w:pPr>
        <w:spacing w:after="0" w:line="66" w:lineRule="exact"/>
        <w:rPr>
          <w:rFonts w:ascii="Arial" w:cs="Arial" w:eastAsia="Arial" w:hAnsi="Arial"/>
          <w:sz w:val="17"/>
          <w:szCs w:val="17"/>
          <w:color w:val="auto"/>
        </w:rPr>
      </w:pPr>
    </w:p>
    <w:p>
      <w:pPr>
        <w:ind w:left="640" w:right="40" w:hanging="320"/>
        <w:spacing w:after="0" w:line="268"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technical factors in the public trading market for our common stock that may produce price movements that may or may not comport to macro, industry or company-specific fundamentals, including, without limitation, the sentiment of retail investors (including as may be expressed on financial trading and other social media sites), the amount and status of short interest in our securities, rising interest rates, inflation, access to margin debt, trading in options and other derivatives on our common stock and any related hedging or other technical trading factors; and</w:t>
      </w:r>
    </w:p>
    <w:p>
      <w:pPr>
        <w:spacing w:after="0" w:line="10" w:lineRule="exact"/>
        <w:rPr>
          <w:rFonts w:ascii="Arial" w:cs="Arial" w:eastAsia="Arial" w:hAnsi="Arial"/>
          <w:sz w:val="17"/>
          <w:szCs w:val="17"/>
          <w:color w:val="auto"/>
        </w:rPr>
      </w:pPr>
    </w:p>
    <w:p>
      <w:pPr>
        <w:ind w:left="640" w:right="80" w:hanging="320"/>
        <w:spacing w:after="0" w:line="300"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social, geopolitical, environmental or health factors, including pandemics or widespread health epidemics such as the COVID-19 pandemic.</w:t>
      </w:r>
    </w:p>
    <w:p>
      <w:pPr>
        <w:spacing w:after="0" w:line="3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above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63"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In addition, in the past, many companies that have experienced volatility in the market price of their stock have been subject to securities class action litigation. We have been in the past and may become in the future the target of this type of litigation in the future. Securities litigation against us could result in substantial costs and divert our management’s attention from other business concerns, which could seriously harm our business.</w:t>
      </w:r>
    </w:p>
    <w:p>
      <w:pPr>
        <w:spacing w:after="0" w:line="272"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Conversion of our Convertible Notes may dilute the ownership interest of existing stockholders or may otherwise depress the price of our common stock, adversely affect our financial condition and operating results.</w:t>
      </w:r>
    </w:p>
    <w:p>
      <w:pPr>
        <w:spacing w:after="0" w:line="2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In March 2021, we issued and sold a total of $575.0 million aggregate principal amount of our 0.0% convertible senior notes due 2028 (the “Notes due 2028”) and $632.5 million aggregate principal amount of our 0.0% convertible senior notes due 2026 (the “Notes due 2026”).</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In March 2020, we issued and sold a total of $320.0 million aggregate principal amount of our 0.25% convertible senior notes due 2025 (the “Notes due 2025”).</w:t>
      </w:r>
    </w:p>
    <w:p>
      <w:pPr>
        <w:spacing w:after="0" w:line="3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In August 2018, we issued and sold a total of $65.0 million aggregate principal amount of our 4.0% convertible senior notes due 2023 (the “Notes due 2023”) in a private placement to qualified institutional buyers and an affiliate of ours. In May 2019, we entered into separately and privately negotiated transactions with certain holders of the Notes due 2023 resulting in the repurchase and exchange of $ 60.0 million aggregate principal amount of the notes in consideration for the issuance of shares of common stock and separate cash payments. On July 28, 2023, the holder of the Notes due 2023 converted the remaining outstanding $5.0 million in aggregate principal amount into 900,090 shares of our common stock based on the conversion rate of 180.018 shares of common stock per $ 1,000 principal amount of notes (which is equivalent to a conversion price of approximately $5.56 per share). Following the conversion, Notes due 2023 are no longer outstanding.</w:t>
      </w:r>
    </w:p>
    <w:p>
      <w:pPr>
        <w:spacing w:after="0" w:line="6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December 31, 2023 we have following Convertible Notes outstanding:</w:t>
      </w:r>
    </w:p>
    <w:p>
      <w:pPr>
        <w:spacing w:after="0" w:line="119" w:lineRule="exact"/>
        <w:rPr>
          <w:sz w:val="20"/>
          <w:szCs w:val="20"/>
          <w:color w:val="auto"/>
        </w:rPr>
      </w:pPr>
    </w:p>
    <w:p>
      <w:pPr>
        <w:ind w:left="620" w:hanging="300"/>
        <w:spacing w:after="0"/>
        <w:tabs>
          <w:tab w:leader="none" w:pos="620" w:val="left"/>
        </w:tabs>
        <w:numPr>
          <w:ilvl w:val="0"/>
          <w:numId w:val="30"/>
        </w:numPr>
        <w:rPr>
          <w:rFonts w:ascii="Arial" w:cs="Arial" w:eastAsia="Arial" w:hAnsi="Arial"/>
          <w:sz w:val="17"/>
          <w:szCs w:val="17"/>
          <w:i w:val="1"/>
          <w:iCs w:val="1"/>
          <w:color w:val="auto"/>
        </w:rPr>
      </w:pPr>
      <w:r>
        <w:rPr>
          <w:rFonts w:ascii="Arial" w:cs="Arial" w:eastAsia="Arial" w:hAnsi="Arial"/>
          <w:sz w:val="17"/>
          <w:szCs w:val="17"/>
          <w:color w:val="auto"/>
        </w:rPr>
        <w:t>the Notes due 2028;</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0"/>
        </w:numPr>
        <w:rPr>
          <w:rFonts w:ascii="Arial" w:cs="Arial" w:eastAsia="Arial" w:hAnsi="Arial"/>
          <w:sz w:val="17"/>
          <w:szCs w:val="17"/>
          <w:i w:val="1"/>
          <w:iCs w:val="1"/>
          <w:color w:val="auto"/>
        </w:rPr>
      </w:pPr>
      <w:r>
        <w:rPr>
          <w:rFonts w:ascii="Arial" w:cs="Arial" w:eastAsia="Arial" w:hAnsi="Arial"/>
          <w:sz w:val="17"/>
          <w:szCs w:val="17"/>
          <w:color w:val="auto"/>
        </w:rPr>
        <w:t>the Notes due 2026; and</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Notes due 2025.</w:t>
      </w:r>
    </w:p>
    <w:p>
      <w:pPr>
        <w:spacing w:after="0" w:line="11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conversion of some or all of the Convertible Notes may dilute the ownership interests of existing stockholders. Any sales in the 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In addition, the anticipated conversion of the Convertible Notes into shares of our common stock could depress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0" w:name="page41"/>
    <w:bookmarkEnd w:id="4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Servicing our debts requires a significant amount of cash, and we may not have sufficient cash flow from our business to pay our debts.</w:t>
      </w:r>
    </w:p>
    <w:p>
      <w:pPr>
        <w:spacing w:after="0" w:line="301"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debts, including the Convertible Notes, and make necessary capital expenditures. If we are unable to generate cash flow, we may be required to adopt one or more alternatives, such as selling assets, restructuring debt or obtaining additional equity capital on terms that may be onerous or highly dilutive. Our ability to refinance our indebtedness, including the Convertible Notes, will depend on the capital markets and our financial condition at such time. We may not be able to engage in any of those activities or engage in these activities on desirable terms, which could result in a default on our debt obligations, including our obligations under the Convertible Notes.</w:t>
      </w:r>
    </w:p>
    <w:p>
      <w:pPr>
        <w:spacing w:after="0" w:line="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may not have the ability to raise the funds necessary to settle conversions of the Convertible Notes or repurchase the Convertible Note upon a fundamental change, and our future debt may contain limitations on our ability to pay cash upon conversion or repurchase of the Convertible Notes.</w:t>
      </w:r>
    </w:p>
    <w:p>
      <w:pPr>
        <w:spacing w:after="0" w:line="43"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7"/>
          <w:szCs w:val="17"/>
          <w:color w:val="auto"/>
        </w:rPr>
        <w:t>Holders of our Convertible Notes will have the right to require us to repurchase their Convertible Notes upon the occurrence of a fundamental change at a fundamental change repurchase price equal to 100% of the principal amount of the Convertible Notes to be repurchased, plus accrued and unpaid interest, if any. Fundamental change is defined in the Convertible Notes Indenture entered into in connection with the financing and consists of events such as an acquisition of a majority of our outstanding common stock, an acquisition of our company or substantially all of our assets, the approval by our stockholders of a plan of liquidation or dissolution, or our common stock no longer being listed on the Nasdaq Global Select Market or the Nasdaq Global Market. Upon conversion of the Convertible Notes, unless we elect to deliver solely shares of our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such repurchase of the Convertible Notes. In addition, our ability to repurchase the Convertible Notes or to pay cash upon conversion of the Convertible Notes may be limited by law, by regulatory authority or by agreements governing our future indebtedness. Our failure to repurchase notes at a time when the repurchase is required by the relevant indenture or to pay any cash payable on future conversions of the notes as required by the relevant indenture would constitute a default under the relevant indenture. A default under the indenture or a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Notes or make cash payments upon conversion of the Convertible Notes.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convertible note hedge and warrant transactions and/or their early termination may affect the value of our common stock.</w:t>
      </w:r>
    </w:p>
    <w:p>
      <w:pPr>
        <w:spacing w:after="0" w:line="119"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In connection with the offering of the Notes due 2028, Notes due 2026 and Notes due 2025, we entered into privately negotiated convertible note hedge transactions pursuant to which we have the option to purchase approximately the same number of shares of our common stock initially issuable upon conversion of the Notes due 2028, Notes due 2026 and Notes due 2025, at a price approximately the same as the initial conversion price of the Notes due 2028, Notes due 2026 and Notes due 2025. These transactions are expected to reduce the potential dilution with respect to our common stock upon conversion of the Notes due 2028, Notes due 2026 and Notes due 2025. Separately, we also entered into privately negotiated warrant transactions to acquire the same number of shares of our common stock initially issuable upon conversion of the Notes due 2028, Notes due 2026 and Notes due 2025 (subject to customary anti-dilution adjustments) at an initial strike price of approximately $ 370.33, $397.91 and $ 106.94 per share for Notes due 2028, Notes due 2026 and Notes due 2025, respectively. If the market value per share of our common stock, as measured under the warrants, exceeds the strike price of the warrants, the warrants will have a dilutive effect on the ownership interests of existing stockholders and on our earnings per share, unless we elect, subject to certain conditions, to settle the warrants in cash. However, we may not have enough available cash or be able to obtain financing at the time of settlement.</w:t>
      </w:r>
    </w:p>
    <w:p>
      <w:pPr>
        <w:spacing w:after="0" w:line="75"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In addition, the existence of the convertible note hedge and warrant transactions may encourage purchasing and selling share of our common stock, or other of our securities and instruments, in open market and/or privately negotiated transactions in order to modify hedge positions. Any of these activities could adversely affect the value of our common stock and the value of the Notes due 2028, Notes due 2026 and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616585</wp:posOffset>
            </wp:positionV>
            <wp:extent cx="69361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1" w:name="page42"/>
    <w:bookmarkEnd w:id="4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Changes in current accounting methods, standards, or regulations applicable to the Convertible Notes due 2028</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Notes due 2026 and Notes due 2025 could have a material impact on our reported financial results, future financial results, future cash flows, and/or our stock price.</w:t>
      </w:r>
    </w:p>
    <w:p>
      <w:pPr>
        <w:spacing w:after="0" w:line="40"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Under Accounting Standards Codification (“ASC”) 470-20, “Debt with Conversion and Other Options,” an entity must separately account for the host contract and conversion option associated with convertible debt instruments, such as the Notes due 2025, that may be settled entirely or partially in cash upon conversion, in a manner that reflects the issuer’s economic interest cost. We are required to amortize the debt discount as non-cash interest expense over the term of the Notes due 2025, which could adversely affect our reported or future financial results or the trading price of our common stock.</w:t>
      </w:r>
    </w:p>
    <w:p>
      <w:pPr>
        <w:spacing w:after="0" w:line="63"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In August 2020, the FASB issued Account Standard Update (“ASU”) 2020-06, “Debt - Debt with Conversion and Other Options (subtopic 470-20),” effective January 1, 2022, the Notes due 2028 and the Notes due 2026 were accounted for as a single liability measured at its amortized cost. Interest expense associated with the Notes due 2028 and the Notes due 2026 recorded in the consolidated statements of operations is close to the coupon rate interest expense. Further, for the diluted earnings per share calculation, treasury stock method is no longer permitted for the Notes due 2028, Notes due 2026 and Notes due 2025. The if-converted method is used for the calculation of the diluted earnings per share calculation, when accounting for the shares issuable upon conversion of the Notes due 2028, Notes due 2026 and Notes due 2025, which will adversely affect our diluted earnings per share. However, if the principal amount of the Notes due 2028, Notes due 2026 and Notes due 2025 being converted is required to be paid in cash and only the excess is permitted to be settled in shares, the if-converted method will produce a similar result as the “treasury stock” method which was applied prior to the adoption of ASU 2020-06.</w:t>
      </w:r>
    </w:p>
    <w:p>
      <w:pPr>
        <w:spacing w:after="0" w:line="73"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ASU 2016-15, “Statement of Cash Flows (Topic 230): Classification of Certain Cash Receipts and Cash Payments,” clarifies how certain cash receipts and payments should be classified in the statement of cash flows, including the cash settlement for the Notes due 2025. Upon cash settlement, repayment of the principal amount of the Notes due 2025 will be bifurcated between cash outflows for operating activities for the portion related to accreted interest attributable to debt discounts arising from the difference between the coupon interest rate and the effective interest rate, and financing activities for the remainder. This will require us to classify remainder of the debt discount of $ 5.6 million for the Notes due 2025 of accreted interest as cash used in operating activities in our consolidated statement of cash flows upon cash settlement, which could adversely affect our future cash flow from operations.</w:t>
      </w:r>
    </w:p>
    <w:p>
      <w:pPr>
        <w:spacing w:after="0" w:line="68"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We may not be able to raise additional capital to execute on our current or future business opportunities on favorable terms, if at all, or without dilution to our stockholders.</w:t>
      </w:r>
    </w:p>
    <w:p>
      <w:pPr>
        <w:spacing w:after="0" w:line="2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believe that our existing cash and cash equivalents and cash flows from our operating activities will be sufficient to meet our anticipated cash needs for at least the next 12 months. However, we may need to raise additional capital or debt financing to execute on our current or future business strategies, including to:</w:t>
      </w:r>
    </w:p>
    <w:p>
      <w:pPr>
        <w:spacing w:after="0" w:line="55" w:lineRule="exact"/>
        <w:rPr>
          <w:sz w:val="20"/>
          <w:szCs w:val="20"/>
          <w:color w:val="auto"/>
        </w:rPr>
      </w:pPr>
    </w:p>
    <w:p>
      <w:pPr>
        <w:ind w:left="780" w:hanging="303"/>
        <w:spacing w:after="0"/>
        <w:tabs>
          <w:tab w:leader="none" w:pos="7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provide additional cash reserves to support our operations;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invest in our research and development efforts;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expand our operations into new product markets and new geographies;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acquire complementary businesses, products, services or technologies; or</w:t>
      </w:r>
    </w:p>
    <w:p>
      <w:pPr>
        <w:spacing w:after="0" w:line="119"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otherwise pursue our strategic plans and respond to competitive pressures, including adjustments to our business to mitigate the effects of any tariffs that might apply to us or our industry.</w:t>
      </w:r>
    </w:p>
    <w:p>
      <w:pPr>
        <w:spacing w:after="0" w:line="36"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We do not know what forms of financing, if any, will be available to us. If financing is not available on acceptable terms, if and when needed, our ability to fund our operations, enhance our research and development and sales and marketing functions, develop and enhance our products, respond to unanticipated events and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620395</wp:posOffset>
            </wp:positionV>
            <wp:extent cx="69361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2" w:name="page43"/>
    <w:bookmarkEnd w:id="4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2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currently do not plan to declare dividends on shares of our common stock in the foreseeable future. In addition, our term loan agreement restricts our ability to pay dividends. Consequently, an investor’s only opportunity to achieve a return on its investment in our company will be if the market price of our common stock appreciates and the investor sells its shares at a profit.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Risks Related to our Business</w:t>
      </w:r>
    </w:p>
    <w:p>
      <w:pPr>
        <w:spacing w:after="0" w:line="17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Natural disasters, public health events, significant disruptions of information technology systems, data security breaches, or other catastrophic events could adversely affect our operations.</w:t>
      </w:r>
    </w:p>
    <w:p>
      <w:pPr>
        <w:spacing w:after="0" w:line="20"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Our worldwide operations could be subject to natural disasters (including as a result of climate change), public health events, significant disruptions of information technology systems, data security breaches and other catastrophic business disruptions, which could harm our future revenue and financial condition and increase our costs and expenses. For example, our corporate headquarters in Fremont, California is located near major earthquake fault lines and our Petaluma, California facility is near fault lines and the sites of recent catastrophic wildfires. We rely on third-party manufacturing facilities, including for all product assembly and final testing of our products, which are performed at third-party manufacturing facilities, in China, Mexico and India. There may be conflict or uncertainty in the countries in which we operate, including public health issues (for example, the ongoing COVID-19 pandemic or an outbreak of other contagious diseases or health epidemics), safety issues, natural disasters, fire, disruptions of service from utilities, nuclear power plant accidents, regional wars, or general economic or political factors. Such risks could result in an increase in the cost of components, production delays, general business 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ultimately have a material adverse effect on our business.</w:t>
      </w:r>
    </w:p>
    <w:p>
      <w:pPr>
        <w:spacing w:after="0" w:line="284"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In the event that natural disasters (including as a result of climate change), public health epidemics or technical catastrophes were to damage or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27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43"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of 2002, as amended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If we or our independent registered public accounting firm discover a material weakness in our internal controls over financial reporting, the disclosure of that fact, even if quickly remedied, could reduce the market’s confidence in our financial statements and harm our stock price. To the extent any material weaknesses in our internal control over financial reporting are identified, we could be required to expend significant management time and financial resources to correct such material weaknesses or to respond to any resulting regulatory investigations or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488315</wp:posOffset>
            </wp:positionV>
            <wp:extent cx="69361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3" w:name="page44"/>
    <w:bookmarkEnd w:id="4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tax liabilities.</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We are subject to income tax, indirect tax or other tax claims by tax agencies in jurisdictions in which we conduct business. Significant judgment is required in determining our worldwide provision for income taxes. Tax laws are dynamic and subject to change as new laws are passed and new interpretations of the law are issued or applied. The IRA included significant changes to the U.S. federal income tax laws, the consequences of which could increase our future U.S. income tax expense. As additional guidance is issued by the applicable taxing authorities and as new accounting treatment is clarified, we may report additional adjustments in the period if new information becomes available. We have deferred tax assets related to net operating losses or tax credits that could be subject to limitations under IRS Code Sections 382 or 383, and State separate return limitation year rules. The limitations could reduce our ability to utilize our net operating losses or tax credits before the expiration of the tax attributes. Tax law changes or the limitations could be material and could materially affect our tax obligations and effective tax rate.</w:t>
      </w:r>
    </w:p>
    <w:p>
      <w:pPr>
        <w:spacing w:after="0" w:line="280"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the ordinary course of our business, there are many transactions and calculations where the ultimate income tax, indirect tax, or other tax determination is uncertain. Although we believe our tax estimates are reasonable, we cannot be certain that the final determination of our tax audits and litigation will not be materially different from that which is reflected in historical tax provisions and accruals. Should additional taxes be assessed as a result of an audit, assessment or litigation, there could be a material adverse effect on our cash, tax provisions and net income in the period or periods for which that determination is made.</w:t>
      </w:r>
    </w:p>
    <w:p>
      <w:pPr>
        <w:spacing w:after="0" w:line="63"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Our charter documents and Delaware law could prevent a takeover that stockholders consider favorable and could also reduce the market price of our stock.</w:t>
      </w:r>
    </w:p>
    <w:p>
      <w:pPr>
        <w:spacing w:after="0" w:line="2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55" w:lineRule="exact"/>
        <w:rPr>
          <w:sz w:val="20"/>
          <w:szCs w:val="20"/>
          <w:color w:val="auto"/>
        </w:rPr>
      </w:pPr>
    </w:p>
    <w:p>
      <w:pPr>
        <w:ind w:left="800" w:hanging="323"/>
        <w:spacing w:after="0" w:line="300" w:lineRule="auto"/>
        <w:tabs>
          <w:tab w:leader="none" w:pos="7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providing for a classified board of directors with staggered, three-year terms, which could delay the ability of stockholders to change the membership of a majority of our board of directors;</w:t>
      </w:r>
    </w:p>
    <w:p>
      <w:pPr>
        <w:spacing w:after="0" w:line="35" w:lineRule="exact"/>
        <w:rPr>
          <w:rFonts w:ascii="Arial" w:cs="Arial" w:eastAsia="Arial" w:hAnsi="Arial"/>
          <w:sz w:val="17"/>
          <w:szCs w:val="17"/>
          <w:color w:val="auto"/>
        </w:rPr>
      </w:pPr>
    </w:p>
    <w:p>
      <w:pPr>
        <w:ind w:left="800" w:hanging="323"/>
        <w:spacing w:after="0" w:line="270" w:lineRule="auto"/>
        <w:tabs>
          <w:tab w:leader="none" w:pos="7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 candidates;</w:t>
      </w:r>
    </w:p>
    <w:p>
      <w:pPr>
        <w:spacing w:after="0" w:line="304"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authorizing our board of directors to issue, without stockholder approval, preferred stock rights senior to those of common stock, which could be used to significantly dilute the ownership of a hostile acquiror;</w:t>
      </w:r>
    </w:p>
    <w:p>
      <w:pPr>
        <w:spacing w:after="0" w:line="35"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which forces stockholder action to be taken at an annual or special meeting of our stockholders;</w:t>
      </w:r>
    </w:p>
    <w:p>
      <w:pPr>
        <w:spacing w:after="0" w:line="35" w:lineRule="exact"/>
        <w:rPr>
          <w:rFonts w:ascii="Arial" w:cs="Arial" w:eastAsia="Arial" w:hAnsi="Arial"/>
          <w:sz w:val="17"/>
          <w:szCs w:val="17"/>
          <w:color w:val="auto"/>
        </w:rPr>
      </w:pPr>
    </w:p>
    <w:p>
      <w:pPr>
        <w:jc w:val="both"/>
        <w:ind w:left="800" w:hanging="323"/>
        <w:spacing w:after="0" w:line="268" w:lineRule="auto"/>
        <w:tabs>
          <w:tab w:leader="none" w:pos="7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62" w:lineRule="exact"/>
        <w:rPr>
          <w:rFonts w:ascii="Arial" w:cs="Arial" w:eastAsia="Arial" w:hAnsi="Arial"/>
          <w:sz w:val="17"/>
          <w:szCs w:val="17"/>
          <w:color w:val="auto"/>
        </w:rPr>
      </w:pPr>
    </w:p>
    <w:p>
      <w:pPr>
        <w:jc w:val="both"/>
        <w:ind w:left="800" w:hanging="323"/>
        <w:spacing w:after="0" w:line="278" w:lineRule="auto"/>
        <w:tabs>
          <w:tab w:leader="none" w:pos="7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55"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3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4" w:name="page45"/>
    <w:bookmarkEnd w:id="4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06"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1C.</w:t>
        <w:tab/>
        <w:t>Cybersecurity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Strategy</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rely on information technology and data to operate our business and develop, market and deliver our products and services to our customers. Our critical information technology includes certain computer networks, third-party hosted services, communications systems, software, personal computers and servers (collectively, “Information Technology"), and our critical data includes certain confidential, personal, proprietary and sensitive data (collectively “Confidential Data”). Accordingly, we maintain risk assessment processes designed to identify cybersecurity threats relating to such Information Technology and Confidential Data, and assess potential material impact to our business that may result from such threats. Based on our assessment, we implement and maintain risk management processes designed to protect the confidentiality, integrity and availability of our Information Technology and Confidential Data and mitigate material harm to our business.</w:t>
      </w:r>
    </w:p>
    <w:p>
      <w:pPr>
        <w:spacing w:after="0" w:line="68"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identify such threats by, among other methods, monitoring the threat environment using manual and automated tools, subscribing to reports and services that identify cybersecurity threats, analyzing reports of threats and actors, conducting scans of the threat environment, evaluating our and our industry’s risk profile, evaluating threats reported to us, conducting threat assessments for internal and external threats, and conducting vulnerability assessments.</w:t>
      </w:r>
    </w:p>
    <w:p>
      <w:pPr>
        <w:spacing w:after="0" w:line="6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In the event a threat results in a cybersecurity incident, we have a process for escalating certain cybersecurity incidents from our security team up through our security leadership and ultimately to management.</w:t>
      </w:r>
    </w:p>
    <w:p>
      <w:pPr>
        <w:spacing w:after="0" w:line="36"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Based on our risk assessment process, we implement and maintain various technical, physical and organizational processes designed to manage and mitigate cybersecurity risks that could affect our Information Technology and Confidential Data, and potential material impacts that may result from such risks. We have implemented measures designed to prevent, detect, respond to, mitigate and recover from identified and significant cybersecurity threats. The cybersecurity risk management processes we maintain for our Information Technology and Confidential Data, depending on the particular environment and system processes, are designed to address cybersecurity threats; incident response; vulnerability management; business continuity; incident detection and response; internal and external evaluations to assess our exposure to cybersecurity threats, environment, compliance with risk mitigation procedures, and effectiveness of relevant controls; documented risk assessments; encryption of data; network security; threat modeling; physical and electronic access; physical security; asset management, tracking and disposal; systems monitoring; vendor risk management; employee security training; penetration testing; cyber insurance; and the maintenance of a dedicated cybersecurity team.</w:t>
      </w:r>
    </w:p>
    <w:p>
      <w:pPr>
        <w:spacing w:after="0" w:line="283"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To operate our business, we utilize certain third-party service providers to perform a variety of functions and provide certain security-related services, such as outsourced business critical functions, professional services, SaaS platforms, managed services, cloud-based infrastructure, data center facilities, content delivery to customers, encryption and authentication technology, corporate productivity services, and other functions; as well as third parties that assist us to identify, assess and manage cybersecurity risks, including professional services firms, threat intelligence service providers, cybersecurity software providers, penetration testing firms and other vendors that help to identify, assess or manage cybersecurity risks. For certain vendors, our vendor management process includes evaluating the cybersecurity practices of such provider and contractually imposing obligations on the provider related to the services they provide and/or the information they process.</w:t>
      </w:r>
    </w:p>
    <w:p>
      <w:pPr>
        <w:spacing w:after="0" w:line="68"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For a description of the risks from cybersecurity threats that may materially affect the company and how those risks may affect the company, please refer to Part I, Item 1A. Risk Factors—Risks Related to our Intellectual Property and Technology of this Annual Report on Form 10-K for additional information about cybersecurity-related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5" w:name="page46"/>
    <w:bookmarkEnd w:id="4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Our board of directors oversees our overall risk management strategy. The Audit Committee has general oversight with respect to cybersecurity risk. The Audit Committee has established a cybersecurity subcommittee to discuss issues and risks related to cybersecurity, and it includes one of our board members with cybersecurity experience, and holds regular meetings. This subcommittee has a dedicated agenda during such meetings that are designed to assist the Audit Committee with its cybersecurity oversight and allow it to report to the full Board if necessary. The meetings involve presentations and reports from our management, security leadership and information security team, including updates on relevant cybersecurity threats faced by the company and steps we are taking to address them.</w:t>
      </w:r>
    </w:p>
    <w:p>
      <w:pPr>
        <w:spacing w:after="0" w:line="64"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Our management team is involved with our efforts to prevent, detect, and mitigate cybersecurity incidents by overseeing the implementation and maintenance of our cybersecurity policies and procedures and activities carried out in furtherance of those policies and procedures. The Vice President of Information Technology leads our cybersecurity risk management efforts and helps us assess cybersecurity risks, establish priorities, and determine the scope and details of our cybersecurity program. We have identified certain members of management and relevant employees to oversee our cybersecurity incident response and vulnerability management processes.</w:t>
      </w:r>
    </w:p>
    <w:p>
      <w:pPr>
        <w:spacing w:after="0" w:line="11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w:t>
        <w:tab/>
        <w:t>Properties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details for each of our principal properties: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vMerge w:val="restart"/>
          </w:tcPr>
          <w:p>
            <w:pPr>
              <w:ind w:left="1520"/>
              <w:spacing w:after="0"/>
              <w:rPr>
                <w:sz w:val="20"/>
                <w:szCs w:val="20"/>
                <w:color w:val="auto"/>
              </w:rPr>
            </w:pPr>
            <w:r>
              <w:rPr>
                <w:rFonts w:ascii="Arial" w:cs="Arial" w:eastAsia="Arial" w:hAnsi="Arial"/>
                <w:sz w:val="16"/>
                <w:szCs w:val="16"/>
                <w:b w:val="1"/>
                <w:bCs w:val="1"/>
                <w:color w:val="auto"/>
              </w:rPr>
              <w:t>Facility</w:t>
            </w:r>
          </w:p>
        </w:tc>
        <w:tc>
          <w:tcPr>
            <w:tcW w:w="100" w:type="dxa"/>
            <w:vAlign w:val="bottom"/>
            <w:vMerge w:val="restart"/>
          </w:tcPr>
          <w:p>
            <w:pPr>
              <w:spacing w:after="0"/>
              <w:rPr>
                <w:sz w:val="16"/>
                <w:szCs w:val="16"/>
                <w:color w:val="auto"/>
              </w:rPr>
            </w:pPr>
          </w:p>
        </w:tc>
        <w:tc>
          <w:tcPr>
            <w:tcW w:w="182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Location</w:t>
            </w:r>
          </w:p>
        </w:tc>
        <w:tc>
          <w:tcPr>
            <w:tcW w:w="100" w:type="dxa"/>
            <w:vAlign w:val="bottom"/>
            <w:vMerge w:val="restart"/>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Held</w:t>
            </w:r>
          </w:p>
        </w:tc>
        <w:tc>
          <w:tcPr>
            <w:tcW w:w="100" w:type="dxa"/>
            <w:vAlign w:val="bottom"/>
            <w:vMerge w:val="restart"/>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Approximate Square</w:t>
            </w:r>
          </w:p>
        </w:tc>
        <w:tc>
          <w:tcPr>
            <w:tcW w:w="18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Lease end term</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Footage</w:t>
            </w: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headquarters</w:t>
            </w:r>
          </w:p>
        </w:tc>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Fremont, U.S.</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Leased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40,446</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Sep-2025</w:t>
            </w:r>
          </w:p>
        </w:tc>
        <w:tc>
          <w:tcPr>
            <w:tcW w:w="0" w:type="dxa"/>
            <w:vAlign w:val="bottom"/>
          </w:tcPr>
          <w:p>
            <w:pPr>
              <w:spacing w:after="0"/>
              <w:rPr>
                <w:sz w:val="1"/>
                <w:szCs w:val="1"/>
                <w:color w:val="auto"/>
              </w:rPr>
            </w:pPr>
          </w:p>
        </w:tc>
      </w:tr>
      <w:tr>
        <w:trPr>
          <w:trHeight w:val="209"/>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Customer service support</w:t>
            </w:r>
          </w:p>
        </w:tc>
        <w:tc>
          <w:tcPr>
            <w:tcW w:w="1920" w:type="dxa"/>
            <w:vAlign w:val="bottom"/>
            <w:gridSpan w:val="2"/>
          </w:tcPr>
          <w:p>
            <w:pPr>
              <w:spacing w:after="0"/>
              <w:rPr>
                <w:sz w:val="20"/>
                <w:szCs w:val="20"/>
                <w:color w:val="auto"/>
              </w:rPr>
            </w:pPr>
            <w:r>
              <w:rPr>
                <w:rFonts w:ascii="Arial" w:cs="Arial" w:eastAsia="Arial" w:hAnsi="Arial"/>
                <w:sz w:val="16"/>
                <w:szCs w:val="16"/>
                <w:color w:val="auto"/>
              </w:rPr>
              <w:t>Boise, U.S.</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Leased</w:t>
            </w:r>
          </w:p>
        </w:tc>
        <w:tc>
          <w:tcPr>
            <w:tcW w:w="1820" w:type="dxa"/>
            <w:vAlign w:val="bottom"/>
          </w:tcPr>
          <w:p>
            <w:pPr>
              <w:jc w:val="center"/>
              <w:spacing w:after="0"/>
              <w:rPr>
                <w:sz w:val="20"/>
                <w:szCs w:val="20"/>
                <w:color w:val="auto"/>
              </w:rPr>
            </w:pPr>
            <w:r>
              <w:rPr>
                <w:rFonts w:ascii="Arial" w:cs="Arial" w:eastAsia="Arial" w:hAnsi="Arial"/>
                <w:sz w:val="16"/>
                <w:szCs w:val="16"/>
                <w:color w:val="auto"/>
              </w:rPr>
              <w:t>24,688</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8"/>
              </w:rPr>
              <w:t>Jan-2027</w:t>
            </w:r>
          </w:p>
        </w:tc>
        <w:tc>
          <w:tcPr>
            <w:tcW w:w="0" w:type="dxa"/>
            <w:vAlign w:val="bottom"/>
          </w:tcPr>
          <w:p>
            <w:pPr>
              <w:spacing w:after="0"/>
              <w:rPr>
                <w:sz w:val="1"/>
                <w:szCs w:val="1"/>
                <w:color w:val="auto"/>
              </w:rPr>
            </w:pPr>
          </w:p>
        </w:tc>
      </w:tr>
      <w:tr>
        <w:trPr>
          <w:trHeight w:val="211"/>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Administrative office and R&amp;D facility</w:t>
            </w:r>
          </w:p>
        </w:tc>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Petaluma, U.S.</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Leased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141,231</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Aug-2032</w:t>
            </w:r>
          </w:p>
        </w:tc>
        <w:tc>
          <w:tcPr>
            <w:tcW w:w="0" w:type="dxa"/>
            <w:vAlign w:val="bottom"/>
          </w:tcPr>
          <w:p>
            <w:pPr>
              <w:spacing w:after="0"/>
              <w:rPr>
                <w:sz w:val="1"/>
                <w:szCs w:val="1"/>
                <w:color w:val="auto"/>
              </w:rPr>
            </w:pPr>
          </w:p>
        </w:tc>
      </w:tr>
      <w:tr>
        <w:trPr>
          <w:trHeight w:val="209"/>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Administrative office and R&amp;D facility</w:t>
            </w:r>
          </w:p>
        </w:tc>
        <w:tc>
          <w:tcPr>
            <w:tcW w:w="1920" w:type="dxa"/>
            <w:vAlign w:val="bottom"/>
            <w:gridSpan w:val="2"/>
          </w:tcPr>
          <w:p>
            <w:pPr>
              <w:spacing w:after="0"/>
              <w:rPr>
                <w:sz w:val="20"/>
                <w:szCs w:val="20"/>
                <w:color w:val="auto"/>
              </w:rPr>
            </w:pPr>
            <w:r>
              <w:rPr>
                <w:rFonts w:ascii="Arial" w:cs="Arial" w:eastAsia="Arial" w:hAnsi="Arial"/>
                <w:sz w:val="16"/>
                <w:szCs w:val="16"/>
                <w:color w:val="auto"/>
              </w:rPr>
              <w:t>Austin, U.S.</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Leased</w:t>
            </w:r>
          </w:p>
        </w:tc>
        <w:tc>
          <w:tcPr>
            <w:tcW w:w="1820" w:type="dxa"/>
            <w:vAlign w:val="bottom"/>
          </w:tcPr>
          <w:p>
            <w:pPr>
              <w:jc w:val="center"/>
              <w:spacing w:after="0"/>
              <w:rPr>
                <w:sz w:val="20"/>
                <w:szCs w:val="20"/>
                <w:color w:val="auto"/>
              </w:rPr>
            </w:pPr>
            <w:r>
              <w:rPr>
                <w:rFonts w:ascii="Arial" w:cs="Arial" w:eastAsia="Arial" w:hAnsi="Arial"/>
                <w:sz w:val="16"/>
                <w:szCs w:val="16"/>
                <w:color w:val="auto"/>
              </w:rPr>
              <w:t>18,695</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7"/>
              </w:rPr>
              <w:t>Nov-2033</w:t>
            </w:r>
          </w:p>
        </w:tc>
        <w:tc>
          <w:tcPr>
            <w:tcW w:w="0" w:type="dxa"/>
            <w:vAlign w:val="bottom"/>
          </w:tcPr>
          <w:p>
            <w:pPr>
              <w:spacing w:after="0"/>
              <w:rPr>
                <w:sz w:val="1"/>
                <w:szCs w:val="1"/>
                <w:color w:val="auto"/>
              </w:rPr>
            </w:pPr>
          </w:p>
        </w:tc>
      </w:tr>
      <w:tr>
        <w:trPr>
          <w:trHeight w:val="211"/>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 and sales support, and R&amp;D facility</w:t>
            </w:r>
          </w:p>
        </w:tc>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Germany</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Leased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11,260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Dec-2029</w:t>
            </w:r>
          </w:p>
        </w:tc>
        <w:tc>
          <w:tcPr>
            <w:tcW w:w="0" w:type="dxa"/>
            <w:vAlign w:val="bottom"/>
          </w:tcPr>
          <w:p>
            <w:pPr>
              <w:spacing w:after="0"/>
              <w:rPr>
                <w:sz w:val="1"/>
                <w:szCs w:val="1"/>
                <w:color w:val="auto"/>
              </w:rPr>
            </w:pPr>
          </w:p>
        </w:tc>
      </w:tr>
      <w:tr>
        <w:trPr>
          <w:trHeight w:val="209"/>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Global support office</w:t>
            </w:r>
          </w:p>
        </w:tc>
        <w:tc>
          <w:tcPr>
            <w:tcW w:w="1920" w:type="dxa"/>
            <w:vAlign w:val="bottom"/>
            <w:gridSpan w:val="2"/>
          </w:tcPr>
          <w:p>
            <w:pPr>
              <w:spacing w:after="0"/>
              <w:rPr>
                <w:sz w:val="20"/>
                <w:szCs w:val="20"/>
                <w:color w:val="auto"/>
              </w:rPr>
            </w:pPr>
            <w:r>
              <w:rPr>
                <w:rFonts w:ascii="Arial" w:cs="Arial" w:eastAsia="Arial" w:hAnsi="Arial"/>
                <w:sz w:val="16"/>
                <w:szCs w:val="16"/>
                <w:color w:val="auto"/>
              </w:rPr>
              <w:t>Bengaluru, India</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Leased</w:t>
            </w:r>
          </w:p>
        </w:tc>
        <w:tc>
          <w:tcPr>
            <w:tcW w:w="1820" w:type="dxa"/>
            <w:vAlign w:val="bottom"/>
          </w:tcPr>
          <w:p>
            <w:pPr>
              <w:jc w:val="center"/>
              <w:spacing w:after="0"/>
              <w:rPr>
                <w:sz w:val="20"/>
                <w:szCs w:val="20"/>
                <w:color w:val="auto"/>
              </w:rPr>
            </w:pPr>
            <w:r>
              <w:rPr>
                <w:rFonts w:ascii="Arial" w:cs="Arial" w:eastAsia="Arial" w:hAnsi="Arial"/>
                <w:sz w:val="16"/>
                <w:szCs w:val="16"/>
                <w:color w:val="auto"/>
              </w:rPr>
              <w:t>173,292</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Apr-2026</w:t>
            </w:r>
          </w:p>
        </w:tc>
        <w:tc>
          <w:tcPr>
            <w:tcW w:w="0" w:type="dxa"/>
            <w:vAlign w:val="bottom"/>
          </w:tcPr>
          <w:p>
            <w:pPr>
              <w:spacing w:after="0"/>
              <w:rPr>
                <w:sz w:val="1"/>
                <w:szCs w:val="1"/>
                <w:color w:val="auto"/>
              </w:rPr>
            </w:pPr>
          </w:p>
        </w:tc>
      </w:tr>
      <w:tr>
        <w:trPr>
          <w:trHeight w:val="160"/>
        </w:trPr>
        <w:tc>
          <w:tcPr>
            <w:tcW w:w="36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R&amp;D facility</w:t>
            </w:r>
          </w:p>
        </w:tc>
        <w:tc>
          <w:tcPr>
            <w:tcW w:w="1920" w:type="dxa"/>
            <w:vAlign w:val="bottom"/>
            <w:gridSpan w:val="2"/>
            <w:shd w:val="clear" w:color="auto" w:fill="CCEEFF"/>
          </w:tcPr>
          <w:p>
            <w:pPr>
              <w:spacing w:after="0" w:line="160" w:lineRule="exact"/>
              <w:rPr>
                <w:sz w:val="20"/>
                <w:szCs w:val="20"/>
                <w:color w:val="auto"/>
              </w:rPr>
            </w:pPr>
            <w:r>
              <w:rPr>
                <w:rFonts w:ascii="Arial" w:cs="Arial" w:eastAsia="Arial" w:hAnsi="Arial"/>
                <w:sz w:val="16"/>
                <w:szCs w:val="16"/>
                <w:color w:val="auto"/>
              </w:rPr>
              <w:t>Christchurch, New</w:t>
            </w:r>
          </w:p>
        </w:tc>
        <w:tc>
          <w:tcPr>
            <w:tcW w:w="19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5"/>
              </w:rPr>
              <w:t>Leased</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27,099</w:t>
            </w:r>
          </w:p>
        </w:tc>
        <w:tc>
          <w:tcPr>
            <w:tcW w:w="100" w:type="dxa"/>
            <w:vAlign w:val="bottom"/>
            <w:shd w:val="clear" w:color="auto" w:fill="CCEEFF"/>
          </w:tcPr>
          <w:p>
            <w:pPr>
              <w:spacing w:after="0"/>
              <w:rPr>
                <w:sz w:val="13"/>
                <w:szCs w:val="13"/>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7"/>
              </w:rPr>
              <w:t>Sep-2031</w:t>
            </w:r>
          </w:p>
        </w:tc>
        <w:tc>
          <w:tcPr>
            <w:tcW w:w="0" w:type="dxa"/>
            <w:vAlign w:val="bottom"/>
          </w:tcPr>
          <w:p>
            <w:pPr>
              <w:spacing w:after="0"/>
              <w:rPr>
                <w:sz w:val="1"/>
                <w:szCs w:val="1"/>
                <w:color w:val="auto"/>
              </w:rPr>
            </w:pPr>
          </w:p>
        </w:tc>
      </w:tr>
      <w:tr>
        <w:trPr>
          <w:trHeight w:val="209"/>
        </w:trPr>
        <w:tc>
          <w:tcPr>
            <w:tcW w:w="3660" w:type="dxa"/>
            <w:vAlign w:val="bottom"/>
            <w:gridSpan w:val="2"/>
            <w:vMerge w:val="continue"/>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Zealand</w:t>
            </w:r>
          </w:p>
        </w:tc>
        <w:tc>
          <w:tcPr>
            <w:tcW w:w="1920" w:type="dxa"/>
            <w:vAlign w:val="bottom"/>
            <w:gridSpan w:val="2"/>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Marketing and sales support</w:t>
            </w:r>
          </w:p>
        </w:tc>
        <w:tc>
          <w:tcPr>
            <w:tcW w:w="1920" w:type="dxa"/>
            <w:vAlign w:val="bottom"/>
            <w:gridSpan w:val="2"/>
          </w:tcPr>
          <w:p>
            <w:pPr>
              <w:spacing w:after="0"/>
              <w:rPr>
                <w:sz w:val="20"/>
                <w:szCs w:val="20"/>
                <w:color w:val="auto"/>
              </w:rPr>
            </w:pPr>
            <w:r>
              <w:rPr>
                <w:rFonts w:ascii="Arial" w:cs="Arial" w:eastAsia="Arial" w:hAnsi="Arial"/>
                <w:sz w:val="16"/>
                <w:szCs w:val="16"/>
                <w:color w:val="auto"/>
              </w:rPr>
              <w:t>Melbourne, Australia</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Leased</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4,478</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Jul-2026</w:t>
            </w:r>
          </w:p>
        </w:tc>
        <w:tc>
          <w:tcPr>
            <w:tcW w:w="0" w:type="dxa"/>
            <w:vAlign w:val="bottom"/>
          </w:tcPr>
          <w:p>
            <w:pPr>
              <w:spacing w:after="0"/>
              <w:rPr>
                <w:sz w:val="1"/>
                <w:szCs w:val="1"/>
                <w:color w:val="auto"/>
              </w:rPr>
            </w:pPr>
          </w:p>
        </w:tc>
      </w:tr>
      <w:tr>
        <w:trPr>
          <w:trHeight w:val="160"/>
        </w:trPr>
        <w:tc>
          <w:tcPr>
            <w:tcW w:w="36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Marketing and sales support</w:t>
            </w:r>
          </w:p>
        </w:tc>
        <w:tc>
          <w:tcPr>
            <w:tcW w:w="1920" w:type="dxa"/>
            <w:vAlign w:val="bottom"/>
            <w:gridSpan w:val="2"/>
            <w:shd w:val="clear" w:color="auto" w:fill="CCEEFF"/>
          </w:tcPr>
          <w:p>
            <w:pPr>
              <w:spacing w:after="0" w:line="160" w:lineRule="exact"/>
              <w:rPr>
                <w:sz w:val="20"/>
                <w:szCs w:val="20"/>
                <w:color w:val="auto"/>
              </w:rPr>
            </w:pPr>
            <w:r>
              <w:rPr>
                <w:rFonts w:ascii="Arial" w:cs="Arial" w:eastAsia="Arial" w:hAnsi="Arial"/>
                <w:sz w:val="16"/>
                <w:szCs w:val="16"/>
                <w:color w:val="auto"/>
              </w:rPr>
              <w:t>s-Hertogenbosch,</w:t>
            </w:r>
          </w:p>
        </w:tc>
        <w:tc>
          <w:tcPr>
            <w:tcW w:w="19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5"/>
              </w:rPr>
              <w:t>Leased</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6,997</w:t>
            </w:r>
          </w:p>
        </w:tc>
        <w:tc>
          <w:tcPr>
            <w:tcW w:w="100" w:type="dxa"/>
            <w:vAlign w:val="bottom"/>
            <w:shd w:val="clear" w:color="auto" w:fill="CCEEFF"/>
          </w:tcPr>
          <w:p>
            <w:pPr>
              <w:spacing w:after="0"/>
              <w:rPr>
                <w:sz w:val="13"/>
                <w:szCs w:val="13"/>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Jan-2026</w:t>
            </w:r>
          </w:p>
        </w:tc>
        <w:tc>
          <w:tcPr>
            <w:tcW w:w="0" w:type="dxa"/>
            <w:vAlign w:val="bottom"/>
          </w:tcPr>
          <w:p>
            <w:pPr>
              <w:spacing w:after="0"/>
              <w:rPr>
                <w:sz w:val="1"/>
                <w:szCs w:val="1"/>
                <w:color w:val="auto"/>
              </w:rPr>
            </w:pPr>
          </w:p>
        </w:tc>
      </w:tr>
      <w:tr>
        <w:trPr>
          <w:trHeight w:val="209"/>
        </w:trPr>
        <w:tc>
          <w:tcPr>
            <w:tcW w:w="3660" w:type="dxa"/>
            <w:vAlign w:val="bottom"/>
            <w:gridSpan w:val="2"/>
            <w:vMerge w:val="continue"/>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Netherlands</w:t>
            </w:r>
          </w:p>
        </w:tc>
        <w:tc>
          <w:tcPr>
            <w:tcW w:w="1920" w:type="dxa"/>
            <w:vAlign w:val="bottom"/>
            <w:gridSpan w:val="2"/>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3.</w:t>
        <w:tab/>
        <w:t>Legal Proceedings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From time to time, we may be involved in litigation relating to claims arising out of our operations, the ultimate disposition of which could have a material adverse effect on our operations, financial condition, or cash flows. We are not currently aware of any material legal proceedings, in which we are involved.</w:t>
      </w:r>
    </w:p>
    <w:p>
      <w:pPr>
        <w:spacing w:after="0" w:line="15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right="920"/>
        <w:spacing w:after="0" w:line="387" w:lineRule="auto"/>
        <w:rPr>
          <w:sz w:val="20"/>
          <w:szCs w:val="20"/>
          <w:color w:val="auto"/>
        </w:rPr>
      </w:pPr>
      <w:r>
        <w:rPr>
          <w:rFonts w:ascii="Arial" w:cs="Arial" w:eastAsia="Arial" w:hAnsi="Arial"/>
          <w:sz w:val="17"/>
          <w:szCs w:val="17"/>
          <w:b w:val="1"/>
          <w:bCs w:val="1"/>
          <w:color w:val="auto"/>
        </w:rPr>
        <w:t>Item 5. Market for the Registrant’s Common Equity, Related Stockholder Matters and Issuer Purchases of Equity Securities Common Stock</w:t>
      </w:r>
    </w:p>
    <w:p>
      <w:pPr>
        <w:spacing w:after="0" w:line="1"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Our common stock, $0.00001 par value per share, has traded on The Nasdaq Global Market under the stock symbol “ENPH” since March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457835</wp:posOffset>
            </wp:positionV>
            <wp:extent cx="69361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6" w:name="page47"/>
    <w:bookmarkEnd w:id="4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As of February 5, 2024, there were approximately 18 holders of record of our common stock, one of which was Cede &amp; Co., a nominee for Depository Trust Company (“DTC”). All of the shares of our common stock held by brokerage firms, banks and other financial institutions as nominees for beneficial owners are deposited into participant accounts at DTC and are therefore considered to be held of record by Cede &amp; Co. as one stockholder.</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We have never paid any cash dividends on our common stock. We currently anticipate that we will retain any available funds to invest in the growth and operation of our business and we do not anticipate paying any cash dividends in the foreseeable future.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 except as previously disclosed.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Repurchases of Securities</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July 2023, our board of directors authorized the 2023 Repurchase Program (the “2023 Repurchase Program”) pursuant to which we may repurchase up to an aggregate of $ 1.0 billion of our common stock. As of December 31, 2023, we have approximately $790.0 million remaining for repurchase of shares under the 2023 Repurchase Program. Purchases may be completed from time to time in the open market or privately negotiated transactions, including through Rule 10b5-1 plans. The program may be discontinued or amended at any time and expires on July 26, 2026.</w:t>
      </w:r>
    </w:p>
    <w:p>
      <w:pPr>
        <w:spacing w:after="0" w:line="63"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provides information about our repurchases of our common stock during the three months ended December 31, 2023 (in thousands, except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b w:val="1"/>
                <w:bCs w:val="1"/>
                <w:color w:val="auto"/>
              </w:rPr>
              <w:t>Period Ended</w:t>
            </w:r>
          </w:p>
        </w:tc>
        <w:tc>
          <w:tcPr>
            <w:tcW w:w="1960" w:type="dxa"/>
            <w:vAlign w:val="bottom"/>
          </w:tcPr>
          <w:p>
            <w:pPr>
              <w:jc w:val="right"/>
              <w:ind w:right="124"/>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Average Price Paid per</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 of</w:t>
            </w:r>
          </w:p>
        </w:tc>
      </w:tr>
      <w:tr>
        <w:trPr>
          <w:trHeight w:val="170"/>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60" w:type="dxa"/>
            <w:vAlign w:val="bottom"/>
          </w:tcPr>
          <w:p>
            <w:pPr>
              <w:jc w:val="right"/>
              <w:ind w:right="544"/>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(1)</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9"/>
              </w:rPr>
              <w:t>Purchased as Part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jc w:val="center"/>
              <w:ind w:right="86"/>
              <w:spacing w:after="0"/>
              <w:rPr>
                <w:sz w:val="20"/>
                <w:szCs w:val="20"/>
                <w:color w:val="auto"/>
              </w:rPr>
            </w:pPr>
            <w:r>
              <w:rPr>
                <w:rFonts w:ascii="Arial" w:cs="Arial" w:eastAsia="Arial" w:hAnsi="Arial"/>
                <w:sz w:val="14"/>
                <w:szCs w:val="14"/>
                <w:b w:val="1"/>
                <w:bCs w:val="1"/>
                <w:color w:val="auto"/>
                <w:w w:val="98"/>
              </w:rPr>
              <w:t>Shares that May Yet Be</w:t>
            </w:r>
          </w:p>
        </w:tc>
      </w:tr>
      <w:tr>
        <w:trPr>
          <w:trHeight w:val="155"/>
        </w:trPr>
        <w:tc>
          <w:tcPr>
            <w:tcW w:w="10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Publicly Announced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jc w:val="center"/>
              <w:ind w:right="86"/>
              <w:spacing w:after="0" w:line="155" w:lineRule="exact"/>
              <w:rPr>
                <w:sz w:val="20"/>
                <w:szCs w:val="20"/>
                <w:color w:val="auto"/>
              </w:rPr>
            </w:pPr>
            <w:r>
              <w:rPr>
                <w:rFonts w:ascii="Arial" w:cs="Arial" w:eastAsia="Arial" w:hAnsi="Arial"/>
                <w:sz w:val="14"/>
                <w:szCs w:val="14"/>
                <w:b w:val="1"/>
                <w:bCs w:val="1"/>
                <w:color w:val="auto"/>
                <w:w w:val="99"/>
              </w:rPr>
              <w:t>Purchased Under the</w:t>
            </w:r>
          </w:p>
        </w:tc>
      </w:tr>
      <w:tr>
        <w:trPr>
          <w:trHeight w:val="195"/>
        </w:trPr>
        <w:tc>
          <w:tcPr>
            <w:tcW w:w="106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86"/>
              <w:spacing w:after="0" w:line="195" w:lineRule="exact"/>
              <w:rPr>
                <w:sz w:val="20"/>
                <w:szCs w:val="20"/>
                <w:color w:val="auto"/>
              </w:rPr>
            </w:pPr>
            <w:r>
              <w:rPr>
                <w:rFonts w:ascii="Arial" w:cs="Arial" w:eastAsia="Arial" w:hAnsi="Arial"/>
                <w:sz w:val="14"/>
                <w:szCs w:val="14"/>
                <w:b w:val="1"/>
                <w:bCs w:val="1"/>
                <w:color w:val="auto"/>
                <w:w w:val="94"/>
              </w:rPr>
              <w:t>Programs</w:t>
            </w:r>
            <w:r>
              <w:rPr>
                <w:rFonts w:ascii="Arial" w:cs="Arial" w:eastAsia="Arial" w:hAnsi="Arial"/>
                <w:sz w:val="18"/>
                <w:szCs w:val="18"/>
                <w:b w:val="1"/>
                <w:bCs w:val="1"/>
                <w:color w:val="auto"/>
                <w:w w:val="94"/>
                <w:vertAlign w:val="superscript"/>
              </w:rPr>
              <w:t>(2)</w:t>
            </w:r>
          </w:p>
        </w:tc>
      </w:tr>
      <w:tr>
        <w:trPr>
          <w:trHeight w:val="22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2023</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890,000</w:t>
            </w:r>
          </w:p>
        </w:tc>
      </w:tr>
      <w:tr>
        <w:trPr>
          <w:trHeight w:val="235"/>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November 2023</w:t>
            </w:r>
          </w:p>
        </w:tc>
        <w:tc>
          <w:tcPr>
            <w:tcW w:w="1960" w:type="dxa"/>
            <w:vAlign w:val="bottom"/>
          </w:tcPr>
          <w:p>
            <w:pPr>
              <w:jc w:val="right"/>
              <w:ind w:right="4"/>
              <w:spacing w:after="0"/>
              <w:rPr>
                <w:sz w:val="20"/>
                <w:szCs w:val="20"/>
                <w:color w:val="auto"/>
              </w:rPr>
            </w:pPr>
            <w:r>
              <w:rPr>
                <w:rFonts w:ascii="Arial" w:cs="Arial" w:eastAsia="Arial" w:hAnsi="Arial"/>
                <w:sz w:val="16"/>
                <w:szCs w:val="16"/>
                <w:color w:val="auto"/>
              </w:rPr>
              <w:t>954,852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5"/>
              <w:spacing w:after="0"/>
              <w:rPr>
                <w:sz w:val="20"/>
                <w:szCs w:val="20"/>
                <w:color w:val="auto"/>
              </w:rPr>
            </w:pPr>
            <w:r>
              <w:rPr>
                <w:rFonts w:ascii="Arial" w:cs="Arial" w:eastAsia="Arial" w:hAnsi="Arial"/>
                <w:sz w:val="16"/>
                <w:szCs w:val="16"/>
                <w:color w:val="auto"/>
              </w:rPr>
              <w:t>78.54</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954,852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815,002</w:t>
            </w:r>
          </w:p>
        </w:tc>
      </w:tr>
      <w:tr>
        <w:trPr>
          <w:trHeight w:val="23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2023</w:t>
            </w:r>
          </w:p>
        </w:tc>
        <w:tc>
          <w:tcPr>
            <w:tcW w:w="1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228,394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109.46</w:t>
            </w:r>
          </w:p>
        </w:tc>
        <w:tc>
          <w:tcPr>
            <w:tcW w:w="100" w:type="dxa"/>
            <w:vAlign w:val="bottom"/>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228,394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790,002</w:t>
            </w:r>
          </w:p>
        </w:tc>
      </w:tr>
      <w:tr>
        <w:trPr>
          <w:trHeight w:val="200"/>
        </w:trPr>
        <w:tc>
          <w:tcPr>
            <w:tcW w:w="31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960" w:type="dxa"/>
            <w:vAlign w:val="bottom"/>
          </w:tcPr>
          <w:p>
            <w:pPr>
              <w:jc w:val="right"/>
              <w:ind w:right="4"/>
              <w:spacing w:after="0"/>
              <w:rPr>
                <w:sz w:val="20"/>
                <w:szCs w:val="20"/>
                <w:color w:val="auto"/>
              </w:rPr>
            </w:pPr>
            <w:r>
              <w:rPr>
                <w:rFonts w:ascii="Arial" w:cs="Arial" w:eastAsia="Arial" w:hAnsi="Arial"/>
                <w:sz w:val="16"/>
                <w:szCs w:val="16"/>
                <w:color w:val="auto"/>
              </w:rPr>
              <w:t>1,183,246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1,183,246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9"/>
        </w:trPr>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
        </w:trPr>
        <w:tc>
          <w:tcPr>
            <w:tcW w:w="1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10"/>
        </w:trPr>
        <w:tc>
          <w:tcPr>
            <w:tcW w:w="106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tcPr>
          <w:p>
            <w:pPr>
              <w:spacing w:after="0"/>
              <w:rPr>
                <w:sz w:val="9"/>
                <w:szCs w:val="9"/>
                <w:color w:val="auto"/>
              </w:rPr>
            </w:pPr>
          </w:p>
        </w:tc>
      </w:tr>
    </w:tbl>
    <w:p>
      <w:pPr>
        <w:spacing w:after="0" w:line="106" w:lineRule="exact"/>
        <w:rPr>
          <w:sz w:val="20"/>
          <w:szCs w:val="20"/>
          <w:color w:val="auto"/>
        </w:rPr>
      </w:pPr>
    </w:p>
    <w:p>
      <w:pPr>
        <w:ind w:left="400" w:hanging="395"/>
        <w:spacing w:after="0"/>
        <w:tabs>
          <w:tab w:leader="none" w:pos="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Average price paid per share includes brokerage commissions.</w:t>
      </w:r>
    </w:p>
    <w:p>
      <w:pPr>
        <w:spacing w:after="0" w:line="117" w:lineRule="exact"/>
        <w:rPr>
          <w:rFonts w:ascii="Arial" w:cs="Arial" w:eastAsia="Arial" w:hAnsi="Arial"/>
          <w:sz w:val="16"/>
          <w:szCs w:val="16"/>
          <w:color w:val="auto"/>
        </w:rPr>
      </w:pPr>
    </w:p>
    <w:p>
      <w:pPr>
        <w:ind w:left="480" w:right="320" w:hanging="475"/>
        <w:spacing w:after="0" w:line="268" w:lineRule="auto"/>
        <w:tabs>
          <w:tab w:leader="none" w:pos="419" w:val="left"/>
        </w:tabs>
        <w:numPr>
          <w:ilvl w:val="0"/>
          <w:numId w:val="33"/>
        </w:numPr>
        <w:rPr>
          <w:rFonts w:ascii="Arial" w:cs="Arial" w:eastAsia="Arial" w:hAnsi="Arial"/>
          <w:sz w:val="16"/>
          <w:szCs w:val="16"/>
          <w:color w:val="auto"/>
        </w:rPr>
      </w:pPr>
      <w:r>
        <w:rPr>
          <w:rFonts w:ascii="Arial" w:cs="Arial" w:eastAsia="Arial" w:hAnsi="Arial"/>
          <w:sz w:val="16"/>
          <w:szCs w:val="16"/>
          <w:color w:val="auto"/>
        </w:rPr>
        <w:t>During the three months ended December 31, 2023, we repurchased 1,183,246 shares of our common stock at a weighted average price of $84.51 per share for an aggregate amount of $100.0 million.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This section is not “soliciting material” and is not deemed “filed” for purposes of Section 18 of the Exchange Act or otherwise subject to the liabilities of that section, nor shall it be deemed incorporated by reference in any filing under the Securities Act or the Exchange Act, as amended, regardless of any general incorporation language in such filing.</w:t>
      </w:r>
    </w:p>
    <w:p>
      <w:pPr>
        <w:spacing w:after="0" w:line="55"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graph depicted below shows a comparison of cumulative total stockholder returns for our common stock, the S&amp;P 500 Index and the Invesco Solar ETF for the period from December 31, 2018 to December 31, 2023. An investment of $100 is assumed to have been made in our common stock and in each index on December 31, 2018, all dividends were reinvested, and the relative performance of the investments are tracked through December 31, 2023. The information shown is historical and stockholder returns over the indicated period should not be considered indicative of future stockholder returns or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7" w:name="page48"/>
    <w:bookmarkEnd w:id="4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552450</wp:posOffset>
            </wp:positionV>
            <wp:extent cx="5678805" cy="32975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78805" cy="329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160" w:type="dxa"/>
            <w:vAlign w:val="bottom"/>
          </w:tcPr>
          <w:p>
            <w:pPr>
              <w:jc w:val="right"/>
              <w:ind w:right="125"/>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28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2023</w:t>
            </w:r>
          </w:p>
        </w:tc>
      </w:tr>
      <w:tr>
        <w:trPr>
          <w:trHeight w:val="203"/>
        </w:trPr>
        <w:tc>
          <w:tcPr>
            <w:tcW w:w="2880" w:type="dxa"/>
            <w:vAlign w:val="bottom"/>
            <w:shd w:val="clear" w:color="auto" w:fill="CCEEFF"/>
          </w:tcPr>
          <w:p>
            <w:pPr>
              <w:ind w:left="60"/>
              <w:spacing w:after="0"/>
              <w:rPr>
                <w:sz w:val="20"/>
                <w:szCs w:val="20"/>
                <w:color w:val="auto"/>
              </w:rPr>
            </w:pPr>
            <w:r>
              <w:rPr>
                <w:rFonts w:ascii="Arial" w:cs="Arial" w:eastAsia="Arial" w:hAnsi="Arial"/>
                <w:sz w:val="16"/>
                <w:szCs w:val="16"/>
                <w:color w:val="auto"/>
              </w:rPr>
              <w:t>Enphase Energy, Inc.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3,710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3,868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w:t>
            </w:r>
          </w:p>
        </w:tc>
      </w:tr>
      <w:tr>
        <w:trPr>
          <w:trHeight w:val="209"/>
        </w:trPr>
        <w:tc>
          <w:tcPr>
            <w:tcW w:w="2880" w:type="dxa"/>
            <w:vAlign w:val="bottom"/>
          </w:tcPr>
          <w:p>
            <w:pPr>
              <w:ind w:left="60"/>
              <w:spacing w:after="0"/>
              <w:rPr>
                <w:sz w:val="20"/>
                <w:szCs w:val="20"/>
                <w:color w:val="auto"/>
              </w:rPr>
            </w:pPr>
            <w:r>
              <w:rPr>
                <w:rFonts w:ascii="Arial" w:cs="Arial" w:eastAsia="Arial" w:hAnsi="Arial"/>
                <w:sz w:val="16"/>
                <w:szCs w:val="16"/>
                <w:color w:val="auto"/>
              </w:rPr>
              <w:t>S&amp;P 500 Index</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11"/>
        </w:trPr>
        <w:tc>
          <w:tcPr>
            <w:tcW w:w="288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Invesco Solar ETF</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r>
    </w:tbl>
    <w:p>
      <w:pPr>
        <w:spacing w:after="0" w:line="270"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6.</w:t>
        <w:tab/>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520700</wp:posOffset>
            </wp:positionV>
            <wp:extent cx="69361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8" w:name="page49"/>
    <w:bookmarkEnd w:id="4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7.</w:t>
        <w:tab/>
        <w:t>Management’s Discussion and Analysis of Financial Condition and Results of Operations</w:t>
      </w:r>
    </w:p>
    <w:p>
      <w:pPr>
        <w:spacing w:after="0" w:line="174" w:lineRule="exact"/>
        <w:rPr>
          <w:sz w:val="20"/>
          <w:szCs w:val="20"/>
          <w:color w:val="auto"/>
        </w:rPr>
      </w:pPr>
    </w:p>
    <w:p>
      <w:pPr>
        <w:ind w:right="360"/>
        <w:spacing w:after="0" w:line="300" w:lineRule="auto"/>
        <w:rPr>
          <w:sz w:val="20"/>
          <w:szCs w:val="20"/>
          <w:color w:val="auto"/>
        </w:rPr>
      </w:pPr>
      <w:r>
        <w:rPr>
          <w:rFonts w:ascii="Arial" w:cs="Arial" w:eastAsia="Arial" w:hAnsi="Arial"/>
          <w:sz w:val="17"/>
          <w:szCs w:val="17"/>
          <w:i w:val="1"/>
          <w:iCs w:val="1"/>
          <w:color w:val="auto"/>
        </w:rPr>
        <w:t>The following section generally discusses 2023 results compared to 2022 results. Discussion of 2022 results compared to 2021 results to the extent not included in this report can be found in Part II, Item 7 of our Annual Report on Form 10-K for the year ended December 31, 2022.</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 and 2023 Highlights</w:t>
      </w:r>
    </w:p>
    <w:p>
      <w:pPr>
        <w:spacing w:after="0" w:line="121"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We are a global energy technology company. We deliver smart, easy-to-use solutions that manage solar generation, storage and communication on one platform. Our intelligent microinverters work with virtually every solar panel made, and when paired with our smart technology, results in one of the industry’s best-performing clean energy systems. As of December 31, 2023, we have shipped more than 73.0 million microinverters, and approximately 4.0 million Enphase residential and commercial systems have been deployed in more than 150 countries.</w:t>
      </w:r>
    </w:p>
    <w:p>
      <w:pPr>
        <w:spacing w:after="0" w:line="274"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We sell primarily to solar distributors who combine our products with others, including solar modules products and racking systems, and resell to installers in each target region. In addition to our solar distributors, we sell directly to select large installers, OEMs and strategic partners. Our OEM customers include solar module manufacturers who integrate our microinverters with their solar module products and resell to both distributors and installers. Strategic partners include providers of solar financing solutions. We also sell certain products and services to homeowners primarily in support of our warranty services and legacy product upgrade programs, via our online store.</w:t>
      </w:r>
    </w:p>
    <w:p>
      <w:pPr>
        <w:spacing w:after="0" w:line="63"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During the fiscal year 2023, we began shipments of microinverters from our contract manufacturers in the United States. Moving manufacturing to the United States allows us to take advantage of the benefits of the IRA as well as helps us better serve our customers by cutting down delivery times and diversifying our supply chain.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Global Events Affecting our Business and Operations</w:t>
      </w:r>
    </w:p>
    <w:p>
      <w:pPr>
        <w:spacing w:after="0" w:line="121"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As we have a growing global footprint, we are subject to risk and exposure from the evolving macroeconomic environment, including the effects of increased global inflationary pressures and interest rates, fluctuations in foreign currency exchange rates, potential economic slowdowns or recessions, and geopolitical pressures, including the unknown impacts of current and future trade regulations and the armed conflicts in Ukraine, the Gaza Strip and nearby areas. We continuously monitor the direct and indirect impacts of these circumstances on our business and financial results.</w:t>
      </w:r>
    </w:p>
    <w:p>
      <w:pPr>
        <w:spacing w:after="0" w:line="274"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i w:val="1"/>
          <w:iCs w:val="1"/>
          <w:color w:val="auto"/>
        </w:rPr>
        <w:t xml:space="preserve">Demand for Products. </w:t>
      </w:r>
      <w:r>
        <w:rPr>
          <w:rFonts w:ascii="Arial" w:cs="Arial" w:eastAsia="Arial" w:hAnsi="Arial"/>
          <w:sz w:val="17"/>
          <w:szCs w:val="17"/>
          <w:color w:val="auto"/>
        </w:rPr>
        <w:t>The demand environment for our products experienced a broad-based slowdown beginning in the second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2023 in the United States and in the third quarter of 2023 in Europe that continued into the fourth quarter. This resulted in elevated inventory with distributors and installers, and as a result we sold fewer microinverters to distributors and installers during the second half of 2023 compared to the first half of 2023 as they responded to this slower demand environment. In the United States, this slowdown was primarily the result of higher interest rates and the transition from NEM 2.0 to NEM 3.0 in California, which has increased the payback period for our customers in California. In Europe, this slowdown was primarily the result of a decrease in purchases in the second half of 2023 after the initial surge of sales related to onset of the armed conflict in Ukraine in 2022, and overall channel inventory correction. In addition, there has been increased uncertainty in net energy metering policies and solar export penalties in a key European market, which resulted in lower sales in that region. We expect these trends to continue to have an adverse effect on our revenue in 2024.</w:t>
      </w:r>
    </w:p>
    <w:p>
      <w:pPr>
        <w:spacing w:after="0" w:line="73"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In light of the slowdown in demand, in the fourth quarter of 2023, we implemented the 2023 Restructuring Plan to reduce our operating costs, and better align our cost structure with current market conditions, strategic priorities and our ongoing commitment to profitable growth. As part of the 2023 Restructuring Plan, we are reducing our global workforce by approximately 10% and plan to cease operations at our contract manufacturing locations in Romania and Wisconsin, United States, and resize our other contract manufacturing sites, to be closer aligned to expected demand.</w:t>
      </w:r>
    </w:p>
    <w:p>
      <w:pPr>
        <w:spacing w:after="0" w:line="274"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i w:val="1"/>
          <w:iCs w:val="1"/>
          <w:color w:val="auto"/>
        </w:rPr>
        <w:t xml:space="preserve">Inflation Reduction Act of 2022. </w:t>
      </w:r>
      <w:r>
        <w:rPr>
          <w:rFonts w:ascii="Arial" w:cs="Arial" w:eastAsia="Arial" w:hAnsi="Arial"/>
          <w:sz w:val="17"/>
          <w:szCs w:val="17"/>
          <w:color w:val="auto"/>
        </w:rPr>
        <w:t>In August 2022, the IRA was enacted, which includes extension of the ITC as well as the AMPTC to</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incentivize clean energy component sourcing and production of microinverters. The IRA also included an additional 10% ITC for solar system components that are manufactured with a minimum threshold of domestic content. The IRA provides an AMPTC on microinverters of 11 cents per alternating current watt, which had a favorable impact to our results of operations in the year ended December 31, 2023. The AMPTC for microinverters decreases by 25% each year beginning in 2030 and ending after 2032. Under the IRA, the ITC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9" w:name="page50"/>
    <w:bookmarkEnd w:id="4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also extended until 2032 to allow a qualifying homeowner to deduct 30% of the cost of installing residential solar systems from their U.S. federal income taxes, thereby returning a material portion of the purchase price of the residential solar system to homeowners. Under the terms of the current extension, the ITC will remain at 30% through the end of 2032, reduce to 26% for 2033, reduce to 22% for 2034, and further reduce to 0% after the end of 2034 for residential solar systems, unless it is extended before that time. We believe the enactment of the IRA is favorable to our overall business.</w:t>
      </w:r>
    </w:p>
    <w:p>
      <w:pPr>
        <w:spacing w:after="0" w:line="63"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In December 2022, the CPUC approved and voted for NEM 3.0, which has been effective since April 15, 2023. The new policy reduces the compensation earned by solar customers selling extra energy to the grid by a substantial amount. The average export rate in California under NEM 3.0 is approximately $0.05/kWh to $ 0.08/kWh compared to the prior average of $0.25/kWh to $0.35/kWh under NEM 2.0. In November 2023, the CPUC also adopted changes to its Virtual NEM and NEM Aggregation programs that prohibit the netting of import energy charges at multi-meter commercial or agricultural properties with solar energy generated at or adjacent to those properties, except for residential account holders in a multi-family residential property. Both of these policy changes in California reduced demand for solar PV systems in the year ended December 31, 2023 and may continue to do so for future inverter sales. However, the reduction in export compensation under NEM 3.0, coupled with rising utility rates, may encourage deployment of battery energy storage with solar PV systems and mitigate some of the demand reductions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generate revenue from sales of our solutions, which include microinverter and related accessories, an IQ Gateway and IQ Energy Router, cloud-based monitoring services, storage solutions, EV charging solutions, design, proposal, permitting and lead generation services, as well as a platform matching cleantech asset owners to a local and on-demand workforce of service providers, distributors, large installers, OEMs and strategic partners.</w:t>
      </w:r>
    </w:p>
    <w:p>
      <w:pPr>
        <w:spacing w:after="0" w:line="6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Our revenue is affected by changes in the volume and ASPs of our solutions and related accessories, supply and demand, sales incentives and competitive product offerings. Our revenue growth is dependent on our ability to compete effectively in the marketplace by remaining cost competitive, macroeconomic conditions, favorable regulatory environment, developing and introducing new products that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 and Gross Profit</w:t>
      </w:r>
    </w:p>
    <w:p>
      <w:pPr>
        <w:spacing w:after="0" w:line="11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Cost of revenues is comprised primarily of product costs, warranty, manufacturing support personnel and logistics costs, freight costs, inventory write-downs, hosting services costs related to our Enlighten service offering, lead acquisition costs, design and proposal services, depreciation and amortization of manufacturing test equipment, amortization of capitalized software development costs related to our Enlighten service offering and design and proposal services, employee-related expenses associated with proposal and permitting services and design and proposal service customer support. AMPTC earned under the IRA for U.S. manufactured microinverters shipped to customers in the year ended December 31, 2023 are treated as a reduction to cost of revenues based on our interpretation of the most current guidance.</w:t>
      </w:r>
    </w:p>
    <w:p>
      <w:pPr>
        <w:spacing w:after="0" w:line="6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55"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outsource our manufacturing to third-party contract manufacturers and generally negotiate product pricing with them on a quarterly basis. We believe our contract manufacturing partners have sufficient production capacity to meet the anticipated demand for our products for the foreseeable future. However, shortages in the supply of certain key raw materials could adversely affect our ability to meet customer demand for our products. We contract with third parties, including one of our contract manufacturers, to serve as our logistics providers by warehousing and delivering our products in the United States, Canada, Mexico, Europe, Australia, New Zealand, India, Brazil, the Philippines, Thailand, South Africa, and certain other Central American and Asian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0" w:name="page51"/>
    <w:bookmarkEnd w:id="5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Gross profit may vary from quarter to quarter and is primarily affected by our ASPs, product cost, product mix, customer mix, AMPTC, shipping costs, warranty costs and sales volume fluctuations resulting from seasonality.</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Operating expenses consist of research and development, sales and marketing, general and administrative and restructuring and asset impairment charges. Personnel-related costs are the most significant component of each of these expense categories, other than restructuring and asset impairment charges, and include salaries, benefits, payroll taxes, sales commissions, incentive compensation, post-combination expense and stock-based compensation.</w:t>
      </w:r>
    </w:p>
    <w:p>
      <w:pPr>
        <w:spacing w:after="0" w:line="61"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Research and development expense includes personnel-related expenses, third-party design and development costs, testing and evaluation costs, depreciation expense and other indirect costs. Research and development employees are primarily engaged in the design and development of power electronics, semiconductors, powerline communications, networking and software functionality, and storage.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spacing w:after="0" w:line="27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Sales and marketing expense includes personnel-related expenses, travel,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solutions targeting the residential and commercial markets in the United States, Canada, Mexico, Europe, Australia, New Zealand, India, Brazil, the Philippines, Thailand, South Africa and certain other Central American and Asian markets. We expect to continue to expand the geographic reach of our product offerings and explore new sales channels in addressable markets in the future.</w:t>
      </w:r>
    </w:p>
    <w:p>
      <w:pPr>
        <w:spacing w:after="0" w:line="6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General and administrative expense includes personnel-related expenses for our executive, finance, human resources, information technology and legal organizations, facilities costs, and fees for professional services. Fees for professional services consist primarily of outside legal, accounting and information technology consulting costs.</w:t>
      </w:r>
    </w:p>
    <w:p>
      <w:pPr>
        <w:spacing w:after="0" w:line="55"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 xml:space="preserve">Restructuring and asset impairment charges are the net charges resulting from restructuring initiatives implemented in 2022 and 2023 to increase operational efficiencies and execution, reduce operating costs, and better align our workforce and cost structure with current market conditions, as well as reflect our business needs, strategic priorities and ongoing commitment to profitable growth. Under the 2023 Restructuring Plan, costs included in restructuring and asset impairment charges primarily consisted of employee severance and one-time benefits, workforce reorganization charges and asset impairment charges. Refer to </w:t>
      </w:r>
      <w:r>
        <w:rPr>
          <w:rFonts w:ascii="Arial" w:cs="Arial" w:eastAsia="Arial" w:hAnsi="Arial"/>
          <w:sz w:val="17"/>
          <w:szCs w:val="17"/>
          <w:color w:val="0000FF"/>
        </w:rPr>
        <w:t>Note 12.</w:t>
      </w:r>
      <w:r>
        <w:rPr>
          <w:rFonts w:ascii="Arial" w:cs="Arial" w:eastAsia="Arial" w:hAnsi="Arial"/>
          <w:sz w:val="17"/>
          <w:szCs w:val="17"/>
          <w:color w:val="auto"/>
        </w:rPr>
        <w:t xml:space="preserve"> “Restructuring and Asset Impairment Charges,” of the notes to consolidated financial statements included in Part II, Item 8 of this Annual Report on Form 10-K for additional information.</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1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Other income (expense), net primarily consists of interest income on our cash, cash equivalents and marketable securities, amortization of discount or premium on purchase of cash equivalents and marketable securities, gains or losses upon conversion of foreign currency transactions into U.S. dollars, interest expense, changes in fair value of contingent consideration, non-cash interest expense related to the accretion of debt discount and amortization of deferred financing costs, non-cash charges recognized for loss on partial settlement of convertible notes, and the change in fair value of our debt securities.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Benefit (Provision)</w:t>
      </w:r>
    </w:p>
    <w:p>
      <w:pPr>
        <w:spacing w:after="0" w:line="11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are subject to income taxes in the countries where we sell our products. Historically, we have primarily been subject to taxation in the United States because we have sold the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We regularly assess the ability to realize deferred tax assets based on the weight of all available evidence, including such factors as the history of recent earnings and expected future taxable income on a jurisdiction by jurisdiction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1" w:name="page52"/>
    <w:bookmarkEnd w:id="5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Consolidated Statements of Operations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a summary of our consolidated statements of operations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6"/>
          </w:tcPr>
          <w:p>
            <w:pPr>
              <w:jc w:val="center"/>
              <w:ind w:left="682"/>
              <w:spacing w:after="0"/>
              <w:rPr>
                <w:sz w:val="20"/>
                <w:szCs w:val="20"/>
                <w:color w:val="auto"/>
              </w:rPr>
            </w:pPr>
            <w:r>
              <w:rPr>
                <w:rFonts w:ascii="Arial" w:cs="Arial" w:eastAsia="Arial" w:hAnsi="Arial"/>
                <w:sz w:val="14"/>
                <w:szCs w:val="14"/>
                <w:b w:val="1"/>
                <w:bCs w:val="1"/>
                <w:color w:val="auto"/>
                <w:w w:val="99"/>
              </w:rPr>
              <w:t>Years Ended December 31,</w:t>
            </w:r>
          </w:p>
        </w:tc>
        <w:tc>
          <w:tcPr>
            <w:tcW w:w="1100" w:type="dxa"/>
            <w:vAlign w:val="bottom"/>
          </w:tcPr>
          <w:p>
            <w:pPr>
              <w:spacing w:after="0"/>
              <w:rPr>
                <w:sz w:val="16"/>
                <w:szCs w:val="16"/>
                <w:color w:val="auto"/>
              </w:rPr>
            </w:pPr>
          </w:p>
        </w:tc>
      </w:tr>
      <w:tr>
        <w:trPr>
          <w:trHeight w:val="193"/>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4"/>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2,290,786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2,330,853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1,382,049</w:t>
            </w:r>
          </w:p>
        </w:tc>
      </w:tr>
      <w:tr>
        <w:trPr>
          <w:trHeight w:val="20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1,232,398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1,356,258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827,627</w:t>
            </w:r>
          </w:p>
        </w:tc>
      </w:tr>
      <w:tr>
        <w:trPr>
          <w:trHeight w:val="20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1,058,388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974,595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554,422</w:t>
            </w:r>
          </w:p>
        </w:tc>
      </w:tr>
      <w:tr>
        <w:trPr>
          <w:trHeight w:val="189"/>
        </w:trPr>
        <w:tc>
          <w:tcPr>
            <w:tcW w:w="6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168,846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105,526</w:t>
            </w:r>
          </w:p>
        </w:tc>
      </w:tr>
      <w:tr>
        <w:trPr>
          <w:trHeight w:val="209"/>
        </w:trPr>
        <w:tc>
          <w:tcPr>
            <w:tcW w:w="6700" w:type="dxa"/>
            <w:vAlign w:val="bottom"/>
          </w:tcPr>
          <w:p>
            <w:pPr>
              <w:ind w:left="34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231,792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215,102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128,974</w:t>
            </w: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140,002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104,090</w:t>
            </w:r>
          </w:p>
        </w:tc>
      </w:tr>
      <w:tr>
        <w:trPr>
          <w:trHeight w:val="209"/>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Restructuring and asset impairment charges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612,647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526,334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338,590</w:t>
            </w:r>
          </w:p>
        </w:tc>
      </w:tr>
      <w:tr>
        <w:trPr>
          <w:trHeight w:val="202"/>
        </w:trPr>
        <w:tc>
          <w:tcPr>
            <w:tcW w:w="670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445,741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448,261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215,832</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67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69,728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13,656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(45,152)</w:t>
            </w:r>
          </w:p>
        </w:tc>
      </w:tr>
      <w:tr>
        <w:trPr>
          <w:trHeight w:val="209"/>
        </w:trPr>
        <w:tc>
          <w:tcPr>
            <w:tcW w:w="6700" w:type="dxa"/>
            <w:vAlign w:val="bottom"/>
          </w:tcPr>
          <w:p>
            <w:pPr>
              <w:ind w:left="34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6,050</w:t>
            </w: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partial settlement of convertible notes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(56,497)</w:t>
            </w:r>
          </w:p>
        </w:tc>
      </w:tr>
      <w:tr>
        <w:trPr>
          <w:trHeight w:val="202"/>
        </w:trPr>
        <w:tc>
          <w:tcPr>
            <w:tcW w:w="67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other income (expense), net</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67,398</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3,787</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(94,904)</w:t>
            </w:r>
          </w:p>
        </w:tc>
      </w:tr>
      <w:tr>
        <w:trPr>
          <w:trHeight w:val="20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513,139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452,048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120,928</w:t>
            </w:r>
          </w:p>
        </w:tc>
      </w:tr>
      <w:tr>
        <w:trPr>
          <w:trHeight w:val="20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24,521</w:t>
            </w:r>
          </w:p>
        </w:tc>
      </w:tr>
      <w:tr>
        <w:trPr>
          <w:trHeight w:val="22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438,936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397,362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145,449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532765</wp:posOffset>
            </wp:positionV>
            <wp:extent cx="69361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2" w:name="page53"/>
    <w:bookmarkEnd w:id="5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Pr>
          <w:p>
            <w:pPr>
              <w:spacing w:after="0"/>
              <w:rPr>
                <w:sz w:val="16"/>
                <w:szCs w:val="16"/>
                <w:color w:val="auto"/>
              </w:rPr>
            </w:pPr>
          </w:p>
        </w:tc>
        <w:tc>
          <w:tcPr>
            <w:tcW w:w="144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 in</w:t>
            </w:r>
          </w:p>
        </w:tc>
        <w:tc>
          <w:tcPr>
            <w:tcW w:w="840" w:type="dxa"/>
            <w:vAlign w:val="bottom"/>
          </w:tcPr>
          <w:p>
            <w:pPr>
              <w:spacing w:after="0"/>
              <w:rPr>
                <w:sz w:val="16"/>
                <w:szCs w:val="16"/>
                <w:color w:val="auto"/>
              </w:rPr>
            </w:pPr>
          </w:p>
        </w:tc>
      </w:tr>
      <w:tr>
        <w:trPr>
          <w:trHeight w:val="190"/>
        </w:trPr>
        <w:tc>
          <w:tcPr>
            <w:tcW w:w="55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w:t>
            </w:r>
          </w:p>
        </w:tc>
      </w:tr>
      <w:tr>
        <w:trPr>
          <w:trHeight w:val="196"/>
        </w:trPr>
        <w:tc>
          <w:tcPr>
            <w:tcW w:w="5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6"/>
          </w:tcPr>
          <w:p>
            <w:pPr>
              <w:ind w:left="120"/>
              <w:spacing w:after="0"/>
              <w:rPr>
                <w:sz w:val="20"/>
                <w:szCs w:val="20"/>
                <w:color w:val="auto"/>
              </w:rPr>
            </w:pPr>
            <w:r>
              <w:rPr>
                <w:rFonts w:ascii="Arial" w:cs="Arial" w:eastAsia="Arial" w:hAnsi="Arial"/>
                <w:sz w:val="12"/>
                <w:szCs w:val="12"/>
                <w:i w:val="1"/>
                <w:iCs w:val="1"/>
                <w:color w:val="auto"/>
              </w:rPr>
              <w:t>(In thousands, except percentages)</w:t>
            </w:r>
          </w:p>
        </w:tc>
        <w:tc>
          <w:tcPr>
            <w:tcW w:w="840" w:type="dxa"/>
            <w:vAlign w:val="bottom"/>
          </w:tcPr>
          <w:p>
            <w:pPr>
              <w:spacing w:after="0"/>
              <w:rPr>
                <w:sz w:val="17"/>
                <w:szCs w:val="17"/>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2,290,786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2,330,853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bl>
    <w:p>
      <w:pPr>
        <w:spacing w:after="0" w:line="390"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Net revenues decreased by 2%, or $40.1 million, in the year ended December 31, 2023, as compared to the same period in 2022, driven primarily by a decrease in shipments of IQ Batteries to 351.6 Megawatt-hour (“MWh”) in the year ended December 31, 2023, from 508.5 MWh shipped in the year ended December 31, 2022. The decrease in total net revenues was partially offset by an increase in ASP for microinverters, primarily the result of a favorable product mix as we sold more IQ8 microinverters relative to IQ7™ microinverters as well as a slight increase in the volume of microinverter units shipped. We sold approximately 15.5 million microinverter units in the year ended December 31, 2023, as compared to approximately 15.4 million units in the year ended December 31, 2022. The overall decrease in net revenues is due to a broad-based slowdown beginning in the second quarter of 2023 in the United States and the third quarter of 2023 in Europe that resulted in elevated inventory with distributors and installers, and as a result we sold fewer microinverters to distributors and installers during the second half of 2023 compared to the first half of 2023, as distributors and installers responded to this slower demand environment. In the United States, this slowdown was primarily the result of higher interest rates and the transition from NEM 2.0 to NEM 3.0 in California increasing the payback period for our customers. In Europe, this slowdown was primarily the result of a decrease in purchases after the initial surge of sales related to the onset of the armed conflict in Ukraine in 2022, and overall channel inventory correction. In addition, there has been increased uncertainty in net energy metering policies and solar export penalties in a key European market.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 and Gross Margin</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5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44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 in</w:t>
            </w:r>
          </w:p>
        </w:tc>
        <w:tc>
          <w:tcPr>
            <w:tcW w:w="820" w:type="dxa"/>
            <w:vAlign w:val="bottom"/>
          </w:tcPr>
          <w:p>
            <w:pPr>
              <w:spacing w:after="0"/>
              <w:rPr>
                <w:sz w:val="16"/>
                <w:szCs w:val="16"/>
                <w:color w:val="auto"/>
              </w:rPr>
            </w:pPr>
          </w:p>
        </w:tc>
      </w:tr>
      <w:tr>
        <w:trPr>
          <w:trHeight w:val="190"/>
        </w:trPr>
        <w:tc>
          <w:tcPr>
            <w:tcW w:w="538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w:t>
            </w:r>
          </w:p>
        </w:tc>
      </w:tr>
      <w:tr>
        <w:trPr>
          <w:trHeight w:val="307"/>
        </w:trPr>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6"/>
          </w:tcPr>
          <w:p>
            <w:pPr>
              <w:ind w:left="120"/>
              <w:spacing w:after="0"/>
              <w:rPr>
                <w:sz w:val="20"/>
                <w:szCs w:val="20"/>
                <w:color w:val="auto"/>
              </w:rPr>
            </w:pPr>
            <w:r>
              <w:rPr>
                <w:rFonts w:ascii="Arial" w:cs="Arial" w:eastAsia="Arial" w:hAnsi="Arial"/>
                <w:sz w:val="12"/>
                <w:szCs w:val="12"/>
                <w:i w:val="1"/>
                <w:iCs w:val="1"/>
                <w:color w:val="auto"/>
              </w:rPr>
              <w:t>(In thousands, except percentages)</w:t>
            </w:r>
          </w:p>
        </w:tc>
        <w:tc>
          <w:tcPr>
            <w:tcW w:w="820" w:type="dxa"/>
            <w:vAlign w:val="bottom"/>
          </w:tcPr>
          <w:p>
            <w:pPr>
              <w:spacing w:after="0"/>
              <w:rPr>
                <w:sz w:val="24"/>
                <w:szCs w:val="24"/>
                <w:color w:val="auto"/>
              </w:rPr>
            </w:pPr>
          </w:p>
        </w:tc>
      </w:tr>
      <w:tr>
        <w:trPr>
          <w:trHeight w:val="132"/>
        </w:trPr>
        <w:tc>
          <w:tcPr>
            <w:tcW w:w="5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1,232,398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1,356,258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53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8"/>
                <w:szCs w:val="18"/>
                <w:color w:val="auto"/>
              </w:rPr>
            </w:pPr>
          </w:p>
        </w:tc>
        <w:tc>
          <w:tcPr>
            <w:tcW w:w="1180" w:type="dxa"/>
            <w:vAlign w:val="bottom"/>
          </w:tcPr>
          <w:p>
            <w:pPr>
              <w:jc w:val="right"/>
              <w:ind w:right="125"/>
              <w:spacing w:after="0"/>
              <w:rPr>
                <w:sz w:val="20"/>
                <w:szCs w:val="20"/>
                <w:color w:val="auto"/>
              </w:rPr>
            </w:pPr>
            <w:r>
              <w:rPr>
                <w:rFonts w:ascii="Arial" w:cs="Arial" w:eastAsia="Arial" w:hAnsi="Arial"/>
                <w:sz w:val="16"/>
                <w:szCs w:val="16"/>
                <w:color w:val="auto"/>
              </w:rPr>
              <w:t>1,058,388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27"/>
              <w:spacing w:after="0"/>
              <w:rPr>
                <w:sz w:val="20"/>
                <w:szCs w:val="20"/>
                <w:color w:val="auto"/>
              </w:rPr>
            </w:pPr>
            <w:r>
              <w:rPr>
                <w:rFonts w:ascii="Arial" w:cs="Arial" w:eastAsia="Arial" w:hAnsi="Arial"/>
                <w:sz w:val="16"/>
                <w:szCs w:val="16"/>
                <w:color w:val="auto"/>
              </w:rPr>
              <w:t>974,595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83,793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211"/>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bl>
    <w:p>
      <w:pPr>
        <w:spacing w:after="0" w:line="18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Cost of revenues decreased by 9%, or $123.9 million, in the year ended December 31, 2023, as compared to the same period in 2022, primarily due to lower volume of shipments of IQ Batteries as well as the recognition of credits of $53.5 million under the AMPTC for U.S. manufactured microinverters shipped to customers during the year ended December 31, 2023.</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Gross margin increased by 4.4 percentage points in the year ended December 31, 2023, as compared to the same period in 2022. The increase was primarily due to the benefit recognized from tax credits under the AMPTC of approximately 2.3 percentage points, an increase in ASP driven by a favorable product mix as we sold more IQ8 microinverters relative to IQ7 microinverters in the year ended December 31, 2023, and also due to cost management improvements, which included lower shipping costs.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Pr>
          <w:p>
            <w:pPr>
              <w:spacing w:after="0"/>
              <w:rPr>
                <w:sz w:val="16"/>
                <w:szCs w:val="16"/>
                <w:color w:val="auto"/>
              </w:rPr>
            </w:pPr>
          </w:p>
        </w:tc>
        <w:tc>
          <w:tcPr>
            <w:tcW w:w="1120" w:type="dxa"/>
            <w:vAlign w:val="bottom"/>
            <w:gridSpan w:val="3"/>
          </w:tcPr>
          <w:p>
            <w:pPr>
              <w:ind w:left="320"/>
              <w:spacing w:after="0"/>
              <w:rPr>
                <w:sz w:val="20"/>
                <w:szCs w:val="20"/>
                <w:color w:val="auto"/>
              </w:rPr>
            </w:pPr>
            <w:r>
              <w:rPr>
                <w:rFonts w:ascii="Arial" w:cs="Arial" w:eastAsia="Arial" w:hAnsi="Arial"/>
                <w:sz w:val="14"/>
                <w:szCs w:val="14"/>
                <w:b w:val="1"/>
                <w:bCs w:val="1"/>
                <w:color w:val="auto"/>
              </w:rPr>
              <w:t>Change in</w:t>
            </w:r>
          </w:p>
        </w:tc>
        <w:tc>
          <w:tcPr>
            <w:tcW w:w="820" w:type="dxa"/>
            <w:vAlign w:val="bottom"/>
          </w:tcPr>
          <w:p>
            <w:pPr>
              <w:spacing w:after="0"/>
              <w:rPr>
                <w:sz w:val="16"/>
                <w:szCs w:val="16"/>
                <w:color w:val="auto"/>
              </w:rPr>
            </w:pPr>
          </w:p>
        </w:tc>
      </w:tr>
      <w:tr>
        <w:trPr>
          <w:trHeight w:val="190"/>
        </w:trPr>
        <w:tc>
          <w:tcPr>
            <w:tcW w:w="54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w:t>
            </w:r>
          </w:p>
        </w:tc>
      </w:tr>
      <w:tr>
        <w:trPr>
          <w:trHeight w:val="307"/>
        </w:trPr>
        <w:tc>
          <w:tcPr>
            <w:tcW w:w="5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2"/>
                <w:szCs w:val="12"/>
                <w:i w:val="1"/>
                <w:iCs w:val="1"/>
                <w:color w:val="auto"/>
              </w:rPr>
              <w:t>(In thousands, except percentages)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32"/>
        </w:trPr>
        <w:tc>
          <w:tcPr>
            <w:tcW w:w="5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227,336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168,846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6"/>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w w:val="93"/>
              </w:rPr>
              <w:t>58,490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07"/>
        </w:trPr>
        <w:tc>
          <w:tcPr>
            <w:tcW w:w="5400" w:type="dxa"/>
            <w:vAlign w:val="bottom"/>
          </w:tcPr>
          <w:p>
            <w:pPr>
              <w:ind w:left="20"/>
              <w:spacing w:after="0"/>
              <w:rPr>
                <w:sz w:val="20"/>
                <w:szCs w:val="20"/>
                <w:color w:val="auto"/>
              </w:rPr>
            </w:pPr>
            <w:r>
              <w:rPr>
                <w:rFonts w:ascii="Arial" w:cs="Arial" w:eastAsia="Arial" w:hAnsi="Arial"/>
                <w:sz w:val="16"/>
                <w:szCs w:val="16"/>
                <w:color w:val="auto"/>
              </w:rPr>
              <w:t>Percentage of net revenues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551180</wp:posOffset>
            </wp:positionV>
            <wp:extent cx="69361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3" w:name="page54"/>
    <w:bookmarkEnd w:id="5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Research and development expense increased by 35%, or $58.5 million, in the year ended December 31, 2023, as compared to the same period in 2022. The increase was primarily due to $43.1 million of higher personnel-related expenses, $8.1 million of equipment expense, and $7.3 million of professional services and support costs associated with our investment in the development, introduction and qualification of new products. The increase in personnel-related expenses was primarily due to an increase in total compensation costs, including stock-based compensation costs due to hiring and retention programs for employees. The amount of research and development expenses may fluctuate from period to period due to the differing levels and stages of development activity for our products.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5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Pr>
          <w:p>
            <w:pPr>
              <w:spacing w:after="0"/>
              <w:rPr>
                <w:sz w:val="16"/>
                <w:szCs w:val="16"/>
                <w:color w:val="auto"/>
              </w:rPr>
            </w:pPr>
          </w:p>
        </w:tc>
        <w:tc>
          <w:tcPr>
            <w:tcW w:w="1120" w:type="dxa"/>
            <w:vAlign w:val="bottom"/>
            <w:gridSpan w:val="3"/>
          </w:tcPr>
          <w:p>
            <w:pPr>
              <w:ind w:left="320"/>
              <w:spacing w:after="0"/>
              <w:rPr>
                <w:sz w:val="20"/>
                <w:szCs w:val="20"/>
                <w:color w:val="auto"/>
              </w:rPr>
            </w:pPr>
            <w:r>
              <w:rPr>
                <w:rFonts w:ascii="Arial" w:cs="Arial" w:eastAsia="Arial" w:hAnsi="Arial"/>
                <w:sz w:val="14"/>
                <w:szCs w:val="14"/>
                <w:b w:val="1"/>
                <w:bCs w:val="1"/>
                <w:color w:val="auto"/>
              </w:rPr>
              <w:t>Change in</w:t>
            </w:r>
          </w:p>
        </w:tc>
        <w:tc>
          <w:tcPr>
            <w:tcW w:w="820" w:type="dxa"/>
            <w:vAlign w:val="bottom"/>
          </w:tcPr>
          <w:p>
            <w:pPr>
              <w:spacing w:after="0"/>
              <w:rPr>
                <w:sz w:val="16"/>
                <w:szCs w:val="16"/>
                <w:color w:val="auto"/>
              </w:rPr>
            </w:pPr>
          </w:p>
        </w:tc>
      </w:tr>
      <w:tr>
        <w:trPr>
          <w:trHeight w:val="190"/>
        </w:trPr>
        <w:tc>
          <w:tcPr>
            <w:tcW w:w="538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w:t>
            </w:r>
          </w:p>
        </w:tc>
      </w:tr>
      <w:tr>
        <w:trPr>
          <w:trHeight w:val="307"/>
        </w:trPr>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2"/>
                <w:szCs w:val="12"/>
                <w:i w:val="1"/>
                <w:iCs w:val="1"/>
                <w:color w:val="auto"/>
              </w:rPr>
              <w:t>(In thousands, except percentages)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32"/>
        </w:trPr>
        <w:tc>
          <w:tcPr>
            <w:tcW w:w="5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231,792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215,102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16,690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07"/>
        </w:trPr>
        <w:tc>
          <w:tcPr>
            <w:tcW w:w="5380" w:type="dxa"/>
            <w:vAlign w:val="bottom"/>
          </w:tcPr>
          <w:p>
            <w:pPr>
              <w:ind w:left="20"/>
              <w:spacing w:after="0"/>
              <w:rPr>
                <w:sz w:val="20"/>
                <w:szCs w:val="20"/>
                <w:color w:val="auto"/>
              </w:rPr>
            </w:pPr>
            <w:r>
              <w:rPr>
                <w:rFonts w:ascii="Arial" w:cs="Arial" w:eastAsia="Arial" w:hAnsi="Arial"/>
                <w:sz w:val="16"/>
                <w:szCs w:val="16"/>
                <w:color w:val="auto"/>
              </w:rPr>
              <w:t>Percentage of net revenues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16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Sales and marketing expense increased by 8%, or $16.7 million, in the year ended December 31, 2023, as compared to the same period in 2022. The increase was primarily due to $12.3 million of higher personnel-related expenses from a growth in headcount as a result of our efforts to improve customer experience, to provide 24/7 support along with a field service desk for installers and Enphase system owners globally, and to support our business expansion globally. The increase in sales and marketing expense in the year ended December 31, 2023, as compared to the same period in 2022, was also attributable to $3.2 million of higher professional services, advertising costs and equipment costs to support our business expansion and $1.2 million provision for doubtful accounts.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42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 in</w:t>
            </w:r>
          </w:p>
        </w:tc>
        <w:tc>
          <w:tcPr>
            <w:tcW w:w="820" w:type="dxa"/>
            <w:vAlign w:val="bottom"/>
          </w:tcPr>
          <w:p>
            <w:pPr>
              <w:spacing w:after="0"/>
              <w:rPr>
                <w:sz w:val="16"/>
                <w:szCs w:val="16"/>
                <w:color w:val="auto"/>
              </w:rPr>
            </w:pPr>
          </w:p>
        </w:tc>
      </w:tr>
      <w:tr>
        <w:trPr>
          <w:trHeight w:val="190"/>
        </w:trPr>
        <w:tc>
          <w:tcPr>
            <w:tcW w:w="54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w:t>
            </w:r>
          </w:p>
        </w:tc>
      </w:tr>
      <w:tr>
        <w:trPr>
          <w:trHeight w:val="307"/>
        </w:trPr>
        <w:tc>
          <w:tcPr>
            <w:tcW w:w="5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6"/>
          </w:tcPr>
          <w:p>
            <w:pPr>
              <w:ind w:left="60"/>
              <w:spacing w:after="0"/>
              <w:rPr>
                <w:sz w:val="20"/>
                <w:szCs w:val="20"/>
                <w:color w:val="auto"/>
              </w:rPr>
            </w:pPr>
            <w:r>
              <w:rPr>
                <w:rFonts w:ascii="Arial" w:cs="Arial" w:eastAsia="Arial" w:hAnsi="Arial"/>
                <w:sz w:val="12"/>
                <w:szCs w:val="12"/>
                <w:i w:val="1"/>
                <w:iCs w:val="1"/>
                <w:color w:val="auto"/>
              </w:rPr>
              <w:t>(In thousands, except percentages)</w:t>
            </w:r>
          </w:p>
        </w:tc>
        <w:tc>
          <w:tcPr>
            <w:tcW w:w="820" w:type="dxa"/>
            <w:vAlign w:val="bottom"/>
          </w:tcPr>
          <w:p>
            <w:pPr>
              <w:spacing w:after="0"/>
              <w:rPr>
                <w:sz w:val="24"/>
                <w:szCs w:val="24"/>
                <w:color w:val="auto"/>
              </w:rPr>
            </w:pPr>
          </w:p>
        </w:tc>
      </w:tr>
      <w:tr>
        <w:trPr>
          <w:trHeight w:val="132"/>
        </w:trPr>
        <w:tc>
          <w:tcPr>
            <w:tcW w:w="5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137,835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140,002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5400" w:type="dxa"/>
            <w:vAlign w:val="bottom"/>
          </w:tcPr>
          <w:p>
            <w:pPr>
              <w:ind w:left="20"/>
              <w:spacing w:after="0"/>
              <w:rPr>
                <w:sz w:val="20"/>
                <w:szCs w:val="20"/>
                <w:color w:val="auto"/>
              </w:rPr>
            </w:pPr>
            <w:r>
              <w:rPr>
                <w:rFonts w:ascii="Arial" w:cs="Arial" w:eastAsia="Arial" w:hAnsi="Arial"/>
                <w:sz w:val="16"/>
                <w:szCs w:val="16"/>
                <w:color w:val="auto"/>
              </w:rPr>
              <w:t>Percentage of net revenues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182"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General and administrative expense decreased by 2%, or $2.2 million, in the year ended December 31, 2023, as compared to the same period in 2022. The decrease was primarily due to $11.3 million of lower personnel-related expenses, primarily related to $10.4 million lower stock-based compensation due to lower estimated achievement with performance stock units granted in 2023, offset by $5.6 million of higher legal and professional services and $3.5 million higher facility costs to support scalability of our business expansion.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Asset Impairment Charges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Change in</w:t>
            </w:r>
          </w:p>
        </w:tc>
        <w:tc>
          <w:tcPr>
            <w:tcW w:w="720" w:type="dxa"/>
            <w:vAlign w:val="bottom"/>
            <w:tcBorders>
              <w:bottom w:val="single" w:sz="8" w:color="auto"/>
            </w:tcBorders>
          </w:tcPr>
          <w:p>
            <w:pPr>
              <w:spacing w:after="0"/>
              <w:rPr>
                <w:sz w:val="16"/>
                <w:szCs w:val="16"/>
                <w:color w:val="auto"/>
              </w:rPr>
            </w:pPr>
          </w:p>
        </w:tc>
      </w:tr>
      <w:tr>
        <w:trPr>
          <w:trHeight w:val="190"/>
        </w:trPr>
        <w:tc>
          <w:tcPr>
            <w:tcW w:w="5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w:t>
            </w:r>
          </w:p>
        </w:tc>
      </w:tr>
      <w:tr>
        <w:trPr>
          <w:trHeight w:val="307"/>
        </w:trPr>
        <w:tc>
          <w:tcPr>
            <w:tcW w:w="5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7"/>
          </w:tcPr>
          <w:p>
            <w:pPr>
              <w:ind w:left="360"/>
              <w:spacing w:after="0"/>
              <w:rPr>
                <w:sz w:val="20"/>
                <w:szCs w:val="20"/>
                <w:color w:val="auto"/>
              </w:rPr>
            </w:pPr>
            <w:r>
              <w:rPr>
                <w:rFonts w:ascii="Arial" w:cs="Arial" w:eastAsia="Arial" w:hAnsi="Arial"/>
                <w:sz w:val="12"/>
                <w:szCs w:val="12"/>
                <w:i w:val="1"/>
                <w:iCs w:val="1"/>
                <w:color w:val="auto"/>
              </w:rPr>
              <w:t>(In thousands, except percentages)</w:t>
            </w:r>
          </w:p>
        </w:tc>
        <w:tc>
          <w:tcPr>
            <w:tcW w:w="720" w:type="dxa"/>
            <w:vAlign w:val="bottom"/>
          </w:tcPr>
          <w:p>
            <w:pPr>
              <w:spacing w:after="0"/>
              <w:rPr>
                <w:sz w:val="24"/>
                <w:szCs w:val="24"/>
                <w:color w:val="auto"/>
              </w:rPr>
            </w:pPr>
          </w:p>
        </w:tc>
      </w:tr>
      <w:tr>
        <w:trPr>
          <w:trHeight w:val="132"/>
        </w:trPr>
        <w:tc>
          <w:tcPr>
            <w:tcW w:w="5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and asset impairment charges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15,684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94"/>
              </w:rPr>
              <w:t>2,384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558 %</w:t>
            </w:r>
          </w:p>
        </w:tc>
      </w:tr>
      <w:tr>
        <w:trPr>
          <w:trHeight w:val="207"/>
        </w:trPr>
        <w:tc>
          <w:tcPr>
            <w:tcW w:w="5400" w:type="dxa"/>
            <w:vAlign w:val="bottom"/>
          </w:tcPr>
          <w:p>
            <w:pPr>
              <w:ind w:left="20"/>
              <w:spacing w:after="0"/>
              <w:rPr>
                <w:sz w:val="20"/>
                <w:szCs w:val="20"/>
                <w:color w:val="auto"/>
              </w:rPr>
            </w:pPr>
            <w:r>
              <w:rPr>
                <w:rFonts w:ascii="Arial" w:cs="Arial" w:eastAsia="Arial" w:hAnsi="Arial"/>
                <w:sz w:val="16"/>
                <w:szCs w:val="16"/>
                <w:color w:val="auto"/>
              </w:rPr>
              <w:t>Percentage of net revenues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0.7 %</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182"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7"/>
          <w:szCs w:val="17"/>
          <w:color w:val="auto"/>
        </w:rPr>
        <w:t>Restructuring and asset impairment charges are the net charges resulting from restructuring initiatives implemented in 2022 and 2023. We implemented the 2023 Restructuring Plan in the fourth quarter of 2023 to increase operational efficiencies, reduce operating costs, and to better align our workforce and cost structure with current market conditions, our business needs, and strategic priorities.</w:t>
      </w:r>
    </w:p>
    <w:p>
      <w:pPr>
        <w:spacing w:after="0" w:line="55"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7"/>
          <w:szCs w:val="17"/>
          <w:color w:val="auto"/>
        </w:rPr>
        <w:t>Restructuring charges of $15.7 million in the year ended December 31, 2023, primarily consisted of $9.7 million of asset impairment charges, $3.7 million of contract termination charges and $1.4 million of employee severance and one-time benefits. Restructuring charges of $2.4 million in the year ended December 31, 2022, primarily consisted of one-time termination benefits and other employee-related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470535</wp:posOffset>
            </wp:positionV>
            <wp:extent cx="69361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4" w:name="page55"/>
    <w:bookmarkEnd w:id="5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558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 in</w:t>
            </w:r>
          </w:p>
        </w:tc>
        <w:tc>
          <w:tcPr>
            <w:tcW w:w="840" w:type="dxa"/>
            <w:vAlign w:val="bottom"/>
            <w:tcBorders>
              <w:bottom w:val="single" w:sz="8" w:color="auto"/>
            </w:tcBorders>
          </w:tcPr>
          <w:p>
            <w:pPr>
              <w:spacing w:after="0"/>
              <w:rPr>
                <w:sz w:val="16"/>
                <w:szCs w:val="16"/>
                <w:color w:val="auto"/>
              </w:rPr>
            </w:pPr>
          </w:p>
        </w:tc>
      </w:tr>
      <w:tr>
        <w:trPr>
          <w:trHeight w:val="190"/>
        </w:trPr>
        <w:tc>
          <w:tcPr>
            <w:tcW w:w="55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w:t>
            </w:r>
          </w:p>
        </w:tc>
      </w:tr>
      <w:tr>
        <w:trPr>
          <w:trHeight w:val="196"/>
        </w:trPr>
        <w:tc>
          <w:tcPr>
            <w:tcW w:w="5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7"/>
          </w:tcPr>
          <w:p>
            <w:pPr>
              <w:ind w:left="360"/>
              <w:spacing w:after="0"/>
              <w:rPr>
                <w:sz w:val="20"/>
                <w:szCs w:val="20"/>
                <w:color w:val="auto"/>
              </w:rPr>
            </w:pPr>
            <w:r>
              <w:rPr>
                <w:rFonts w:ascii="Arial" w:cs="Arial" w:eastAsia="Arial" w:hAnsi="Arial"/>
                <w:sz w:val="12"/>
                <w:szCs w:val="12"/>
                <w:i w:val="1"/>
                <w:iCs w:val="1"/>
                <w:color w:val="auto"/>
              </w:rPr>
              <w:t>(In thousands, except percentages)</w:t>
            </w:r>
          </w:p>
        </w:tc>
        <w:tc>
          <w:tcPr>
            <w:tcW w:w="840" w:type="dxa"/>
            <w:vAlign w:val="bottom"/>
          </w:tcPr>
          <w:p>
            <w:pPr>
              <w:spacing w:after="0"/>
              <w:rPr>
                <w:sz w:val="17"/>
                <w:szCs w:val="17"/>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86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69,728</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13,656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56,072</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411 %</w:t>
            </w:r>
          </w:p>
        </w:tc>
      </w:tr>
      <w:tr>
        <w:trPr>
          <w:trHeight w:val="235"/>
        </w:trPr>
        <w:tc>
          <w:tcPr>
            <w:tcW w:w="55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(8,839)</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(9,438)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599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8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6,509</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6,940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r>
      <w:tr>
        <w:trPr>
          <w:trHeight w:val="204"/>
        </w:trPr>
        <w:tc>
          <w:tcPr>
            <w:tcW w:w="5580" w:type="dxa"/>
            <w:vAlign w:val="bottom"/>
          </w:tcPr>
          <w:p>
            <w:pPr>
              <w:ind w:left="20"/>
              <w:spacing w:after="0"/>
              <w:rPr>
                <w:sz w:val="20"/>
                <w:szCs w:val="20"/>
                <w:color w:val="auto"/>
              </w:rPr>
            </w:pPr>
            <w:r>
              <w:rPr>
                <w:rFonts w:ascii="Arial" w:cs="Arial" w:eastAsia="Arial" w:hAnsi="Arial"/>
                <w:sz w:val="16"/>
                <w:szCs w:val="16"/>
                <w:color w:val="auto"/>
              </w:rPr>
              <w:t>Total other income (expense), net</w:t>
            </w:r>
          </w:p>
        </w:tc>
        <w:tc>
          <w:tcPr>
            <w:tcW w:w="860" w:type="dxa"/>
            <w:vAlign w:val="bottom"/>
            <w:tcBorders>
              <w:bottom w:val="single" w:sz="8" w:color="auto"/>
            </w:tcBorders>
          </w:tcPr>
          <w:p>
            <w:pPr>
              <w:jc w:val="right"/>
              <w:ind w:right="686"/>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67,398</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63,611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1,680 %</w:t>
            </w:r>
          </w:p>
        </w:tc>
      </w:tr>
      <w:tr>
        <w:trPr>
          <w:trHeight w:val="20"/>
        </w:trPr>
        <w:tc>
          <w:tcPr>
            <w:tcW w:w="5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Interest income of $69.7 million in the year ended December 31, 2023 increased, as compared to $13.7 million for the year ended December 31, 2022, primarily due to an increase in interest rates earned and a higher average cash, cash equivalents and marketable securities balance in the year ended December 31, 2023, as compared to the same period in 2022.</w:t>
      </w:r>
    </w:p>
    <w:p>
      <w:pPr>
        <w:spacing w:after="0" w:line="55" w:lineRule="exact"/>
        <w:rPr>
          <w:sz w:val="20"/>
          <w:szCs w:val="20"/>
          <w:color w:val="auto"/>
        </w:rPr>
      </w:pPr>
    </w:p>
    <w:p>
      <w:pPr>
        <w:jc w:val="both"/>
        <w:ind w:firstLine="629"/>
        <w:spacing w:after="0" w:line="266" w:lineRule="auto"/>
        <w:rPr>
          <w:sz w:val="20"/>
          <w:szCs w:val="20"/>
          <w:color w:val="auto"/>
        </w:rPr>
      </w:pPr>
      <w:r>
        <w:rPr>
          <w:rFonts w:ascii="Arial" w:cs="Arial" w:eastAsia="Arial" w:hAnsi="Arial"/>
          <w:sz w:val="17"/>
          <w:szCs w:val="17"/>
          <w:color w:val="auto"/>
        </w:rPr>
        <w:t>Interest expense of $8.8 million in the year ended December 31, 2023, primarily included $8.4 million for the coupon interest, debt discount amortization with the Notes due 2025 and amortization of debt issuance costs with the Notes due 2023, Notes due 2025, Notes due 2026 and Notes due 2028, and $0.4 million interest incurred with the Notes due 2025 and the Notes due 2023. Interest expense of $9.4 million in the year ended December 31, 2022, primarily related to $9.2 million for the coupon interest expense, debt discount amortization with the Notes due 2025, amortization of debt issuance costs with the Notes due 2023, Notes due 2025, Notes due 2026 and Notes due 2028, and $0.2 million accretion of interest expense on contingent consideration for an acquisition.</w:t>
      </w:r>
    </w:p>
    <w:p>
      <w:pPr>
        <w:spacing w:after="0" w:line="64"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Other income (expense), net of $6.5 million in the year ended December 31, 2023, primarily related to $8.7 million non-cash net gain related to change in the fair value of debt securities, partially offset by $2.1 million net loss due to foreign currency denominated monetary assets and liabilities and $ 0.1 million in realized loss on investments. Other income (expense), net of $0.4 million in the year ended December 31, 2022, primarily related to a $0.9 million net loss due to foreign currency denominated monetary assets and liabilities and a $0.3 million impairment of a note receivable, partially offset by a $0.7 million non-cash net gain related to a change in the fair value of debt securities and $0.1 million in interest income.</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Provision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Change in</w:t>
            </w:r>
          </w:p>
        </w:tc>
        <w:tc>
          <w:tcPr>
            <w:tcW w:w="840" w:type="dxa"/>
            <w:vAlign w:val="bottom"/>
            <w:tcBorders>
              <w:bottom w:val="single" w:sz="8" w:color="auto"/>
            </w:tcBorders>
          </w:tcPr>
          <w:p>
            <w:pPr>
              <w:spacing w:after="0"/>
              <w:rPr>
                <w:sz w:val="16"/>
                <w:szCs w:val="16"/>
                <w:color w:val="auto"/>
              </w:rPr>
            </w:pPr>
          </w:p>
        </w:tc>
      </w:tr>
      <w:tr>
        <w:trPr>
          <w:trHeight w:val="190"/>
        </w:trPr>
        <w:tc>
          <w:tcPr>
            <w:tcW w:w="56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w:t>
            </w:r>
          </w:p>
        </w:tc>
      </w:tr>
      <w:tr>
        <w:trPr>
          <w:trHeight w:val="196"/>
        </w:trPr>
        <w:tc>
          <w:tcPr>
            <w:tcW w:w="5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gridSpan w:val="7"/>
          </w:tcPr>
          <w:p>
            <w:pPr>
              <w:ind w:left="360"/>
              <w:spacing w:after="0"/>
              <w:rPr>
                <w:sz w:val="20"/>
                <w:szCs w:val="20"/>
                <w:color w:val="auto"/>
              </w:rPr>
            </w:pPr>
            <w:r>
              <w:rPr>
                <w:rFonts w:ascii="Arial" w:cs="Arial" w:eastAsia="Arial" w:hAnsi="Arial"/>
                <w:sz w:val="12"/>
                <w:szCs w:val="12"/>
                <w:i w:val="1"/>
                <w:iCs w:val="1"/>
                <w:color w:val="auto"/>
              </w:rPr>
              <w:t>(In thousands, except percentages)</w:t>
            </w:r>
          </w:p>
        </w:tc>
        <w:tc>
          <w:tcPr>
            <w:tcW w:w="840" w:type="dxa"/>
            <w:vAlign w:val="bottom"/>
          </w:tcPr>
          <w:p>
            <w:pPr>
              <w:spacing w:after="0"/>
              <w:rPr>
                <w:sz w:val="17"/>
                <w:szCs w:val="17"/>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74,203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54,686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r>
    </w:tbl>
    <w:p>
      <w:pPr>
        <w:spacing w:after="0" w:line="18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income tax provision was $74.2 million in the year ended December 31, 2023, as compared to $54.7 million in the same period in 2022. The increase was primarily due to higher projected tax expense in the U.S. and foreign jurisdictions that are more profitable in 2023 compared to 2022, combined with a lower tax deduction from employee stock-based compensation in 2023 compared to 2022.</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As of December 31, 2023, we had $1.9 billion in net working capital, including cash, cash equivalents and marketable securities of $1.7 billion, of which approximately $1.7 billion were held in the United States. Our cash, cash equivalents and marketable securities primarily consist of U.S. treasuries, money market mutual funds, corporate notes, commercial paper and bonds and both interest-bearing and non-interest-bearing deposits, with the remainder held in various foreign subsidiaries. We consider amounts held outside the United States to be accessible and have provided for the estimated income tax liability on the repatriation of our foreign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5" w:name="page56"/>
    <w:bookmarkEnd w:id="5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Pr>
          <w:p>
            <w:pPr>
              <w:spacing w:after="0"/>
              <w:rPr>
                <w:sz w:val="16"/>
                <w:szCs w:val="16"/>
                <w:color w:val="auto"/>
              </w:rPr>
            </w:pPr>
          </w:p>
        </w:tc>
        <w:tc>
          <w:tcPr>
            <w:tcW w:w="1240" w:type="dxa"/>
            <w:vAlign w:val="bottom"/>
            <w:gridSpan w:val="3"/>
          </w:tcPr>
          <w:p>
            <w:pPr>
              <w:ind w:left="380"/>
              <w:spacing w:after="0"/>
              <w:rPr>
                <w:sz w:val="20"/>
                <w:szCs w:val="20"/>
                <w:color w:val="auto"/>
              </w:rPr>
            </w:pPr>
            <w:r>
              <w:rPr>
                <w:rFonts w:ascii="Arial" w:cs="Arial" w:eastAsia="Arial" w:hAnsi="Arial"/>
                <w:sz w:val="14"/>
                <w:szCs w:val="14"/>
                <w:b w:val="1"/>
                <w:bCs w:val="1"/>
                <w:color w:val="auto"/>
              </w:rPr>
              <w:t>Change in</w:t>
            </w:r>
          </w:p>
        </w:tc>
        <w:tc>
          <w:tcPr>
            <w:tcW w:w="1000" w:type="dxa"/>
            <w:vAlign w:val="bottom"/>
          </w:tcPr>
          <w:p>
            <w:pPr>
              <w:spacing w:after="0"/>
              <w:rPr>
                <w:sz w:val="16"/>
                <w:szCs w:val="16"/>
                <w:color w:val="auto"/>
              </w:rPr>
            </w:pPr>
          </w:p>
        </w:tc>
      </w:tr>
      <w:tr>
        <w:trPr>
          <w:trHeight w:val="190"/>
        </w:trPr>
        <w:tc>
          <w:tcPr>
            <w:tcW w:w="5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r>
      <w:tr>
        <w:trPr>
          <w:trHeight w:val="196"/>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gridSpan w:val="6"/>
          </w:tcPr>
          <w:p>
            <w:pPr>
              <w:ind w:left="240"/>
              <w:spacing w:after="0"/>
              <w:rPr>
                <w:sz w:val="20"/>
                <w:szCs w:val="20"/>
                <w:color w:val="auto"/>
              </w:rPr>
            </w:pPr>
            <w:r>
              <w:rPr>
                <w:rFonts w:ascii="Arial" w:cs="Arial" w:eastAsia="Arial" w:hAnsi="Arial"/>
                <w:sz w:val="12"/>
                <w:szCs w:val="12"/>
                <w:i w:val="1"/>
                <w:iCs w:val="1"/>
                <w:color w:val="auto"/>
              </w:rPr>
              <w:t>(In thousands, except percentages)</w:t>
            </w:r>
          </w:p>
        </w:tc>
        <w:tc>
          <w:tcPr>
            <w:tcW w:w="1000" w:type="dxa"/>
            <w:vAlign w:val="bottom"/>
          </w:tcPr>
          <w:p>
            <w:pPr>
              <w:spacing w:after="0"/>
              <w:rPr>
                <w:sz w:val="17"/>
                <w:szCs w:val="17"/>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marketable securities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1,695,034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1,612,843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82,191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07"/>
        </w:trPr>
        <w:tc>
          <w:tcPr>
            <w:tcW w:w="510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
              <w:spacing w:after="0"/>
              <w:rPr>
                <w:sz w:val="20"/>
                <w:szCs w:val="20"/>
                <w:color w:val="auto"/>
              </w:rPr>
            </w:pPr>
            <w:r>
              <w:rPr>
                <w:rFonts w:ascii="Arial" w:cs="Arial" w:eastAsia="Arial" w:hAnsi="Arial"/>
                <w:sz w:val="16"/>
                <w:szCs w:val="16"/>
                <w:color w:val="auto"/>
              </w:rPr>
              <w:t>1,293,738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1,290,357</w:t>
            </w:r>
          </w:p>
        </w:tc>
        <w:tc>
          <w:tcPr>
            <w:tcW w:w="120" w:type="dxa"/>
            <w:vAlign w:val="bottom"/>
          </w:tcPr>
          <w:p>
            <w:pPr>
              <w:spacing w:after="0"/>
              <w:rPr>
                <w:sz w:val="18"/>
                <w:szCs w:val="18"/>
                <w:color w:val="auto"/>
              </w:rPr>
            </w:pPr>
          </w:p>
        </w:tc>
        <w:tc>
          <w:tcPr>
            <w:tcW w:w="820" w:type="dxa"/>
            <w:vAlign w:val="bottom"/>
          </w:tcPr>
          <w:p>
            <w:pPr>
              <w:jc w:val="right"/>
              <w:ind w:right="644"/>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3,381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0.3 %</w:t>
            </w:r>
          </w:p>
        </w:tc>
      </w:tr>
    </w:tbl>
    <w:p>
      <w:pPr>
        <w:spacing w:after="0" w:line="182"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Our cash, cash equivalents and marketable securities increased by $82.2 million for the year ended December 31, 2023, as compared to the same period in 2022, primarily due to cash generated from operations, partially offset by cash used to fund investments in private companies, repurchases of common stock pursuant to our share repurchase program and payments of withholding taxes related to net share settlement of equity awards.</w:t>
      </w:r>
    </w:p>
    <w:p>
      <w:pPr>
        <w:spacing w:after="0" w:line="6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Total carrying amount of debt increased by $3.4 million for the year ended December 31, 2023, as compared to the same period in 2022, primarily due to $8.4 million accretion of debt discount and issuance costs, partially offset by the $5.0 million for the Notes due 2023 that were converted into shares of our common stock.</w:t>
      </w:r>
    </w:p>
    <w:p>
      <w:pPr>
        <w:spacing w:after="0" w:line="55"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We expect that our principal short-term (over the next 12 months) and long-term cash needs related to our operations will be used to fund working capital, strategic investments, acquisitions, repurchases of common stock pursuant to our share repurchase program and payments of withholding taxes for net share settlement of equity awards, make payments on our outstanding debt and the purchases of property and equipment. We plan to fund any cash requirements for the next 12 months and the long term from our existing cash, cash equivalents and marketable securities on hand, and cash generated from operations. We anticipate that access to the debt market will be more limited compared to prior years as interest rates have increased and are expected to remain high. Our ability to obtain debt or any other additional financing that we may choose to, or need to, obtain will depend on, among other things, our development efforts, business plans, operating performance and the condition of the capital markets at the time we seek financing.</w:t>
      </w:r>
    </w:p>
    <w:p>
      <w:pPr>
        <w:spacing w:after="0" w:line="70"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i w:val="1"/>
          <w:iCs w:val="1"/>
          <w:color w:val="auto"/>
        </w:rPr>
        <w:t>Repurchase of Common Stock</w:t>
      </w:r>
      <w:r>
        <w:rPr>
          <w:rFonts w:ascii="Arial" w:cs="Arial" w:eastAsia="Arial" w:hAnsi="Arial"/>
          <w:sz w:val="17"/>
          <w:szCs w:val="17"/>
          <w:color w:val="auto"/>
        </w:rPr>
        <w:t>. In July 2023, our board of directors authorized a share repurchase program (the “2023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Program”) pursuant to which we were authorized to repurchase up to $1.0 billion of our common stock. The repurchases could be funded from available working capital and could be executed from time to time, subject to general business and market conditions and other investment opportunities, through open market purchases or privately negotiated transactions, including through Rule 10b5-1 plans. The program may be discontinued or amended at any time and expires on July 26, 2026. During the year ended December 31, 2023, we repurchased 3,284,368 shares for an aggregate amount of $410.0 million. Refer to </w:t>
      </w:r>
      <w:r>
        <w:rPr>
          <w:rFonts w:ascii="Arial" w:cs="Arial" w:eastAsia="Arial" w:hAnsi="Arial"/>
          <w:sz w:val="17"/>
          <w:szCs w:val="17"/>
          <w:color w:val="0000FF"/>
        </w:rPr>
        <w:t>Note 15.</w:t>
      </w:r>
      <w:r>
        <w:rPr>
          <w:rFonts w:ascii="Arial" w:cs="Arial" w:eastAsia="Arial" w:hAnsi="Arial"/>
          <w:sz w:val="17"/>
          <w:szCs w:val="17"/>
          <w:color w:val="auto"/>
        </w:rPr>
        <w:t xml:space="preserve"> “Stockholders’ Equity,” in Part II, Item 8 of this Annual Report on Form 10-K for more information on our repurchase of common stock.</w:t>
      </w:r>
    </w:p>
    <w:p>
      <w:pPr>
        <w:spacing w:after="0" w:line="121"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i w:val="1"/>
          <w:iCs w:val="1"/>
          <w:color w:val="auto"/>
        </w:rPr>
        <w:t>Convertible Notes</w:t>
      </w:r>
      <w:r>
        <w:rPr>
          <w:rFonts w:ascii="Arial" w:cs="Arial" w:eastAsia="Arial" w:hAnsi="Arial"/>
          <w:sz w:val="17"/>
          <w:szCs w:val="17"/>
          <w:color w:val="auto"/>
        </w:rPr>
        <w:t>. As of December 31, 2023, our aggregate principal convertible notes obligations were $1,309.7 million which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consisted of the Notes due 2028 of $ 575.0 million, Notes due 2026 of $632.5 million and Notes due 2025 of $102.2 million. Upon conversion of the Notes due 2025, Notes due 2026 and Notes due 2028, we will pay cash equal to the aggregate principal amount of the Notes of such series to be converted, and, at our election, will pay or deliver cash and/or shares of our common stock for the amount of our conversion obligation in excess of the aggregate principal amount of the Notes of such series. During the annual period ended December 31, 2023, we received a request for the conversion of $2.0 thousand in the principal amount of the Notes due 2025, of which we have elected to settle the aggregate principal amount of the Notes due 2025 in a combination of cash and any excess in shares of our common stock in accordance with the applicable indenture. Such conversion is expected to be settled in February 2024. Refer to </w:t>
      </w:r>
      <w:r>
        <w:rPr>
          <w:rFonts w:ascii="Arial" w:cs="Arial" w:eastAsia="Arial" w:hAnsi="Arial"/>
          <w:sz w:val="17"/>
          <w:szCs w:val="17"/>
          <w:color w:val="0000FF"/>
        </w:rPr>
        <w:t>Note 13</w:t>
      </w:r>
      <w:r>
        <w:rPr>
          <w:rFonts w:ascii="Arial" w:cs="Arial" w:eastAsia="Arial" w:hAnsi="Arial"/>
          <w:sz w:val="17"/>
          <w:szCs w:val="17"/>
          <w:color w:val="auto"/>
        </w:rPr>
        <w:t>. “Debt,” in Part II, Item 8 of this Annual Report on Form 10-K for more information on our outstanding convertible notes.</w:t>
      </w:r>
    </w:p>
    <w:p>
      <w:pPr>
        <w:spacing w:after="0" w:line="125"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have entered into various non-cancelable operating leases primarily for our facilities with original lease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expiring through the year 2033, with the most significant leases relating to our offices in Petaluma, California and Bengaluru, India. As of December 31, 2023, we had total operating lease obligations of $29.5 million recorded on our consolidated balance sheet.</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i w:val="1"/>
          <w:iCs w:val="1"/>
          <w:color w:val="auto"/>
        </w:rPr>
        <w:t>Other Material Cash Requirements</w:t>
      </w:r>
      <w:r>
        <w:rPr>
          <w:rFonts w:ascii="Arial" w:cs="Arial" w:eastAsia="Arial" w:hAnsi="Arial"/>
          <w:sz w:val="17"/>
          <w:szCs w:val="17"/>
          <w:color w:val="auto"/>
        </w:rPr>
        <w:t>. As of December 31, 2023, we had open purchase obligations of $184.4 million related to component</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that our primary contract manufacturers procure on our behalf in accordance with our production forecast as well as other inventory related purchase commitments. The timing of purchases in future periods could differ materially from estimates presented above due to fluctuations in demand requirements related to varying sales levels as well as changes in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474345</wp:posOffset>
            </wp:positionV>
            <wp:extent cx="69361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6" w:name="page57"/>
    <w:bookmarkEnd w:id="5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summarizes our cash flows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Years Ended December 31,</w:t>
            </w: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r>
      <w:tr>
        <w:trPr>
          <w:trHeight w:val="225"/>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696,780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744,817</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(366,355)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(371,906)</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(516,774)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(17,126)</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w:t>
            </w:r>
          </w:p>
        </w:tc>
      </w:tr>
      <w:tr>
        <w:trPr>
          <w:trHeight w:val="229"/>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(184,496)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353,928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Cash from operations could be affected by various risks and uncertainties, including, but not limited to, the broad-based slowdown in demand for our products, new regulations and other risk factors discussed in Part I, Item IA, Risk Factors of this Annual Report on Form 10-K.</w:t>
      </w:r>
    </w:p>
    <w:p>
      <w:pPr>
        <w:spacing w:after="0" w:line="3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Our future capital requirements will depend on many factors, including our growth rate, the timing and extent of spending to support development efforts, the expansion of sales and marketing activities, the introduction of new and enhanced products, the costs to acquire or invest in complementary businesses and technologies, the costs to ensure access to adequate manufacturing capacity, the continuing market acceptance of our products and macroeconomic events, such as the impacts from inflation, and increase in interest rates. We may also choose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may be adversely affected.</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Operating Activities</w:t>
      </w:r>
    </w:p>
    <w:p>
      <w:pPr>
        <w:spacing w:after="0" w:line="11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Cash flows from operating activities consisted of our net income adjusted for certain non-cash reconciling items, such as stock-based compensation expense, non-cash interest expense, change in the fair value of debt securities, deferred income taxes, asset impairment, depreciation and amortization, and changes in our operating assets and liabilities. Net cash provided by operating activities decreased by $48.0 million for the year ended December 31, 2023, as compared to the same period in 2022, primarily due to higher operating expenses as we continue to invest in the long-term growth of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Investing Activities</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For the year ended December 31, 2023, net cash used in investing activities of $366.4 million was primarily from the purchase of $241.0 million of marketable securities, net of sale and maturities, $110.4 million used in purchases of test and assembly equipment to expand our supply capacity, related facility improvements and information technology enhancements, including capitalized costs related to internal-use software, and $15.0 million used in the investment in a private company.</w:t>
      </w:r>
    </w:p>
    <w:p>
      <w:pPr>
        <w:spacing w:after="0" w:line="6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For the year ended December 31, 2022, net cash used in investing activities of $371.9 million was primarily from the purchase of $247.3 million marketable securities, net of sale and maturities, $62.2 million net cash used to acquire GreenCom, SolarLeadFactory and ClipperCreek, $46.4 million used in purchases of test and assembly equipment to expand our supply capacity, related facility improvements and information technology enhancements, including capitalized costs related to internal-use software and $16.0 million used to invest in private companies.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Financing Activities</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For the year ended December 31, 2023, net cash used in financing activities of approximately $516.8 million was primarily from $410.0 million used to repurchase our common stock under our share repurchase program, and the payment of $ 120.6 million in employee withholding taxes related to net share settlement of equity awards, partially offset by $13.9 million net proceeds from employee stock option exercises and purchases under our employee stock purchase plan.</w:t>
      </w:r>
    </w:p>
    <w:p>
      <w:pPr>
        <w:spacing w:after="0" w:line="6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For the year ended December 31, 2022, net cash used by financing activities of approximately $ 17.1 million was primarily from the payment of $27.5 million in employee withholding taxes related to net share settlement of equity awards, partially offset by $10.4 million net proceeds from employee stock option exercises and purchases under our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470535</wp:posOffset>
            </wp:positionV>
            <wp:extent cx="69361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7" w:name="page58"/>
    <w:bookmarkEnd w:id="5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1"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The preparation of our consolidated financial statements and related notes requires us to make judgments, estimates and assumptions that affect the reported amounts of assets, liabilities, revenue and expenses, fair value of acquired intangible assets and goodwill, useful lives of acquired intangible assets and related disclosure of contingent assets and liabilities. The SEC has defined a company’s critical accounting policies as the ones that are most important to the portrayal of a company’s financial condition and results of operations, and which require a company to make its most difficult and subjective judgments. Based on this definition, we have identified the critical accounting policies and judgments addressed below.</w:t>
      </w:r>
    </w:p>
    <w:p>
      <w:pPr>
        <w:spacing w:after="0" w:line="276"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 xml:space="preserve">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due to risks and uncertainties, including uncertainty in the current economic environment due to inflation, interest rates fluctuations and new regulations. As of the date of issuance of these financial statements, we are not aware of any specific event or circumstance that would require us to update our estimates, judgments or revise the carrying value of our assets or liabilities. For a description of our significant accounting policies, refer to </w:t>
      </w:r>
      <w:r>
        <w:rPr>
          <w:rFonts w:ascii="Arial" w:cs="Arial" w:eastAsia="Arial" w:hAnsi="Arial"/>
          <w:sz w:val="17"/>
          <w:szCs w:val="17"/>
          <w:color w:val="0000FF"/>
        </w:rPr>
        <w:t>Note 2</w:t>
      </w:r>
      <w:r>
        <w:rPr>
          <w:rFonts w:ascii="Arial" w:cs="Arial" w:eastAsia="Arial" w:hAnsi="Arial"/>
          <w:sz w:val="17"/>
          <w:szCs w:val="17"/>
          <w:color w:val="auto"/>
        </w:rPr>
        <w:t>. “Summary of Significant Accounting Policies,” of the notes to consolidated financial statements included in Part II, Item 8 of this Annual Report on Form 10-K.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generate revenue from sales of our solutions, which include microinverter units and related accessories, an IQ Gateway and IQ Energy Router, cloud-based Enlighten monitoring services, storage solutions, EV charging solutions, design, proposal, permitting and lead generation services, as well as a platform matching cleantech asset owners to a local and on-demand workforce of service providers, distributors, large installers, OEMs and strategic partners.</w:t>
      </w:r>
    </w:p>
    <w:p>
      <w:pPr>
        <w:spacing w:after="0" w:line="6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Revenues are recognized when control of the promised goods or services are transferred to our customers in an amount that reflects the consideration that is expected to be received in exchange for those goods or services. We generate all of our revenues from contracts with our customers. A description of principal activities from which we generate revenues are follows.</w:t>
      </w:r>
    </w:p>
    <w:p>
      <w:pPr>
        <w:spacing w:after="0" w:line="55" w:lineRule="exact"/>
        <w:rPr>
          <w:sz w:val="20"/>
          <w:szCs w:val="20"/>
          <w:color w:val="auto"/>
        </w:rPr>
      </w:pPr>
    </w:p>
    <w:p>
      <w:pPr>
        <w:jc w:val="both"/>
        <w:ind w:left="800" w:hanging="323"/>
        <w:spacing w:after="0" w:line="262" w:lineRule="auto"/>
        <w:tabs>
          <w:tab w:leader="none" w:pos="795"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Products Delivered at a Point in Time. </w:t>
      </w:r>
      <w:r>
        <w:rPr>
          <w:rFonts w:ascii="Arial" w:cs="Arial" w:eastAsia="Arial" w:hAnsi="Arial"/>
          <w:sz w:val="17"/>
          <w:szCs w:val="17"/>
          <w:color w:val="auto"/>
        </w:rPr>
        <w:t>We sell our products and professional services to customers in accordance with the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customer contracts. We generate revenues from sales of our solutions, which include microinverter units and related accessories, storage solutions, EV charging solutions, design, proposal, permitting and lead generation services, as well as a platform matching cleantech asset owners to a local and on-demand workforce of service providers to distributors, large installers, OEMs and strategic partners. Microinverter units, microinverter accessories, storage and EV solutions, design proposal, permitting and lead generation services, as well as completed work orders on our platform matching cleantech asset owners to a local and on-demand workforce of service providers, are delivered to customers at a point in time, and we recognize revenue for these products or professional services when we transfer control of the product or professional services to the customer, which is generally upon product shipment or service delivery, respectively.</w:t>
      </w:r>
    </w:p>
    <w:p>
      <w:pPr>
        <w:spacing w:after="0" w:line="72" w:lineRule="exact"/>
        <w:rPr>
          <w:rFonts w:ascii="Arial" w:cs="Arial" w:eastAsia="Arial" w:hAnsi="Arial"/>
          <w:sz w:val="17"/>
          <w:szCs w:val="17"/>
          <w:i w:val="1"/>
          <w:iCs w:val="1"/>
          <w:color w:val="auto"/>
        </w:rPr>
      </w:pPr>
    </w:p>
    <w:p>
      <w:pPr>
        <w:jc w:val="both"/>
        <w:ind w:left="800" w:hanging="323"/>
        <w:spacing w:after="0" w:line="264" w:lineRule="auto"/>
        <w:tabs>
          <w:tab w:leader="none" w:pos="795"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Products Delivered Over Time. </w:t>
      </w:r>
      <w:r>
        <w:rPr>
          <w:rFonts w:ascii="Arial" w:cs="Arial" w:eastAsia="Arial" w:hAnsi="Arial"/>
          <w:sz w:val="17"/>
          <w:szCs w:val="17"/>
          <w:color w:val="auto"/>
        </w:rPr>
        <w:t>The sale of an IQ Gateway and IQ Energy Router includes our Enlighten cloud-based monitoring</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The full consideration for these products represents a single performance obligation and is deferred at the sale date and recognized over the estimated service period of 7 years. We also sell certain communication accessories that contain a service performance obligation to be delivered over time. The revenue from these products is recognized over the related service period, which is typically 5 years. The subscription services revenue generated from each customer’s subscription to our design and proposal service is recognized on a ratable basis over the contract term beginning on the date that our service is made available to the customer. The subscription contracts are generally 3 to 12 months in length and billed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487045</wp:posOffset>
            </wp:positionV>
            <wp:extent cx="69361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8" w:name="page59"/>
    <w:bookmarkEnd w:id="5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When we sell a product with more than one performance obligation, such as our IQ Combiner, which includes both hardware and the IQ Gateway, the total consideration is allocated to these performance obligations based on their relative standalone selling prices.</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We record certain contra revenue promotions as variable consideration and recognize these promotions at the time the related revenue is recorded.</w:t>
      </w:r>
    </w:p>
    <w:p>
      <w:pPr>
        <w:spacing w:after="0" w:line="36"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We record upfront contract acquisition costs, such as sales commissions, to be capitalized and amortized over the estimated life of the asset. For contracts that have a duration of less than one year, we follow the Topic 606 practical expedient and expense these costs when incurred. Commissions related to the sale of monitoring hardware and services are capitalized and amortized over the period of the associated revenue.</w:t>
      </w:r>
    </w:p>
    <w:p>
      <w:pPr>
        <w:spacing w:after="0" w:line="272"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color w:val="0000FF"/>
        </w:rPr>
        <w:t>Note 3</w:t>
      </w:r>
      <w:r>
        <w:rPr>
          <w:rFonts w:ascii="Arial" w:cs="Arial" w:eastAsia="Arial" w:hAnsi="Arial"/>
          <w:sz w:val="17"/>
          <w:szCs w:val="17"/>
          <w:color w:val="auto"/>
        </w:rPr>
        <w:t>. “Revenue Recognition,” of the notes to consolidated financial statements included in Part II, Item 8 of this Annual Report on Form 10-K for additional information related to revenue recognition.</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Inventory is valued at the lower of cost or market. Market is current replacement cost (by purchase or by reproduction, dependent on the type of inventory). In cases where market exceeds net realizable value (</w:t>
      </w:r>
      <w:r>
        <w:rPr>
          <w:rFonts w:ascii="Arial" w:cs="Arial" w:eastAsia="Arial" w:hAnsi="Arial"/>
          <w:sz w:val="17"/>
          <w:szCs w:val="17"/>
          <w:i w:val="1"/>
          <w:iCs w:val="1"/>
          <w:color w:val="auto"/>
        </w:rPr>
        <w:t>i.e.</w:t>
      </w:r>
      <w:r>
        <w:rPr>
          <w:rFonts w:ascii="Arial" w:cs="Arial" w:eastAsia="Arial" w:hAnsi="Arial"/>
          <w:sz w:val="17"/>
          <w:szCs w:val="17"/>
          <w:color w:val="auto"/>
        </w:rPr>
        <w:t>, estimated selling price less reasonably predictable costs of completion and disposal), inventories are stated at net realizable value. Market is not considered to be less than net realizable value reduced by an allowance for an approximately normal profit margin. We determine cost on a first-in first-out basis. 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Grants</w:t>
      </w:r>
    </w:p>
    <w:p>
      <w:pPr>
        <w:spacing w:after="0" w:line="11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Government grants represent benefits provided by federal, state, or local governments that are not subject to the scope of ASC 740. We recognize a grant when we have reasonable assurance that we will comply with the grant’s conditions and that the grant will be received. Government grants that are not related to long-lived assets are considered income-based grants, which are recognized as a reduction to the related cost of activities that generated the benefit. We recognized credits under AMPTC as a reduction to cost of revenues in the consolidated statement of operations for the microinverters manufactured in the United States and sold to customers in the year ended December 31, 2023. Such credit is also reflected as a reduction of income tax payable on our consolidated balance sheet within accrued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fair value of a financial instrument is the price that would be received to sell an asset or paid to transfer a liability in an orderly transaction between market participants at the measurement date. The carrying amounts of our cash, cash equivalents and restricted cash, accounts receivable, accounts payable and accrued liabilities approximate fair value because of the short maturity of those instruments. Equity investments with readily determinable fair value are carried at fair value based on quoted market prices or estimated based on market conditions and risks existing at each balance sheet date. Equity investments without readily determinable fair value are measured at cost less impairment, and are adjusted for observable price changes in orderly transactions for an identical or similar investment of the same issuer.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Obligations</w:t>
      </w:r>
    </w:p>
    <w:p>
      <w:pPr>
        <w:spacing w:after="0" w:line="119"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Our warranty accrual provides for the replacement of microinverter units, AC Battery storage solutions, EV Chargers, and IQ Gateway and IQ Energy Router units that fail during the product’s warranty term. The warranty term related to microinverter units is 15 years for first and second generation microinverters and up to 25 years for subsequent generation microinverters. The warranty term for AC Battery storage solutions is 10 to 15 years depending on the generation. The warranty term for the IQ Gateway and IQ Energy Router is 5 years, while the warranty term for EV Chargers is 1 to 5 years depending on the product. On a quarterly basis, we employ a consistent, systematic and rational methodology to assess the adequacy of our warranty liability. This assessment includes updating all key estimates and assumptions for each generation of product, based on historical results, trends and the most current data available as of the filing date. The key estimates and assumptions used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620395</wp:posOffset>
            </wp:positionV>
            <wp:extent cx="69361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9" w:name="page60"/>
    <w:bookmarkEnd w:id="5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warranty liability are thoroughly reviewed by management on a quarterly basis. The key estimates used by us to estimate our warranty liability are: (1) the number of units expected to fail and returned for replacement over time (</w:t>
      </w:r>
      <w:r>
        <w:rPr>
          <w:rFonts w:ascii="Arial" w:cs="Arial" w:eastAsia="Arial" w:hAnsi="Arial"/>
          <w:sz w:val="17"/>
          <w:szCs w:val="17"/>
          <w:i w:val="1"/>
          <w:iCs w:val="1"/>
          <w:color w:val="auto"/>
        </w:rPr>
        <w:t>i.e.,</w:t>
      </w:r>
      <w:r>
        <w:rPr>
          <w:rFonts w:ascii="Arial" w:cs="Arial" w:eastAsia="Arial" w:hAnsi="Arial"/>
          <w:sz w:val="17"/>
          <w:szCs w:val="17"/>
          <w:color w:val="auto"/>
        </w:rPr>
        <w:t xml:space="preserve"> return rate); and (2) the per unit cost of replacement units, including outbound shipping and limited labor costs, expected to be incurred to replace failed units over time (</w:t>
      </w:r>
      <w:r>
        <w:rPr>
          <w:rFonts w:ascii="Arial" w:cs="Arial" w:eastAsia="Arial" w:hAnsi="Arial"/>
          <w:sz w:val="17"/>
          <w:szCs w:val="17"/>
          <w:i w:val="1"/>
          <w:iCs w:val="1"/>
          <w:color w:val="auto"/>
        </w:rPr>
        <w:t>i.e.,</w:t>
      </w:r>
      <w:r>
        <w:rPr>
          <w:rFonts w:ascii="Arial" w:cs="Arial" w:eastAsia="Arial" w:hAnsi="Arial"/>
          <w:sz w:val="17"/>
          <w:szCs w:val="17"/>
          <w:color w:val="auto"/>
        </w:rPr>
        <w:t xml:space="preserve"> replacement cost).</w:t>
      </w:r>
    </w:p>
    <w:p>
      <w:pPr>
        <w:spacing w:after="0" w:line="55"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b w:val="1"/>
          <w:bCs w:val="1"/>
          <w:i w:val="1"/>
          <w:iCs w:val="1"/>
          <w:color w:val="auto"/>
        </w:rPr>
        <w:t xml:space="preserve">Estimated Return Rates — </w:t>
      </w:r>
      <w:r>
        <w:rPr>
          <w:rFonts w:ascii="Arial" w:cs="Arial" w:eastAsia="Arial" w:hAnsi="Arial"/>
          <w:sz w:val="17"/>
          <w:szCs w:val="17"/>
          <w:color w:val="auto"/>
        </w:rPr>
        <w:t>Our Quality and Reliability department has primary responsibility to determine the estimated return rates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generation of product. To establish initial return rate estimates for each generation of product, our quality engineers use a combination of industry standard Mean Time Between Failure estimates for individual components contained in that generation of product, third-party data collected on similar equipment deployed in outdoor environments similar to those in which our product are installed, and rigorous long term reliability and accelerated life cycle testing which simulates the service life of the product in a short period of time. As units are deployed into operating environments, we continue to monitor product performance through our Enlighten monitoring platform. It typically takes three to nine months between the date of sale and date of end-user installation. Consequently, our ability to monitor actual failures of units sold similarly lags by three to nine months. When a product fails and is returned, we perform diagnostic root cause failure analysis to understand and isolate the underlying mechanism(s) causing the failure. We then use the results of this analysis (combined with the actual, cumulative performance data collected on those units prior to failure through Enlighten) to draw conclusions with respect to how or if the identified failure mechanism(s) will impact the remaining units deployed in the installed base.</w:t>
      </w:r>
    </w:p>
    <w:p>
      <w:pPr>
        <w:spacing w:after="0" w:line="75"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As the vast majority of our microinverters have been sold to end users for residential applications, we believe that warranty return rates will be affected by changes over time in residential home ownership because we expect that subsequent homeowners are less likely to file a return than the homeowners who originally purchased the microinverters.</w:t>
      </w:r>
    </w:p>
    <w:p>
      <w:pPr>
        <w:spacing w:after="0" w:line="55"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b w:val="1"/>
          <w:bCs w:val="1"/>
          <w:i w:val="1"/>
          <w:iCs w:val="1"/>
          <w:color w:val="auto"/>
        </w:rPr>
        <w:t xml:space="preserve">Estimated Replacement Costs — </w:t>
      </w:r>
      <w:r>
        <w:rPr>
          <w:rFonts w:ascii="Arial" w:cs="Arial" w:eastAsia="Arial" w:hAnsi="Arial"/>
          <w:sz w:val="17"/>
          <w:szCs w:val="17"/>
          <w:color w:val="auto"/>
        </w:rPr>
        <w:t>Three factors are considered in our analysis of estimated replacement cost: (1) the estimated cost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replacement products; (2) the estimated cost to ship replacement products to end users; and (3) the estimated labor reimbursement expected to be paid to third-party installers, or estimated labor cost expected to be incurred for field service technicians, performing replacement services for the end user. Because our warranty provides for the replacement of defective products over long periods of time (typically between 5 to 25 years, depending on the product and the generation of that product purchased), the estimated per unit cost of current and future product generations is considered in the estimated replacement cost. Estimated costs to ship replacement units are based on observable, market-based shipping costs paid by us to third-party freight carriers. We have a separate program that allows third-party installers to claim fixed-dollar reimbursements for labor costs they incur to replace failed units for a limited time from the date of original installation. Included in our estimated replacement cost is an analysis of the number of fixed-dollar labor reimbursements expected to be claimed by third-party installers over the limited offering period.</w:t>
      </w:r>
    </w:p>
    <w:p>
      <w:pPr>
        <w:spacing w:after="0" w:line="73"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addition to the key estimates noted above, we also compare actual warranty results to expected results and evaluate any significant differences. We may make additional adjustments to the warranty provision based on performance trends or other qualitative factors. If actual return rates, or replacement costs differ from our estimates in future periods, changes to these estimates may be required, resulting in increases or decreases in our warranty obligations. Such increases or decreases could be material.</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Fair Value Option for Microinverters and Other Products Sold Since January 1, 2014</w:t>
      </w:r>
    </w:p>
    <w:p>
      <w:pPr>
        <w:spacing w:after="0" w:line="121"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Our warranty obligations related to products sold since January 1, 2014 provide us the right, but not the requirement, to assign our warranty obligations to a third party. Under Accounting Standards Codification 825, “Financial Instruments” (also referred to as the “fair value option”), an entity may choose to elect the fair value option for such warranties at the time it first recognizes the eligible item. We made an irrevocable election to account for all eligible warranty obligations associated with products sold since January 1, 2014 at fair value. This election was made to reflect the underlying economics of the time value of money for an obligation that will be settled over an extended period of up to 25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619125</wp:posOffset>
            </wp:positionV>
            <wp:extent cx="69361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0" w:name="page61"/>
    <w:bookmarkEnd w:id="6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 xml:space="preserve">We estimate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return rates, and replacement costs, we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our credit-adjusted risk-free rate. Refer to </w:t>
      </w:r>
      <w:r>
        <w:rPr>
          <w:rFonts w:ascii="Arial" w:cs="Arial" w:eastAsia="Arial" w:hAnsi="Arial"/>
          <w:sz w:val="17"/>
          <w:szCs w:val="17"/>
          <w:color w:val="0000FF"/>
        </w:rPr>
        <w:t>Note 11</w:t>
      </w:r>
      <w:r>
        <w:rPr>
          <w:rFonts w:ascii="Arial" w:cs="Arial" w:eastAsia="Arial" w:hAnsi="Arial"/>
          <w:sz w:val="17"/>
          <w:szCs w:val="17"/>
          <w:color w:val="auto"/>
        </w:rPr>
        <w:t>. “Fair Value Measurements,” of the notes to consolidated financial statements included in Part II, Item 8 of this Annual Report on Form 10-K for 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 and Contingencies</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 xml:space="preserve">In the normal course of business, we are subject to loss contingencies and loss recoveries, such as legal proceedings and claims arising out of our business as well as tariff refunds. An accrual for a loss contingency or loss recovery is recognized when it is probable and the amount of loss or recovery can be reasonably estimated. Refer to </w:t>
      </w:r>
      <w:r>
        <w:rPr>
          <w:rFonts w:ascii="Arial" w:cs="Arial" w:eastAsia="Arial" w:hAnsi="Arial"/>
          <w:sz w:val="17"/>
          <w:szCs w:val="17"/>
          <w:color w:val="0000FF"/>
        </w:rPr>
        <w:t>Note 14</w:t>
      </w:r>
      <w:r>
        <w:rPr>
          <w:rFonts w:ascii="Arial" w:cs="Arial" w:eastAsia="Arial" w:hAnsi="Arial"/>
          <w:sz w:val="17"/>
          <w:szCs w:val="17"/>
          <w:color w:val="auto"/>
        </w:rPr>
        <w:t>. “Commitments and Contingencies,” of the notes to consolidated financial statements included in Part II, Item 8 of this Annual Report on Form 10-K for additional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us to make estimates, which are based on all available information and in some cases assumptions with respect to the timing and amount of future revenues and expenses associated with an asset. Accounting for business acquisitions requires us to make judgments as to whether a purchase transaction is a multiple element contract, meaning that it includes other transaction components. This judgment and determination affect the amount of consideration paid that is allocable to assets and liabilities acquired in the business purchase transaction. Additional information existing as of the acquisition date but unknown to us may become known during the remainder of the measurement period, not to exceed 12 months from the acquisition date, which may result in changes to the amounts and allocations recorded.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1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Intangible assets include patents and other purchased intangible assets. Intangible assets with finite lives are amortized on a straight-line basis, with estimated useful lives ranging from 5 to 9 years. Indefinite-lived intangible assets are tested for impairment annually and are also tested for impairment between annual tests if an event occurs or circumstances change that would indicate that the carrying amount may be impaired. Intangible assets with finite lives are tested for impairment whenever events or circumstances indicate that the carrying amount of an asset (asset group) may not be recoverable. An impairment loss is recognized when the carrying amount of an asset exceeds the estimated undiscounted cash flows used in determining the fair value of the asset. The amount of the impairment loss to be recorded is calculated by the excess of the asset’s carrying value over its fair value. Fair value is generally determined using a discounted cash flow analysis. We recorded asset impairment charges of $3.8 million in the year ended December 31, 2023 associated with the customer relationship intangible asset. There were no events or changes in circumstances that may indicate the carrying amount of remaining assets is not recoverable.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We record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63"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assess the realizability of the deferred tax assets to determine release of valuation allowance as necessary. In the event we determine that it is more likely than not that we would be able to realize deferred tax assets in the future in excess of our net recorded amount, an adjustment to the valuation allowance for the deferred tax asset would increase income in the period such determination was made. Likewise, should it be determined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1" w:name="page62"/>
    <w:bookmarkEnd w:id="6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additional amounts of the net deferred tax asset will not be realized in the future, an adjustment to increase the deferred tax asset valuation allowance will be charged to income in the period such determination is made.</w:t>
      </w:r>
    </w:p>
    <w:p>
      <w:pPr>
        <w:spacing w:after="0" w:line="3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operate in various tax jurisdictions and are subject to audit by various tax authorities. We follow accounting for uncertainty in income taxes, which requires that the tax effects of a position be recognized only if it is “more likely than not” to be sustained based solely on its technical merits as of the reporting date. We consider many factors when evaluating and estimating its tax positions and tax benefits, which may require periodic adjustments, and which may not accurately anticipate actual outcomes.</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1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primarily from the effect of fluctuating exchange rates on payables and receivables relating to transactions that are denominated in euros, the Indian Rupee and the Australian, Canadian and New Zealand dollars. These payables and receivables primarily arise from sales to customers and intercompany transactions. We also face currency exposure that arises from translating the results of our European, Indian, Australian, Canadian and New Zealand operations, including sales and marketing and research and development expenses, to the U.S. dollar at exchange rates that have fluctuated from the beginning of a reporting period. We are a net receiver of euros, and therefore negatively affected by a strengthening of the U.S. dollar relative to the euro and, conversely benefit from a weakening of the U.S. dollar relative to the euro. Sales denominated in the euro as a percentage of total revenue was 28%, 17% and 11% during the years ended December 31, 2023, 2022 and 2021, respectively.</w:t>
      </w:r>
    </w:p>
    <w:p>
      <w:pPr>
        <w:spacing w:after="0" w:line="283"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effect of a hypothetical 10% adverse change in foreign exchange rates on monetary assets and liabilities on December 31, 2023 would not be material to our financial condition or results of operations. To date, foreign currency transaction gains and losses and exchange rate fluctuations have not been material to our financial statements, and we have not engaged in any foreign currency hedging transactions.</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do not enter into derivative financial instruments for trading or speculative purposes. We did not enter into any foreign currency forward contracts during 2023 and 2022. Any foreign currency forward contracts entered in the future will be accounted for as derivatives whereby the fair value of the contracts would be reported as other current assets or current liabilities, and gains and losses resulting from changes in the fair value would be reported in other income (expense), net, in the accompanying consolidated statements of operations.</w:t>
      </w:r>
    </w:p>
    <w:p>
      <w:pPr>
        <w:spacing w:after="0" w:line="6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Credit Risk</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Financial instruments that subject us to concentrations of credit risk consist primarily of cash, cash equivalents, marketable securities, accounts receivable and derivative financial instruments. We maintain a substantial portion of our cash balances in non-interest-bearing and interest-bearing marketable securities and money market accounts. The derivative financial instruments expose us to credit risk to the extent that the counterparties may be unable to meet the terms of the arrangement. We mitigate this credit risk by transacting with major financial institutions with high credit ratings. We are not required to pledge, and are not entitled to receive, cash collateral related to these derivative instruments. We do not enter into derivative contracts for trading or speculative purposes. Our net revenues are primarily concentrated among a limited number of customers. We monitor the financial condition of our customers and perform credit evaluations whenever considered necessary and maintain an allowance for doubtful accounts for estimated potential credit losses.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had cash, cash equivalents and marketable securities of $1,695.0 million and $1,612.8 million as of December 31, 2023 and 2022, respectively, consisting of both non-interest bearing and interest-bearing marketable securities and money market accounts. Such interest-earning instruments carry a degree of interest rate risk, but the risk is limited due to the duration of our short term investments. To date, fluctuations in interest income have not been significant. We do not enter into investments for trading or speculative purposes and have not used any derivative financial instruments to manage our interest rate risk exposure. We have not been exposed to, nor do we anticipate being exposed to, material risks due to changes in interest rates with regard to our cash, cash equivalents and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2" w:name="page63"/>
    <w:bookmarkEnd w:id="6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Our cash flow exposure due to changes in interest rates related to our debt is limited, as the Notes due 2025 has fixed interest rates of 0.25%. Additionally, the Notes due 2028 and Notes due 2026 carry a fixed interest rate of 0%. The fair value of the Convertible Notes may increase or decrease for various reasons, including fluctuations in the market price of our common stock, fluctuations in market interest rates and fluctuations in general economic conditions. Based upon the quoted market price as of December 31, 2023, the fair value of the Notes due 2028, Notes due 2026 and Notes due 2025 was $511.8 million, $568.8 million and $147.7 million, respectively.</w:t>
      </w:r>
    </w:p>
    <w:p>
      <w:pPr>
        <w:spacing w:after="0" w:line="63"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 hypothetical 10% change in interest rates during any of the periods presented would not have had a material impact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683260</wp:posOffset>
            </wp:positionV>
            <wp:extent cx="69361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2023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3" w:name="page64"/>
    <w:bookmarkEnd w:id="6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8.</w:t>
        <w:tab/>
        <w:t>Financial Statements and Supplementary Data</w:t>
      </w:r>
    </w:p>
    <w:p>
      <w:pPr>
        <w:spacing w:after="0" w:line="172"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72"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172"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AS OF DECEMBER 31, 2023 AND 2022,</w:t>
      </w:r>
    </w:p>
    <w:p>
      <w:pPr>
        <w:spacing w:after="0" w:line="172"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AND FOR THE YEARS ENDED DECEMBER 31, 2023, 2022 AND 2021</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102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r>
      <w:tr>
        <w:trPr>
          <w:trHeight w:val="203"/>
        </w:trPr>
        <w:tc>
          <w:tcPr>
            <w:tcW w:w="10240" w:type="dxa"/>
            <w:vAlign w:val="bottom"/>
            <w:shd w:val="clear" w:color="auto" w:fill="CCEEFF"/>
          </w:tcPr>
          <w:p>
            <w:pPr>
              <w:ind w:left="20"/>
              <w:spacing w:after="0"/>
              <w:rPr>
                <w:sz w:val="20"/>
                <w:szCs w:val="20"/>
                <w:color w:val="auto"/>
              </w:rPr>
            </w:pPr>
            <w:r>
              <w:rPr>
                <w:rFonts w:ascii="Arial" w:cs="Arial" w:eastAsia="Arial" w:hAnsi="Arial"/>
                <w:sz w:val="16"/>
                <w:szCs w:val="16"/>
                <w:color w:val="0000FF"/>
              </w:rPr>
              <w:t xml:space="preserve">Report of Independent Registered Public Accounting Firm (PCAOB ID No. </w:t>
            </w:r>
            <w:r>
              <w:rPr>
                <w:rFonts w:ascii="Arial" w:cs="Arial" w:eastAsia="Arial" w:hAnsi="Arial"/>
                <w:sz w:val="16"/>
                <w:szCs w:val="16"/>
                <w:color w:val="000000"/>
              </w:rPr>
              <w:t>34</w:t>
            </w:r>
            <w:r>
              <w:rPr>
                <w:rFonts w:ascii="Arial" w:cs="Arial" w:eastAsia="Arial" w:hAnsi="Arial"/>
                <w:sz w:val="16"/>
                <w:szCs w:val="16"/>
                <w:color w:val="0000FF"/>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0000FF"/>
              </w:rPr>
              <w:t>65</w:t>
            </w:r>
          </w:p>
        </w:tc>
      </w:tr>
      <w:tr>
        <w:trPr>
          <w:trHeight w:val="209"/>
        </w:trPr>
        <w:tc>
          <w:tcPr>
            <w:tcW w:w="10240" w:type="dxa"/>
            <w:vAlign w:val="bottom"/>
          </w:tcPr>
          <w:p>
            <w:pPr>
              <w:ind w:left="20"/>
              <w:spacing w:after="0"/>
              <w:rPr>
                <w:sz w:val="20"/>
                <w:szCs w:val="20"/>
                <w:color w:val="auto"/>
              </w:rPr>
            </w:pPr>
            <w:r>
              <w:rPr>
                <w:rFonts w:ascii="Arial" w:cs="Arial" w:eastAsia="Arial" w:hAnsi="Arial"/>
                <w:sz w:val="16"/>
                <w:szCs w:val="16"/>
                <w:color w:val="0000FF"/>
              </w:rPr>
              <w:t>Consolidated Balance Sheets</w:t>
            </w:r>
          </w:p>
        </w:tc>
        <w:tc>
          <w:tcPr>
            <w:tcW w:w="960" w:type="dxa"/>
            <w:vAlign w:val="bottom"/>
          </w:tcPr>
          <w:p>
            <w:pPr>
              <w:jc w:val="center"/>
              <w:spacing w:after="0"/>
              <w:rPr>
                <w:sz w:val="20"/>
                <w:szCs w:val="20"/>
                <w:color w:val="auto"/>
              </w:rPr>
            </w:pPr>
            <w:r>
              <w:rPr>
                <w:rFonts w:ascii="Arial" w:cs="Arial" w:eastAsia="Arial" w:hAnsi="Arial"/>
                <w:sz w:val="16"/>
                <w:szCs w:val="16"/>
                <w:color w:val="0000FF"/>
              </w:rPr>
              <w:t>68</w:t>
            </w:r>
          </w:p>
        </w:tc>
      </w:tr>
      <w:tr>
        <w:trPr>
          <w:trHeight w:val="211"/>
        </w:trPr>
        <w:tc>
          <w:tcPr>
            <w:tcW w:w="10240" w:type="dxa"/>
            <w:vAlign w:val="bottom"/>
            <w:shd w:val="clear" w:color="auto" w:fill="CCEEFF"/>
          </w:tcPr>
          <w:p>
            <w:pPr>
              <w:ind w:left="20"/>
              <w:spacing w:after="0"/>
              <w:rPr>
                <w:sz w:val="20"/>
                <w:szCs w:val="20"/>
                <w:color w:val="auto"/>
              </w:rPr>
            </w:pPr>
            <w:r>
              <w:rPr>
                <w:rFonts w:ascii="Arial" w:cs="Arial" w:eastAsia="Arial" w:hAnsi="Arial"/>
                <w:sz w:val="16"/>
                <w:szCs w:val="16"/>
                <w:color w:val="0000FF"/>
              </w:rPr>
              <w:t>Consolidated Statements of Operations</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0000FF"/>
              </w:rPr>
              <w:t>69</w:t>
            </w:r>
          </w:p>
        </w:tc>
      </w:tr>
      <w:tr>
        <w:trPr>
          <w:trHeight w:val="209"/>
        </w:trPr>
        <w:tc>
          <w:tcPr>
            <w:tcW w:w="10240" w:type="dxa"/>
            <w:vAlign w:val="bottom"/>
          </w:tcPr>
          <w:p>
            <w:pPr>
              <w:ind w:left="20"/>
              <w:spacing w:after="0"/>
              <w:rPr>
                <w:sz w:val="20"/>
                <w:szCs w:val="20"/>
                <w:color w:val="auto"/>
              </w:rPr>
            </w:pPr>
            <w:r>
              <w:rPr>
                <w:rFonts w:ascii="Arial" w:cs="Arial" w:eastAsia="Arial" w:hAnsi="Arial"/>
                <w:sz w:val="16"/>
                <w:szCs w:val="16"/>
                <w:color w:val="0000FF"/>
              </w:rPr>
              <w:t>Consolidated Statements of Comprehensive Income</w:t>
            </w:r>
          </w:p>
        </w:tc>
        <w:tc>
          <w:tcPr>
            <w:tcW w:w="960" w:type="dxa"/>
            <w:vAlign w:val="bottom"/>
          </w:tcPr>
          <w:p>
            <w:pPr>
              <w:jc w:val="center"/>
              <w:spacing w:after="0"/>
              <w:rPr>
                <w:sz w:val="20"/>
                <w:szCs w:val="20"/>
                <w:color w:val="auto"/>
              </w:rPr>
            </w:pPr>
            <w:r>
              <w:rPr>
                <w:rFonts w:ascii="Arial" w:cs="Arial" w:eastAsia="Arial" w:hAnsi="Arial"/>
                <w:sz w:val="16"/>
                <w:szCs w:val="16"/>
                <w:color w:val="0000FF"/>
              </w:rPr>
              <w:t>70</w:t>
            </w:r>
          </w:p>
        </w:tc>
      </w:tr>
      <w:tr>
        <w:trPr>
          <w:trHeight w:val="211"/>
        </w:trPr>
        <w:tc>
          <w:tcPr>
            <w:tcW w:w="10240" w:type="dxa"/>
            <w:vAlign w:val="bottom"/>
            <w:shd w:val="clear" w:color="auto" w:fill="CCEEFF"/>
          </w:tcPr>
          <w:p>
            <w:pPr>
              <w:ind w:left="20"/>
              <w:spacing w:after="0"/>
              <w:rPr>
                <w:sz w:val="20"/>
                <w:szCs w:val="20"/>
                <w:color w:val="auto"/>
              </w:rPr>
            </w:pPr>
            <w:r>
              <w:rPr>
                <w:rFonts w:ascii="Arial" w:cs="Arial" w:eastAsia="Arial" w:hAnsi="Arial"/>
                <w:sz w:val="16"/>
                <w:szCs w:val="16"/>
                <w:color w:val="0000FF"/>
              </w:rPr>
              <w:t>Consolidated Statements of Stockholders’ Equity</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0000FF"/>
              </w:rPr>
              <w:t>71</w:t>
            </w:r>
          </w:p>
        </w:tc>
      </w:tr>
      <w:tr>
        <w:trPr>
          <w:trHeight w:val="209"/>
        </w:trPr>
        <w:tc>
          <w:tcPr>
            <w:tcW w:w="10240" w:type="dxa"/>
            <w:vAlign w:val="bottom"/>
          </w:tcPr>
          <w:p>
            <w:pPr>
              <w:ind w:left="20"/>
              <w:spacing w:after="0"/>
              <w:rPr>
                <w:sz w:val="20"/>
                <w:szCs w:val="20"/>
                <w:color w:val="auto"/>
              </w:rPr>
            </w:pPr>
            <w:r>
              <w:rPr>
                <w:rFonts w:ascii="Arial" w:cs="Arial" w:eastAsia="Arial" w:hAnsi="Arial"/>
                <w:sz w:val="16"/>
                <w:szCs w:val="16"/>
                <w:color w:val="0000FF"/>
              </w:rPr>
              <w:t>Consolidated Statements of Cash Flows</w:t>
            </w:r>
          </w:p>
        </w:tc>
        <w:tc>
          <w:tcPr>
            <w:tcW w:w="960" w:type="dxa"/>
            <w:vAlign w:val="bottom"/>
          </w:tcPr>
          <w:p>
            <w:pPr>
              <w:jc w:val="center"/>
              <w:spacing w:after="0"/>
              <w:rPr>
                <w:sz w:val="20"/>
                <w:szCs w:val="20"/>
                <w:color w:val="auto"/>
              </w:rPr>
            </w:pPr>
            <w:r>
              <w:rPr>
                <w:rFonts w:ascii="Arial" w:cs="Arial" w:eastAsia="Arial" w:hAnsi="Arial"/>
                <w:sz w:val="16"/>
                <w:szCs w:val="16"/>
                <w:color w:val="0000FF"/>
              </w:rPr>
              <w:t>73</w:t>
            </w:r>
          </w:p>
        </w:tc>
      </w:tr>
      <w:tr>
        <w:trPr>
          <w:trHeight w:val="211"/>
        </w:trPr>
        <w:tc>
          <w:tcPr>
            <w:tcW w:w="10240" w:type="dxa"/>
            <w:vAlign w:val="bottom"/>
            <w:shd w:val="clear" w:color="auto" w:fill="CCEEFF"/>
          </w:tcPr>
          <w:p>
            <w:pPr>
              <w:ind w:left="20"/>
              <w:spacing w:after="0"/>
              <w:rPr>
                <w:sz w:val="20"/>
                <w:szCs w:val="20"/>
                <w:color w:val="auto"/>
              </w:rPr>
            </w:pPr>
            <w:r>
              <w:rPr>
                <w:rFonts w:ascii="Arial" w:cs="Arial" w:eastAsia="Arial" w:hAnsi="Arial"/>
                <w:sz w:val="16"/>
                <w:szCs w:val="16"/>
                <w:color w:val="0000FF"/>
              </w:rPr>
              <w:t>Notes to Consolidated Financial Statements</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0000FF"/>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765810</wp:posOffset>
            </wp:positionV>
            <wp:extent cx="69361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2023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28" w:right="359" w:bottom="1440" w:gutter="0" w:footer="0" w:header="0"/>
        </w:sectPr>
      </w:pPr>
    </w:p>
    <w:bookmarkStart w:id="64" w:name="page65"/>
    <w:bookmarkEnd w:id="6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Enphase Energy, Inc.</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have audited the accompanying consolidated balance sheets of Enphase Energy, Inc. and subsidiaries (the "Company") as of December 31, 2023, and 2022, the related consolidated statements of operations, comprehensive income,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64"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9, 2024, expressed an unqualified opinion on the Company's internal control over financial reporting.</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Obligations - Refer to Notes 2, 10 and 11 to the consolidated financial statements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Critical Audit Matter Description</w:t>
      </w:r>
    </w:p>
    <w:p>
      <w:pPr>
        <w:spacing w:after="0" w:line="119"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The Company’s warranty obligation provides for the replacement of microinverter and storage products that fail during the product’s warranty term of 10 to 25 years. The estimated warranty liability is developed for each generation of product and requires management to estimate, among other factors, (1) the number of units expected to fail and be returned for replacement over time (</w:t>
      </w:r>
      <w:r>
        <w:rPr>
          <w:rFonts w:ascii="Arial" w:cs="Arial" w:eastAsia="Arial" w:hAnsi="Arial"/>
          <w:sz w:val="17"/>
          <w:szCs w:val="17"/>
          <w:i w:val="1"/>
          <w:iCs w:val="1"/>
          <w:color w:val="auto"/>
        </w:rPr>
        <w:t>i.e.,</w:t>
      </w:r>
      <w:r>
        <w:rPr>
          <w:rFonts w:ascii="Arial" w:cs="Arial" w:eastAsia="Arial" w:hAnsi="Arial"/>
          <w:sz w:val="17"/>
          <w:szCs w:val="17"/>
          <w:color w:val="auto"/>
        </w:rPr>
        <w:t xml:space="preserve"> return rate); and (2) the per unit cost of replacement units, including outbound shipping and labor costs, expected to be incurred to replace failed units over time (</w:t>
      </w:r>
      <w:r>
        <w:rPr>
          <w:rFonts w:ascii="Arial" w:cs="Arial" w:eastAsia="Arial" w:hAnsi="Arial"/>
          <w:sz w:val="17"/>
          <w:szCs w:val="17"/>
          <w:i w:val="1"/>
          <w:iCs w:val="1"/>
          <w:color w:val="auto"/>
        </w:rPr>
        <w:t>i.e.,</w:t>
      </w:r>
      <w:r>
        <w:rPr>
          <w:rFonts w:ascii="Arial" w:cs="Arial" w:eastAsia="Arial" w:hAnsi="Arial"/>
          <w:sz w:val="17"/>
          <w:szCs w:val="17"/>
          <w:color w:val="auto"/>
        </w:rPr>
        <w:t xml:space="preserve"> replacement cost), all of which consider historical results, trends and the most current data available when the financial statements are available to be issued. The Company’s warranty liability for all microinverter and storage products sold after January 1, 2014, is measured at fair value which incorporates a discount rate based on the Company’s credit adjusted risk free rate.</w:t>
      </w:r>
    </w:p>
    <w:p>
      <w:pPr>
        <w:spacing w:after="0" w:line="68"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Given the subjectivity of (1) estimating the number of units expected to fail and which will be returned for replacement over time; (2) the estimated cost to replace such products, and (3) the specialized valuation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5" w:name="page66"/>
    <w:bookmarkEnd w:id="6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required in evaluating discount rates, performing audit procedures to evaluate whether the expected return rates, replacement costs and discount rate were appropriately determined as of December 31, 2023, required a high degree of auditor judgment and an increased extent of effort.</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19"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Our audit procedures related to the estimated warranty return rates, estimated replacement costs and discount rate used in determining the warranty obligation included the following, among others:</w:t>
      </w:r>
    </w:p>
    <w:p>
      <w:pPr>
        <w:spacing w:after="0" w:line="36" w:lineRule="exact"/>
        <w:rPr>
          <w:sz w:val="20"/>
          <w:szCs w:val="20"/>
          <w:color w:val="auto"/>
        </w:rPr>
      </w:pPr>
    </w:p>
    <w:p>
      <w:pPr>
        <w:ind w:left="640" w:hanging="315"/>
        <w:spacing w:after="0" w:line="300" w:lineRule="auto"/>
        <w:rPr>
          <w:sz w:val="20"/>
          <w:szCs w:val="20"/>
          <w:color w:val="auto"/>
        </w:rPr>
      </w:pPr>
      <w:r>
        <w:rPr>
          <w:rFonts w:ascii="Arial" w:cs="Arial" w:eastAsia="Arial" w:hAnsi="Arial"/>
          <w:sz w:val="17"/>
          <w:szCs w:val="17"/>
          <w:color w:val="auto"/>
        </w:rPr>
        <w:t>– We tested the effectiveness of controls utilized in the review of the warranty obligation calculation, including controls over the determination of estimated warranty return rates, estimated replacement costs and discount rate.</w:t>
      </w:r>
    </w:p>
    <w:p>
      <w:pPr>
        <w:spacing w:after="0" w:line="35" w:lineRule="exact"/>
        <w:rPr>
          <w:sz w:val="20"/>
          <w:szCs w:val="20"/>
          <w:color w:val="auto"/>
        </w:rPr>
      </w:pPr>
    </w:p>
    <w:p>
      <w:pPr>
        <w:ind w:left="640" w:hanging="315"/>
        <w:spacing w:after="0" w:line="300" w:lineRule="auto"/>
        <w:rPr>
          <w:sz w:val="20"/>
          <w:szCs w:val="20"/>
          <w:color w:val="auto"/>
        </w:rPr>
      </w:pPr>
      <w:r>
        <w:rPr>
          <w:rFonts w:ascii="Arial" w:cs="Arial" w:eastAsia="Arial" w:hAnsi="Arial"/>
          <w:sz w:val="17"/>
          <w:szCs w:val="17"/>
          <w:color w:val="auto"/>
        </w:rPr>
        <w:t>– We evaluated the methods and assumptions used by management to estimate warranty return rates, estimated replacement costs and discount rate used as part of the calculation of the warranty obligation by:</w:t>
      </w:r>
    </w:p>
    <w:p>
      <w:pPr>
        <w:spacing w:after="0" w:line="35" w:lineRule="exact"/>
        <w:rPr>
          <w:sz w:val="20"/>
          <w:szCs w:val="20"/>
          <w:color w:val="auto"/>
        </w:rPr>
      </w:pPr>
    </w:p>
    <w:p>
      <w:pPr>
        <w:jc w:val="both"/>
        <w:ind w:left="1260" w:hanging="311"/>
        <w:spacing w:after="0" w:line="278" w:lineRule="auto"/>
        <w:tabs>
          <w:tab w:leader="none" w:pos="1255" w:val="left"/>
        </w:tabs>
        <w:numPr>
          <w:ilvl w:val="1"/>
          <w:numId w:val="35"/>
        </w:numPr>
        <w:rPr>
          <w:rFonts w:ascii="Arial" w:cs="Arial" w:eastAsia="Arial" w:hAnsi="Arial"/>
          <w:sz w:val="17"/>
          <w:szCs w:val="17"/>
          <w:color w:val="auto"/>
        </w:rPr>
      </w:pPr>
      <w:r>
        <w:rPr>
          <w:rFonts w:ascii="Arial" w:cs="Arial" w:eastAsia="Arial" w:hAnsi="Arial"/>
          <w:sz w:val="17"/>
          <w:szCs w:val="17"/>
          <w:color w:val="auto"/>
        </w:rPr>
        <w:t>Testing the underlying data that served as the basis for the Company’s return rates analysis, which include historical warranty returns and historical product sales, in order to evaluate the various assumptions and historical data consisting of failure of individual components contained in its microinverters and storage products.</w:t>
      </w:r>
    </w:p>
    <w:p>
      <w:pPr>
        <w:spacing w:after="0" w:line="55" w:lineRule="exact"/>
        <w:rPr>
          <w:rFonts w:ascii="Arial" w:cs="Arial" w:eastAsia="Arial" w:hAnsi="Arial"/>
          <w:sz w:val="17"/>
          <w:szCs w:val="17"/>
          <w:color w:val="auto"/>
        </w:rPr>
      </w:pPr>
    </w:p>
    <w:p>
      <w:pPr>
        <w:ind w:left="1260" w:hanging="311"/>
        <w:spacing w:after="0" w:line="300" w:lineRule="auto"/>
        <w:tabs>
          <w:tab w:leader="none" w:pos="1255" w:val="left"/>
        </w:tabs>
        <w:numPr>
          <w:ilvl w:val="1"/>
          <w:numId w:val="35"/>
        </w:numPr>
        <w:rPr>
          <w:rFonts w:ascii="Arial" w:cs="Arial" w:eastAsia="Arial" w:hAnsi="Arial"/>
          <w:sz w:val="17"/>
          <w:szCs w:val="17"/>
          <w:color w:val="auto"/>
        </w:rPr>
      </w:pPr>
      <w:r>
        <w:rPr>
          <w:rFonts w:ascii="Arial" w:cs="Arial" w:eastAsia="Arial" w:hAnsi="Arial"/>
          <w:sz w:val="17"/>
          <w:szCs w:val="17"/>
          <w:color w:val="auto"/>
        </w:rPr>
        <w:t>Comparing management’s prior-year assumptions of expected return rates to actual warranty returns received during the current year to identify potential bias in the determination of the return rates estimates used in the warranty obligation recorded.</w:t>
      </w:r>
    </w:p>
    <w:p>
      <w:pPr>
        <w:spacing w:after="0" w:line="35" w:lineRule="exact"/>
        <w:rPr>
          <w:rFonts w:ascii="Arial" w:cs="Arial" w:eastAsia="Arial" w:hAnsi="Arial"/>
          <w:sz w:val="17"/>
          <w:szCs w:val="17"/>
          <w:color w:val="auto"/>
        </w:rPr>
      </w:pPr>
    </w:p>
    <w:p>
      <w:pPr>
        <w:ind w:left="1260" w:hanging="311"/>
        <w:spacing w:after="0"/>
        <w:tabs>
          <w:tab w:leader="none" w:pos="12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Testing the relevant inputs into the Company’s per unit replacement costs, including third party vendor quotes.</w:t>
      </w:r>
    </w:p>
    <w:p>
      <w:pPr>
        <w:spacing w:after="0" w:line="119" w:lineRule="exact"/>
        <w:rPr>
          <w:rFonts w:ascii="Arial" w:cs="Arial" w:eastAsia="Arial" w:hAnsi="Arial"/>
          <w:sz w:val="17"/>
          <w:szCs w:val="17"/>
          <w:color w:val="auto"/>
        </w:rPr>
      </w:pPr>
    </w:p>
    <w:p>
      <w:pPr>
        <w:ind w:left="1260" w:hanging="311"/>
        <w:spacing w:after="0"/>
        <w:tabs>
          <w:tab w:leader="none" w:pos="12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Testing the discount rate used in the Company’s warranty obligation, utilizing internal fair value specialists.</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February 9, 2024</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477520</wp:posOffset>
            </wp:positionV>
            <wp:extent cx="69361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6" w:name="page67"/>
    <w:bookmarkEnd w:id="6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6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Enphase Energy, Inc.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21" w:lineRule="exact"/>
        <w:rPr>
          <w:sz w:val="20"/>
          <w:szCs w:val="20"/>
          <w:color w:val="auto"/>
        </w:rPr>
      </w:pPr>
    </w:p>
    <w:p>
      <w:pPr>
        <w:jc w:val="both"/>
        <w:ind w:firstLine="393"/>
        <w:spacing w:after="0" w:line="271" w:lineRule="auto"/>
        <w:rPr>
          <w:sz w:val="20"/>
          <w:szCs w:val="20"/>
          <w:color w:val="auto"/>
        </w:rPr>
      </w:pPr>
      <w:r>
        <w:rPr>
          <w:rFonts w:ascii="Arial" w:cs="Arial" w:eastAsia="Arial" w:hAnsi="Arial"/>
          <w:sz w:val="17"/>
          <w:szCs w:val="17"/>
          <w:color w:val="auto"/>
        </w:rPr>
        <w:t xml:space="preserve">We have audited the internal control over financial reporting of Enphase Energy, Inc. and subsidiaries (the “Company”) as of December 31,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61"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2023, of the Company and our report dated February 9, 2024, expressed an unqualified opinion on those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21"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February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434340</wp:posOffset>
            </wp:positionV>
            <wp:extent cx="69361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7" w:name="page68"/>
    <w:bookmarkEnd w:id="6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67"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par value)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8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240" w:type="dxa"/>
            <w:vAlign w:val="bottom"/>
          </w:tcPr>
          <w:p>
            <w:pPr>
              <w:jc w:val="right"/>
              <w:ind w:right="182"/>
              <w:spacing w:after="0" w:line="141"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8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0"/>
        </w:trPr>
        <w:tc>
          <w:tcPr>
            <w:tcW w:w="8260" w:type="dxa"/>
            <w:vAlign w:val="bottom"/>
            <w:shd w:val="clear" w:color="auto" w:fill="CCEEFF"/>
          </w:tcPr>
          <w:p>
            <w:pPr>
              <w:ind w:left="38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288,748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473,244</w:t>
            </w: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1,406,286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1,139,599</w:t>
            </w:r>
          </w:p>
        </w:tc>
        <w:tc>
          <w:tcPr>
            <w:tcW w:w="0" w:type="dxa"/>
            <w:vAlign w:val="bottom"/>
          </w:tcPr>
          <w:p>
            <w:pPr>
              <w:spacing w:after="0"/>
              <w:rPr>
                <w:sz w:val="1"/>
                <w:szCs w:val="1"/>
                <w:color w:val="auto"/>
              </w:rPr>
            </w:pPr>
          </w:p>
        </w:tc>
      </w:tr>
      <w:tr>
        <w:trPr>
          <w:trHeight w:val="160"/>
        </w:trPr>
        <w:tc>
          <w:tcPr>
            <w:tcW w:w="8260" w:type="dxa"/>
            <w:vAlign w:val="bottom"/>
            <w:shd w:val="clear" w:color="auto" w:fill="CCEEFF"/>
          </w:tcPr>
          <w:p>
            <w:pPr>
              <w:ind w:left="340"/>
              <w:spacing w:after="0" w:line="160" w:lineRule="exact"/>
              <w:rPr>
                <w:sz w:val="20"/>
                <w:szCs w:val="20"/>
                <w:color w:val="auto"/>
              </w:rPr>
            </w:pPr>
            <w:r>
              <w:rPr>
                <w:rFonts w:ascii="Arial" w:cs="Arial" w:eastAsia="Arial" w:hAnsi="Arial"/>
                <w:sz w:val="16"/>
                <w:szCs w:val="16"/>
                <w:color w:val="auto"/>
              </w:rPr>
              <w:t>Accounts receivable, net of allowances of $2,502 and $979 at December 31, 2023 and December 31, 2022,</w:t>
            </w:r>
          </w:p>
        </w:tc>
        <w:tc>
          <w:tcPr>
            <w:tcW w:w="1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445,959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440,896</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respectively</w:t>
            </w: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213,595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149,708</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88,930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60,824</w:t>
            </w:r>
          </w:p>
        </w:tc>
        <w:tc>
          <w:tcPr>
            <w:tcW w:w="0" w:type="dxa"/>
            <w:vAlign w:val="bottom"/>
          </w:tcPr>
          <w:p>
            <w:pPr>
              <w:spacing w:after="0"/>
              <w:rPr>
                <w:sz w:val="1"/>
                <w:szCs w:val="1"/>
                <w:color w:val="auto"/>
              </w:rPr>
            </w:pPr>
          </w:p>
        </w:tc>
      </w:tr>
      <w:tr>
        <w:trPr>
          <w:trHeight w:val="202"/>
        </w:trPr>
        <w:tc>
          <w:tcPr>
            <w:tcW w:w="826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2,443,518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2,264,271</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168,244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111,367</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Operating lease, right of use asset, net</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19,887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21,379</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68,536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99,541</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214,562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213,559</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215,895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169,291</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assets, net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252,370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204,872</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3,383,012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3,084,280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46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116,164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125,085</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261,919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295,939</w:t>
            </w: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Arial" w:cs="Arial" w:eastAsia="Arial" w:hAnsi="Arial"/>
                <w:sz w:val="16"/>
                <w:szCs w:val="16"/>
                <w:color w:val="auto"/>
              </w:rPr>
              <w:t>Deferred revenues, current</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118,300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90,747</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Warranty obligations, current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36,066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35,556</w:t>
            </w: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Arial" w:cs="Arial" w:eastAsia="Arial" w:hAnsi="Arial"/>
                <w:sz w:val="16"/>
                <w:szCs w:val="16"/>
                <w:color w:val="auto"/>
              </w:rPr>
              <w:t>Debt, current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90,892</w:t>
            </w:r>
          </w:p>
        </w:tc>
        <w:tc>
          <w:tcPr>
            <w:tcW w:w="0" w:type="dxa"/>
            <w:vAlign w:val="bottom"/>
          </w:tcPr>
          <w:p>
            <w:pPr>
              <w:spacing w:after="0"/>
              <w:rPr>
                <w:sz w:val="1"/>
                <w:szCs w:val="1"/>
                <w:color w:val="auto"/>
              </w:rPr>
            </w:pPr>
          </w:p>
        </w:tc>
      </w:tr>
      <w:tr>
        <w:trPr>
          <w:trHeight w:val="204"/>
        </w:trPr>
        <w:tc>
          <w:tcPr>
            <w:tcW w:w="82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532,449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638,219</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revenues, non-current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369,172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281,613</w:t>
            </w: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Arial" w:cs="Arial" w:eastAsia="Arial" w:hAnsi="Arial"/>
                <w:sz w:val="16"/>
                <w:szCs w:val="16"/>
                <w:color w:val="auto"/>
              </w:rPr>
              <w:t>Warranty obligations, non-current</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153,021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95,890</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51,008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43,520</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Debt, non-current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1,293,738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1,199,465</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2,399,388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2,258,707</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6"/>
                <w:szCs w:val="16"/>
                <w:color w:val="auto"/>
              </w:rPr>
              <w:t>Commitments and contingencies (Note 14)</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260" w:type="dxa"/>
            <w:vAlign w:val="bottom"/>
          </w:tcPr>
          <w:p>
            <w:pPr>
              <w:ind w:left="340"/>
              <w:spacing w:after="0" w:line="158" w:lineRule="exact"/>
              <w:rPr>
                <w:sz w:val="20"/>
                <w:szCs w:val="20"/>
                <w:color w:val="auto"/>
              </w:rPr>
            </w:pPr>
            <w:r>
              <w:rPr>
                <w:rFonts w:ascii="Arial" w:cs="Arial" w:eastAsia="Arial" w:hAnsi="Arial"/>
                <w:sz w:val="16"/>
                <w:szCs w:val="16"/>
                <w:color w:val="auto"/>
                <w:w w:val="99"/>
              </w:rPr>
              <w:t>Common stock, $0.00001 par value, 300,000 shares authorized; and 135,722 shares and 136,441 shares issued</w:t>
            </w:r>
          </w:p>
        </w:tc>
        <w:tc>
          <w:tcPr>
            <w:tcW w:w="180" w:type="dxa"/>
            <w:vAlign w:val="bottom"/>
          </w:tcPr>
          <w:p>
            <w:pPr>
              <w:spacing w:after="0"/>
              <w:rPr>
                <w:sz w:val="13"/>
                <w:szCs w:val="13"/>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and outstanding at December 31, 2023 and December 31, 2022, respectively</w:t>
            </w: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939,338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819,119</w:t>
            </w: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Arial" w:cs="Arial" w:eastAsia="Arial" w:hAnsi="Arial"/>
                <w:sz w:val="16"/>
                <w:szCs w:val="16"/>
                <w:color w:val="auto"/>
              </w:rPr>
              <w:t>Accumulated earnings</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46,273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17,335</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(10,882)</w:t>
            </w:r>
          </w:p>
        </w:tc>
        <w:tc>
          <w:tcPr>
            <w:tcW w:w="0" w:type="dxa"/>
            <w:vAlign w:val="bottom"/>
          </w:tcPr>
          <w:p>
            <w:pPr>
              <w:spacing w:after="0"/>
              <w:rPr>
                <w:sz w:val="1"/>
                <w:szCs w:val="1"/>
                <w:color w:val="auto"/>
              </w:rPr>
            </w:pPr>
          </w:p>
        </w:tc>
      </w:tr>
      <w:tr>
        <w:trPr>
          <w:trHeight w:val="202"/>
        </w:trPr>
        <w:tc>
          <w:tcPr>
            <w:tcW w:w="82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983,624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825,573</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3,383,012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3,084,280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511175</wp:posOffset>
            </wp:positionV>
            <wp:extent cx="69361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8" w:name="page69"/>
    <w:bookmarkEnd w:id="68"/>
    <w:p>
      <w:pPr>
        <w:ind w:left="46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ENPHASE ENERGY, INC.</w:t>
      </w:r>
    </w:p>
    <w:p>
      <w:pPr>
        <w:spacing w:after="0" w:line="67"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181"/>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2,290,786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2,330,853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1,382,049</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1,232,398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1,356,258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827,627</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1,058,388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974,595</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554,422</w:t>
            </w:r>
          </w:p>
        </w:tc>
        <w:tc>
          <w:tcPr>
            <w:tcW w:w="0" w:type="dxa"/>
            <w:vAlign w:val="bottom"/>
          </w:tcPr>
          <w:p>
            <w:pPr>
              <w:spacing w:after="0"/>
              <w:rPr>
                <w:sz w:val="1"/>
                <w:szCs w:val="1"/>
                <w:color w:val="auto"/>
              </w:rPr>
            </w:pPr>
          </w:p>
        </w:tc>
      </w:tr>
      <w:tr>
        <w:trPr>
          <w:trHeight w:val="189"/>
        </w:trPr>
        <w:tc>
          <w:tcPr>
            <w:tcW w:w="66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168,846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105,526</w:t>
            </w:r>
          </w:p>
        </w:tc>
        <w:tc>
          <w:tcPr>
            <w:tcW w:w="0" w:type="dxa"/>
            <w:vAlign w:val="bottom"/>
          </w:tcPr>
          <w:p>
            <w:pPr>
              <w:spacing w:after="0"/>
              <w:rPr>
                <w:sz w:val="1"/>
                <w:szCs w:val="1"/>
                <w:color w:val="auto"/>
              </w:rPr>
            </w:pPr>
          </w:p>
        </w:tc>
      </w:tr>
      <w:tr>
        <w:trPr>
          <w:trHeight w:val="209"/>
        </w:trPr>
        <w:tc>
          <w:tcPr>
            <w:tcW w:w="6680" w:type="dxa"/>
            <w:vAlign w:val="bottom"/>
          </w:tcPr>
          <w:p>
            <w:pPr>
              <w:ind w:left="34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231,792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215,102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128,974</w:t>
            </w:r>
          </w:p>
        </w:tc>
        <w:tc>
          <w:tcPr>
            <w:tcW w:w="0" w:type="dxa"/>
            <w:vAlign w:val="bottom"/>
          </w:tcPr>
          <w:p>
            <w:pPr>
              <w:spacing w:after="0"/>
              <w:rPr>
                <w:sz w:val="1"/>
                <w:szCs w:val="1"/>
                <w:color w:val="auto"/>
              </w:rPr>
            </w:pPr>
          </w:p>
        </w:tc>
      </w:tr>
      <w:tr>
        <w:trPr>
          <w:trHeight w:val="211"/>
        </w:trPr>
        <w:tc>
          <w:tcPr>
            <w:tcW w:w="6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140,002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104,090</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Restructuring and asset impairment charges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2,384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612,647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526,334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338,590</w:t>
            </w:r>
          </w:p>
        </w:tc>
        <w:tc>
          <w:tcPr>
            <w:tcW w:w="0" w:type="dxa"/>
            <w:vAlign w:val="bottom"/>
          </w:tcPr>
          <w:p>
            <w:pPr>
              <w:spacing w:after="0"/>
              <w:rPr>
                <w:sz w:val="1"/>
                <w:szCs w:val="1"/>
                <w:color w:val="auto"/>
              </w:rPr>
            </w:pPr>
          </w:p>
        </w:tc>
      </w:tr>
      <w:tr>
        <w:trPr>
          <w:trHeight w:val="202"/>
        </w:trPr>
        <w:tc>
          <w:tcPr>
            <w:tcW w:w="668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445,741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448,261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215,832</w:t>
            </w:r>
          </w:p>
        </w:tc>
        <w:tc>
          <w:tcPr>
            <w:tcW w:w="0" w:type="dxa"/>
            <w:vAlign w:val="bottom"/>
          </w:tcPr>
          <w:p>
            <w:pPr>
              <w:spacing w:after="0"/>
              <w:rPr>
                <w:sz w:val="1"/>
                <w:szCs w:val="1"/>
                <w:color w:val="auto"/>
              </w:rPr>
            </w:pPr>
          </w:p>
        </w:tc>
      </w:tr>
      <w:tr>
        <w:trPr>
          <w:trHeight w:val="211"/>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69,728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13,656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11"/>
        </w:trPr>
        <w:tc>
          <w:tcPr>
            <w:tcW w:w="6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(45,152)</w:t>
            </w:r>
          </w:p>
        </w:tc>
        <w:tc>
          <w:tcPr>
            <w:tcW w:w="0" w:type="dxa"/>
            <w:vAlign w:val="bottom"/>
          </w:tcPr>
          <w:p>
            <w:pPr>
              <w:spacing w:after="0"/>
              <w:rPr>
                <w:sz w:val="1"/>
                <w:szCs w:val="1"/>
                <w:color w:val="auto"/>
              </w:rPr>
            </w:pPr>
          </w:p>
        </w:tc>
      </w:tr>
      <w:tr>
        <w:trPr>
          <w:trHeight w:val="209"/>
        </w:trPr>
        <w:tc>
          <w:tcPr>
            <w:tcW w:w="6680" w:type="dxa"/>
            <w:vAlign w:val="bottom"/>
          </w:tcPr>
          <w:p>
            <w:pPr>
              <w:ind w:left="34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6,050</w:t>
            </w:r>
          </w:p>
        </w:tc>
        <w:tc>
          <w:tcPr>
            <w:tcW w:w="0" w:type="dxa"/>
            <w:vAlign w:val="bottom"/>
          </w:tcPr>
          <w:p>
            <w:pPr>
              <w:spacing w:after="0"/>
              <w:rPr>
                <w:sz w:val="1"/>
                <w:szCs w:val="1"/>
                <w:color w:val="auto"/>
              </w:rPr>
            </w:pPr>
          </w:p>
        </w:tc>
      </w:tr>
      <w:tr>
        <w:trPr>
          <w:trHeight w:val="211"/>
        </w:trPr>
        <w:tc>
          <w:tcPr>
            <w:tcW w:w="6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partial settlement of convertible notes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(56,497)</w:t>
            </w:r>
          </w:p>
        </w:tc>
        <w:tc>
          <w:tcPr>
            <w:tcW w:w="0" w:type="dxa"/>
            <w:vAlign w:val="bottom"/>
          </w:tcPr>
          <w:p>
            <w:pPr>
              <w:spacing w:after="0"/>
              <w:rPr>
                <w:sz w:val="1"/>
                <w:szCs w:val="1"/>
                <w:color w:val="auto"/>
              </w:rPr>
            </w:pPr>
          </w:p>
        </w:tc>
      </w:tr>
      <w:tr>
        <w:trPr>
          <w:trHeight w:val="202"/>
        </w:trPr>
        <w:tc>
          <w:tcPr>
            <w:tcW w:w="668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other income (expense), net</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67,398</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3,787</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(94,904)</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513,139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452,048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120,928</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(74,203)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(54,686)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24,521</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438,936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397,362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145,449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80" w:type="dxa"/>
            <w:vAlign w:val="bottom"/>
          </w:tcPr>
          <w:p>
            <w:pPr>
              <w:ind w:left="340"/>
              <w:spacing w:after="0" w:line="182" w:lineRule="exact"/>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jc w:val="right"/>
              <w:ind w:right="141"/>
              <w:spacing w:after="0" w:line="182"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3.08</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line="182"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line="182" w:lineRule="exact"/>
              <w:rPr>
                <w:sz w:val="20"/>
                <w:szCs w:val="20"/>
                <w:color w:val="auto"/>
              </w:rPr>
            </w:pPr>
            <w:r>
              <w:rPr>
                <w:rFonts w:ascii="Arial" w:cs="Arial" w:eastAsia="Arial" w:hAnsi="Arial"/>
                <w:sz w:val="16"/>
                <w:szCs w:val="16"/>
                <w:color w:val="auto"/>
              </w:rPr>
              <w:t>2.77</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41"/>
              <w:spacing w:after="0" w:line="182"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8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Shares used in per share calculation: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34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136,376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135,349</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134,025</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143,290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144,390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142,878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511175</wp:posOffset>
            </wp:positionV>
            <wp:extent cx="69361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72390</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40" w:top="228" w:right="359" w:bottom="1440" w:gutter="0" w:footer="0" w:header="0"/>
        </w:sectPr>
      </w:pPr>
    </w:p>
    <w:bookmarkStart w:id="69" w:name="page70"/>
    <w:bookmarkEnd w:id="69"/>
    <w:p>
      <w:pPr>
        <w:ind w:left="44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ENPHASE ENERGY, INC.</w:t>
      </w:r>
    </w:p>
    <w:p>
      <w:pPr>
        <w:spacing w:after="0" w:line="67"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98"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20320</wp:posOffset>
            </wp:positionV>
            <wp:extent cx="28809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80995" cy="8255"/>
                    </a:xfrm>
                    <a:prstGeom prst="rect">
                      <a:avLst/>
                    </a:prstGeom>
                    <a:noFill/>
                  </pic:spPr>
                </pic:pic>
              </a:graphicData>
            </a:graphic>
          </wp:anchor>
        </w:drawing>
      </w:r>
    </w:p>
    <w:p>
      <w:pPr>
        <w:spacing w:after="0" w:line="29" w:lineRule="exact"/>
        <w:rPr>
          <w:sz w:val="20"/>
          <w:szCs w:val="20"/>
          <w:color w:val="auto"/>
        </w:rPr>
      </w:pPr>
    </w:p>
    <w:p>
      <w:pPr>
        <w:jc w:val="both"/>
        <w:ind w:left="7220"/>
        <w:spacing w:after="0"/>
        <w:tabs>
          <w:tab w:leader="none" w:pos="8740" w:val="left"/>
          <w:tab w:leader="none" w:pos="1030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9620" cy="141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ectPr>
          <w:pgSz w:w="11900" w:h="16838" w:orient="portrait"/>
          <w:cols w:equalWidth="0" w:num="1">
            <w:col w:w="11180"/>
          </w:cols>
          <w:pgMar w:left="360" w:top="228" w:right="359" w:bottom="1440" w:gutter="0" w:footer="0" w:header="0"/>
        </w:sectPr>
      </w:pPr>
    </w:p>
    <w:p>
      <w:pPr>
        <w:spacing w:after="0" w:line="33" w:lineRule="exact"/>
        <w:rPr>
          <w:sz w:val="20"/>
          <w:szCs w:val="20"/>
          <w:color w:val="auto"/>
        </w:rPr>
      </w:pPr>
    </w:p>
    <w:p>
      <w:pPr>
        <w:spacing w:after="0"/>
        <w:tabs>
          <w:tab w:leader="none" w:pos="6660" w:val="left"/>
        </w:tabs>
        <w:rPr>
          <w:sz w:val="20"/>
          <w:szCs w:val="20"/>
          <w:color w:val="auto"/>
        </w:rPr>
      </w:pPr>
      <w:r>
        <w:rPr>
          <w:rFonts w:ascii="Arial" w:cs="Arial" w:eastAsia="Arial" w:hAnsi="Arial"/>
          <w:sz w:val="16"/>
          <w:szCs w:val="16"/>
          <w:color w:val="auto"/>
        </w:rPr>
        <w:t>Net income</w:t>
      </w:r>
      <w:r>
        <w:rPr>
          <w:sz w:val="20"/>
          <w:szCs w:val="20"/>
          <w:color w:val="auto"/>
        </w:rPr>
        <w:tab/>
      </w:r>
      <w:r>
        <w:rPr>
          <w:rFonts w:ascii="Arial" w:cs="Arial" w:eastAsia="Arial" w:hAnsi="Arial"/>
          <w:sz w:val="13"/>
          <w:szCs w:val="13"/>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wp:posOffset>
            </wp:positionV>
            <wp:extent cx="7119620" cy="133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19620" cy="133350"/>
                    </a:xfrm>
                    <a:prstGeom prst="rect">
                      <a:avLst/>
                    </a:prstGeom>
                    <a:noFill/>
                  </pic:spPr>
                </pic:pic>
              </a:graphicData>
            </a:graphic>
          </wp:anchor>
        </w:drawing>
      </w:r>
    </w:p>
    <w:p>
      <w:pPr>
        <w:spacing w:after="0" w:line="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Foreign currency translation adjustments</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wp:posOffset>
            </wp:positionV>
            <wp:extent cx="7119620" cy="2330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19620" cy="23304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Change in net unrealized gain (loss), net of income tax benefit (provision) of $2,468,</w:t>
      </w:r>
    </w:p>
    <w:p>
      <w:pPr>
        <w:ind w:left="420"/>
        <w:spacing w:after="0"/>
        <w:rPr>
          <w:sz w:val="20"/>
          <w:szCs w:val="20"/>
          <w:color w:val="auto"/>
        </w:rPr>
      </w:pPr>
      <w:r>
        <w:rPr>
          <w:rFonts w:ascii="Arial" w:cs="Arial" w:eastAsia="Arial" w:hAnsi="Arial"/>
          <w:sz w:val="16"/>
          <w:szCs w:val="16"/>
          <w:color w:val="auto"/>
        </w:rPr>
        <w:t>$1,993, and $745 for the year ended December 31, 2023, 2022, and 2021, respectively.</w:t>
      </w:r>
    </w:p>
    <w:p>
      <w:pPr>
        <w:spacing w:after="0" w:line="12" w:lineRule="exact"/>
        <w:rPr>
          <w:sz w:val="20"/>
          <w:szCs w:val="20"/>
          <w:color w:val="auto"/>
        </w:rPr>
      </w:pPr>
    </w:p>
    <w:p>
      <w:pPr>
        <w:spacing w:after="0"/>
        <w:tabs>
          <w:tab w:leader="none" w:pos="6660" w:val="left"/>
        </w:tabs>
        <w:rPr>
          <w:sz w:val="20"/>
          <w:szCs w:val="20"/>
          <w:color w:val="auto"/>
        </w:rPr>
      </w:pPr>
      <w:r>
        <w:rPr>
          <w:rFonts w:ascii="Arial" w:cs="Arial" w:eastAsia="Arial" w:hAnsi="Arial"/>
          <w:sz w:val="16"/>
          <w:szCs w:val="16"/>
          <w:color w:val="auto"/>
        </w:rPr>
        <w:t>Comprehensive income</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40" w:type="dxa"/>
            <w:vAlign w:val="bottom"/>
          </w:tcPr>
          <w:p>
            <w:pPr>
              <w:jc w:val="right"/>
              <w:ind w:right="101"/>
              <w:spacing w:after="0"/>
              <w:rPr>
                <w:sz w:val="20"/>
                <w:szCs w:val="20"/>
                <w:color w:val="auto"/>
              </w:rPr>
            </w:pPr>
            <w:r>
              <w:rPr>
                <w:rFonts w:ascii="Arial" w:cs="Arial" w:eastAsia="Arial" w:hAnsi="Arial"/>
                <w:sz w:val="16"/>
                <w:szCs w:val="16"/>
                <w:color w:val="auto"/>
                <w:w w:val="93"/>
              </w:rPr>
              <w:t>438,936</w:t>
            </w:r>
          </w:p>
        </w:tc>
        <w:tc>
          <w:tcPr>
            <w:tcW w:w="460" w:type="dxa"/>
            <w:vAlign w:val="bottom"/>
            <w:tcBorders>
              <w:top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397,362</w:t>
            </w:r>
          </w:p>
        </w:tc>
        <w:tc>
          <w:tcPr>
            <w:tcW w:w="100" w:type="dxa"/>
            <w:vAlign w:val="bottom"/>
          </w:tcPr>
          <w:p>
            <w:pPr>
              <w:spacing w:after="0"/>
              <w:rPr>
                <w:sz w:val="17"/>
                <w:szCs w:val="17"/>
                <w:color w:val="auto"/>
              </w:rPr>
            </w:pPr>
          </w:p>
        </w:tc>
        <w:tc>
          <w:tcPr>
            <w:tcW w:w="460" w:type="dxa"/>
            <w:vAlign w:val="bottom"/>
            <w:tcBorders>
              <w:top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145,449</w:t>
            </w:r>
          </w:p>
        </w:tc>
        <w:tc>
          <w:tcPr>
            <w:tcW w:w="0" w:type="dxa"/>
            <w:vAlign w:val="bottom"/>
          </w:tcPr>
          <w:p>
            <w:pPr>
              <w:spacing w:after="0"/>
              <w:rPr>
                <w:sz w:val="1"/>
                <w:szCs w:val="1"/>
                <w:color w:val="auto"/>
              </w:rPr>
            </w:pPr>
          </w:p>
        </w:tc>
      </w:tr>
      <w:tr>
        <w:trPr>
          <w:trHeight w:val="414"/>
        </w:trPr>
        <w:tc>
          <w:tcPr>
            <w:tcW w:w="740" w:type="dxa"/>
            <w:vAlign w:val="bottom"/>
          </w:tcPr>
          <w:p>
            <w:pPr>
              <w:jc w:val="right"/>
              <w:ind w:right="101"/>
              <w:spacing w:after="0"/>
              <w:rPr>
                <w:sz w:val="20"/>
                <w:szCs w:val="20"/>
                <w:color w:val="auto"/>
              </w:rPr>
            </w:pPr>
            <w:r>
              <w:rPr>
                <w:rFonts w:ascii="Arial" w:cs="Arial" w:eastAsia="Arial" w:hAnsi="Arial"/>
                <w:sz w:val="16"/>
                <w:szCs w:val="16"/>
                <w:color w:val="auto"/>
              </w:rPr>
              <w:t>1,190</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(3,185)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498"/>
        </w:trPr>
        <w:tc>
          <w:tcPr>
            <w:tcW w:w="740" w:type="dxa"/>
            <w:vAlign w:val="bottom"/>
          </w:tcPr>
          <w:p>
            <w:pPr>
              <w:jc w:val="right"/>
              <w:ind w:right="101"/>
              <w:spacing w:after="0"/>
              <w:rPr>
                <w:sz w:val="20"/>
                <w:szCs w:val="20"/>
                <w:color w:val="auto"/>
              </w:rPr>
            </w:pPr>
            <w:r>
              <w:rPr>
                <w:rFonts w:ascii="Arial" w:cs="Arial" w:eastAsia="Arial" w:hAnsi="Arial"/>
                <w:sz w:val="16"/>
                <w:szCs w:val="16"/>
                <w:color w:val="auto"/>
              </w:rPr>
              <w:t>7,704</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(5,677)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81"/>
        </w:trPr>
        <w:tc>
          <w:tcPr>
            <w:tcW w:w="740" w:type="dxa"/>
            <w:vAlign w:val="bottom"/>
            <w:vMerge w:val="restart"/>
          </w:tcPr>
          <w:p>
            <w:pPr>
              <w:jc w:val="right"/>
              <w:ind w:right="101"/>
              <w:spacing w:after="0"/>
              <w:rPr>
                <w:sz w:val="20"/>
                <w:szCs w:val="20"/>
                <w:color w:val="auto"/>
              </w:rPr>
            </w:pPr>
            <w:r>
              <w:rPr>
                <w:rFonts w:ascii="Arial" w:cs="Arial" w:eastAsia="Arial" w:hAnsi="Arial"/>
                <w:sz w:val="16"/>
                <w:szCs w:val="16"/>
                <w:color w:val="auto"/>
                <w:w w:val="93"/>
              </w:rPr>
              <w:t>447,830</w:t>
            </w:r>
          </w:p>
        </w:tc>
        <w:tc>
          <w:tcPr>
            <w:tcW w:w="4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74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388,500</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142,995</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-32385</wp:posOffset>
            </wp:positionV>
            <wp:extent cx="9156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1567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-7620</wp:posOffset>
            </wp:positionV>
            <wp:extent cx="9156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1567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-173990</wp:posOffset>
            </wp:positionV>
            <wp:extent cx="9156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60" w:space="700"/>
            <w:col w:w="3720"/>
          </w:cols>
          <w:pgMar w:left="360" w:top="228" w:right="359" w:bottom="144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511175</wp:posOffset>
            </wp:positionV>
            <wp:extent cx="69361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828282"/>
        </w:rPr>
        <w:t>Enphase Energy, Inc. | 2023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72390</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228" w:right="359" w:bottom="1440" w:gutter="0" w:footer="0" w:header="0"/>
          <w:type w:val="continuous"/>
        </w:sectPr>
      </w:pPr>
    </w:p>
    <w:bookmarkStart w:id="70" w:name="page71"/>
    <w:bookmarkEnd w:id="7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67"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1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1"/>
        </w:trPr>
        <w:tc>
          <w:tcPr>
            <w:tcW w:w="3620" w:type="dxa"/>
            <w:vAlign w:val="bottom"/>
          </w:tcPr>
          <w:p>
            <w:pPr>
              <w:spacing w:after="0"/>
              <w:rPr>
                <w:sz w:val="12"/>
                <w:szCs w:val="12"/>
                <w:color w:val="auto"/>
              </w:rPr>
            </w:pPr>
          </w:p>
        </w:tc>
        <w:tc>
          <w:tcPr>
            <w:tcW w:w="1940" w:type="dxa"/>
            <w:vAlign w:val="bottom"/>
            <w:gridSpan w:val="4"/>
            <w:vMerge w:val="restart"/>
          </w:tcPr>
          <w:p>
            <w:pPr>
              <w:jc w:val="right"/>
              <w:ind w:right="38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360"/>
              <w:spacing w:after="0" w:line="118"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240" w:type="dxa"/>
            <w:vAlign w:val="bottom"/>
            <w:gridSpan w:val="2"/>
          </w:tcPr>
          <w:p>
            <w:pPr>
              <w:jc w:val="center"/>
              <w:ind w:right="260"/>
              <w:spacing w:after="0" w:line="118"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30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10"/>
                <w:szCs w:val="10"/>
                <w:color w:val="auto"/>
              </w:rPr>
            </w:pPr>
          </w:p>
        </w:tc>
        <w:tc>
          <w:tcPr>
            <w:tcW w:w="1160" w:type="dxa"/>
            <w:vAlign w:val="bottom"/>
          </w:tcPr>
          <w:p>
            <w:pPr>
              <w:jc w:val="center"/>
              <w:ind w:right="82"/>
              <w:spacing w:after="0" w:line="118"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Earnings (Deficit)</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Income (Loss)</w:t>
            </w:r>
          </w:p>
        </w:tc>
        <w:tc>
          <w:tcPr>
            <w:tcW w:w="160" w:type="dxa"/>
            <w:vAlign w:val="bottom"/>
          </w:tcPr>
          <w:p>
            <w:pPr>
              <w:spacing w:after="0"/>
              <w:rPr>
                <w:sz w:val="16"/>
                <w:szCs w:val="16"/>
                <w:color w:val="auto"/>
              </w:rPr>
            </w:pPr>
          </w:p>
        </w:tc>
        <w:tc>
          <w:tcPr>
            <w:tcW w:w="1160" w:type="dxa"/>
            <w:vAlign w:val="bottom"/>
          </w:tcPr>
          <w:p>
            <w:pPr>
              <w:jc w:val="center"/>
              <w:ind w:right="8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128,962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534,744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(51,186)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434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483,993</w:t>
            </w:r>
          </w:p>
        </w:tc>
        <w:tc>
          <w:tcPr>
            <w:tcW w:w="0" w:type="dxa"/>
            <w:vAlign w:val="bottom"/>
          </w:tcPr>
          <w:p>
            <w:pPr>
              <w:spacing w:after="0"/>
              <w:rPr>
                <w:sz w:val="1"/>
                <w:szCs w:val="1"/>
                <w:color w:val="auto"/>
              </w:rPr>
            </w:pPr>
          </w:p>
        </w:tc>
      </w:tr>
      <w:tr>
        <w:trPr>
          <w:trHeight w:val="158"/>
        </w:trPr>
        <w:tc>
          <w:tcPr>
            <w:tcW w:w="3620" w:type="dxa"/>
            <w:vAlign w:val="bottom"/>
          </w:tcPr>
          <w:p>
            <w:pPr>
              <w:ind w:left="220"/>
              <w:spacing w:after="0" w:line="158" w:lineRule="exact"/>
              <w:rPr>
                <w:sz w:val="20"/>
                <w:szCs w:val="20"/>
                <w:color w:val="auto"/>
              </w:rPr>
            </w:pPr>
            <w:r>
              <w:rPr>
                <w:rFonts w:ascii="Arial" w:cs="Arial" w:eastAsia="Arial" w:hAnsi="Arial"/>
                <w:sz w:val="16"/>
                <w:szCs w:val="16"/>
                <w:color w:val="auto"/>
              </w:rPr>
              <w:t>Issuance of common stock from exercise of</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20" w:type="dxa"/>
            <w:vAlign w:val="bottom"/>
          </w:tcPr>
          <w:p>
            <w:pPr>
              <w:ind w:left="300"/>
              <w:spacing w:after="0" w:line="158" w:lineRule="exact"/>
              <w:rPr>
                <w:sz w:val="20"/>
                <w:szCs w:val="20"/>
                <w:color w:val="auto"/>
              </w:rPr>
            </w:pPr>
            <w:r>
              <w:rPr>
                <w:rFonts w:ascii="Arial" w:cs="Arial" w:eastAsia="Arial" w:hAnsi="Arial"/>
                <w:sz w:val="16"/>
                <w:szCs w:val="16"/>
                <w:color w:val="auto"/>
              </w:rPr>
              <w:t>equity awards and employee stock purchase</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2,808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7,484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7,484</w:t>
            </w:r>
          </w:p>
        </w:tc>
        <w:tc>
          <w:tcPr>
            <w:tcW w:w="0" w:type="dxa"/>
            <w:vAlign w:val="bottom"/>
          </w:tcPr>
          <w:p>
            <w:pPr>
              <w:spacing w:after="0"/>
              <w:rPr>
                <w:sz w:val="1"/>
                <w:szCs w:val="1"/>
                <w:color w:val="auto"/>
              </w:rPr>
            </w:pPr>
          </w:p>
        </w:tc>
      </w:tr>
      <w:tr>
        <w:trPr>
          <w:trHeight w:val="208"/>
        </w:trPr>
        <w:tc>
          <w:tcPr>
            <w:tcW w:w="3620" w:type="dxa"/>
            <w:vAlign w:val="bottom"/>
          </w:tcPr>
          <w:p>
            <w:pPr>
              <w:ind w:left="300"/>
              <w:spacing w:after="0"/>
              <w:rPr>
                <w:sz w:val="20"/>
                <w:szCs w:val="20"/>
                <w:color w:val="auto"/>
              </w:rPr>
            </w:pPr>
            <w:r>
              <w:rPr>
                <w:rFonts w:ascii="Arial" w:cs="Arial" w:eastAsia="Arial" w:hAnsi="Arial"/>
                <w:sz w:val="16"/>
                <w:szCs w:val="16"/>
                <w:color w:val="auto"/>
              </w:rPr>
              <w:t>plan</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220"/>
              <w:spacing w:after="0" w:line="160" w:lineRule="exact"/>
              <w:rPr>
                <w:sz w:val="20"/>
                <w:szCs w:val="20"/>
                <w:color w:val="auto"/>
              </w:rPr>
            </w:pPr>
            <w:r>
              <w:rPr>
                <w:rFonts w:ascii="Arial" w:cs="Arial" w:eastAsia="Arial" w:hAnsi="Arial"/>
                <w:sz w:val="16"/>
                <w:szCs w:val="16"/>
                <w:color w:val="auto"/>
              </w:rPr>
              <w:t>Payment of withholding taxes related to net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(29,136)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(29,136)</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 settlement of equity awards</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20" w:type="dxa"/>
            <w:vAlign w:val="bottom"/>
          </w:tcPr>
          <w:p>
            <w:pPr>
              <w:ind w:left="220"/>
              <w:spacing w:after="0" w:line="158" w:lineRule="exact"/>
              <w:rPr>
                <w:sz w:val="20"/>
                <w:szCs w:val="20"/>
                <w:color w:val="auto"/>
              </w:rPr>
            </w:pPr>
            <w:r>
              <w:rPr>
                <w:rFonts w:ascii="Arial" w:cs="Arial" w:eastAsia="Arial" w:hAnsi="Arial"/>
                <w:sz w:val="16"/>
                <w:szCs w:val="16"/>
                <w:color w:val="auto"/>
              </w:rPr>
              <w:t>Equity component of convertible senior notes,</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207,970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207,970</w:t>
            </w:r>
          </w:p>
        </w:tc>
        <w:tc>
          <w:tcPr>
            <w:tcW w:w="0" w:type="dxa"/>
            <w:vAlign w:val="bottom"/>
          </w:tcPr>
          <w:p>
            <w:pPr>
              <w:spacing w:after="0"/>
              <w:rPr>
                <w:sz w:val="1"/>
                <w:szCs w:val="1"/>
                <w:color w:val="auto"/>
              </w:rPr>
            </w:pPr>
          </w:p>
        </w:tc>
      </w:tr>
      <w:tr>
        <w:trPr>
          <w:trHeight w:val="208"/>
        </w:trPr>
        <w:tc>
          <w:tcPr>
            <w:tcW w:w="3620" w:type="dxa"/>
            <w:vAlign w:val="bottom"/>
          </w:tcPr>
          <w:p>
            <w:pPr>
              <w:ind w:left="300"/>
              <w:spacing w:after="0"/>
              <w:rPr>
                <w:sz w:val="20"/>
                <w:szCs w:val="20"/>
                <w:color w:val="auto"/>
              </w:rPr>
            </w:pPr>
            <w:r>
              <w:rPr>
                <w:rFonts w:ascii="Arial" w:cs="Arial" w:eastAsia="Arial" w:hAnsi="Arial"/>
                <w:sz w:val="16"/>
                <w:szCs w:val="16"/>
                <w:color w:val="auto"/>
              </w:rPr>
              <w:t>net</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220"/>
              <w:spacing w:after="0" w:line="160" w:lineRule="exact"/>
              <w:rPr>
                <w:sz w:val="20"/>
                <w:szCs w:val="20"/>
                <w:color w:val="auto"/>
              </w:rPr>
            </w:pPr>
            <w:r>
              <w:rPr>
                <w:rFonts w:ascii="Arial" w:cs="Arial" w:eastAsia="Arial" w:hAnsi="Arial"/>
                <w:sz w:val="16"/>
                <w:szCs w:val="16"/>
                <w:color w:val="auto"/>
              </w:rPr>
              <w:t>Cost of convertible notes hedge related to the</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(213,322)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(213,322)</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convertible senior notes, net</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20" w:type="dxa"/>
            <w:vAlign w:val="bottom"/>
          </w:tcPr>
          <w:p>
            <w:pPr>
              <w:ind w:left="220"/>
              <w:spacing w:after="0" w:line="158" w:lineRule="exact"/>
              <w:rPr>
                <w:sz w:val="20"/>
                <w:szCs w:val="20"/>
                <w:color w:val="auto"/>
              </w:rPr>
            </w:pPr>
            <w:r>
              <w:rPr>
                <w:rFonts w:ascii="Arial" w:cs="Arial" w:eastAsia="Arial" w:hAnsi="Arial"/>
                <w:sz w:val="16"/>
                <w:szCs w:val="16"/>
                <w:color w:val="auto"/>
              </w:rPr>
              <w:t>Sale of warrants related to the convertible</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220,800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220,800</w:t>
            </w:r>
          </w:p>
        </w:tc>
        <w:tc>
          <w:tcPr>
            <w:tcW w:w="0" w:type="dxa"/>
            <w:vAlign w:val="bottom"/>
          </w:tcPr>
          <w:p>
            <w:pPr>
              <w:spacing w:after="0"/>
              <w:rPr>
                <w:sz w:val="1"/>
                <w:szCs w:val="1"/>
                <w:color w:val="auto"/>
              </w:rPr>
            </w:pPr>
          </w:p>
        </w:tc>
      </w:tr>
      <w:tr>
        <w:trPr>
          <w:trHeight w:val="208"/>
        </w:trPr>
        <w:tc>
          <w:tcPr>
            <w:tcW w:w="3620" w:type="dxa"/>
            <w:vAlign w:val="bottom"/>
          </w:tcPr>
          <w:p>
            <w:pPr>
              <w:ind w:left="300"/>
              <w:spacing w:after="0"/>
              <w:rPr>
                <w:sz w:val="20"/>
                <w:szCs w:val="20"/>
                <w:color w:val="auto"/>
              </w:rPr>
            </w:pPr>
            <w:r>
              <w:rPr>
                <w:rFonts w:ascii="Arial" w:cs="Arial" w:eastAsia="Arial" w:hAnsi="Arial"/>
                <w:sz w:val="16"/>
                <w:szCs w:val="16"/>
                <w:color w:val="auto"/>
              </w:rPr>
              <w:t>senior notes</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180"/>
              <w:spacing w:after="0" w:line="160" w:lineRule="exact"/>
              <w:rPr>
                <w:sz w:val="20"/>
                <w:szCs w:val="20"/>
                <w:color w:val="auto"/>
              </w:rPr>
            </w:pPr>
            <w:r>
              <w:rPr>
                <w:rFonts w:ascii="Arial" w:cs="Arial" w:eastAsia="Arial" w:hAnsi="Arial"/>
                <w:sz w:val="16"/>
                <w:szCs w:val="16"/>
                <w:color w:val="auto"/>
              </w:rPr>
              <w:t>Equity component of settlement of convertible</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(976,714)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(976,714)</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senior notes, net</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220"/>
              <w:spacing w:after="0"/>
              <w:rPr>
                <w:sz w:val="20"/>
                <w:szCs w:val="20"/>
                <w:color w:val="auto"/>
              </w:rPr>
            </w:pPr>
            <w:r>
              <w:rPr>
                <w:rFonts w:ascii="Arial" w:cs="Arial" w:eastAsia="Arial" w:hAnsi="Arial"/>
                <w:sz w:val="16"/>
                <w:szCs w:val="16"/>
                <w:color w:val="auto"/>
              </w:rPr>
              <w:t>Settlement of convertible senior notes</w:t>
            </w:r>
          </w:p>
        </w:tc>
        <w:tc>
          <w:tcPr>
            <w:tcW w:w="940" w:type="dxa"/>
            <w:vAlign w:val="bottom"/>
          </w:tcPr>
          <w:p>
            <w:pPr>
              <w:jc w:val="right"/>
              <w:spacing w:after="0"/>
              <w:rPr>
                <w:sz w:val="20"/>
                <w:szCs w:val="20"/>
                <w:color w:val="auto"/>
              </w:rPr>
            </w:pPr>
            <w:r>
              <w:rPr>
                <w:rFonts w:ascii="Arial" w:cs="Arial" w:eastAsia="Arial" w:hAnsi="Arial"/>
                <w:sz w:val="16"/>
                <w:szCs w:val="16"/>
                <w:color w:val="auto"/>
              </w:rPr>
              <w:t>5,489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972,273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972,273</w:t>
            </w: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180"/>
              <w:spacing w:after="0" w:line="160" w:lineRule="exact"/>
              <w:rPr>
                <w:sz w:val="20"/>
                <w:szCs w:val="20"/>
                <w:color w:val="auto"/>
              </w:rPr>
            </w:pPr>
            <w:r>
              <w:rPr>
                <w:rFonts w:ascii="Arial" w:cs="Arial" w:eastAsia="Arial" w:hAnsi="Arial"/>
                <w:sz w:val="16"/>
                <w:szCs w:val="16"/>
                <w:color w:val="auto"/>
              </w:rPr>
              <w:t>Exercise of convertible notes hedge related to</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(5,721)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the convertible senior notes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20" w:type="dxa"/>
            <w:vAlign w:val="bottom"/>
          </w:tcPr>
          <w:p>
            <w:pPr>
              <w:ind w:left="180"/>
              <w:spacing w:after="0" w:line="158" w:lineRule="exact"/>
              <w:rPr>
                <w:sz w:val="20"/>
                <w:szCs w:val="20"/>
                <w:color w:val="auto"/>
              </w:rPr>
            </w:pPr>
            <w:r>
              <w:rPr>
                <w:rFonts w:ascii="Arial" w:cs="Arial" w:eastAsia="Arial" w:hAnsi="Arial"/>
                <w:sz w:val="16"/>
                <w:szCs w:val="16"/>
                <w:color w:val="auto"/>
              </w:rPr>
              <w:t>Exercise of warrants related to the convertible</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5,582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620" w:type="dxa"/>
            <w:vAlign w:val="bottom"/>
          </w:tcPr>
          <w:p>
            <w:pPr>
              <w:ind w:left="260"/>
              <w:spacing w:after="0"/>
              <w:rPr>
                <w:sz w:val="20"/>
                <w:szCs w:val="20"/>
                <w:color w:val="auto"/>
              </w:rPr>
            </w:pPr>
            <w:r>
              <w:rPr>
                <w:rFonts w:ascii="Arial" w:cs="Arial" w:eastAsia="Arial" w:hAnsi="Arial"/>
                <w:sz w:val="16"/>
                <w:szCs w:val="16"/>
                <w:color w:val="auto"/>
              </w:rPr>
              <w:t>senior notes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113,825</w:t>
            </w:r>
          </w:p>
        </w:tc>
        <w:tc>
          <w:tcPr>
            <w:tcW w:w="0" w:type="dxa"/>
            <w:vAlign w:val="bottom"/>
          </w:tcPr>
          <w:p>
            <w:pPr>
              <w:spacing w:after="0"/>
              <w:rPr>
                <w:sz w:val="1"/>
                <w:szCs w:val="1"/>
                <w:color w:val="auto"/>
              </w:rPr>
            </w:pPr>
          </w:p>
        </w:tc>
      </w:tr>
      <w:tr>
        <w:trPr>
          <w:trHeight w:val="209"/>
        </w:trPr>
        <w:tc>
          <w:tcPr>
            <w:tcW w:w="362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145,449</w:t>
            </w:r>
          </w:p>
        </w:tc>
        <w:tc>
          <w:tcPr>
            <w:tcW w:w="0" w:type="dxa"/>
            <w:vAlign w:val="bottom"/>
          </w:tcPr>
          <w:p>
            <w:pPr>
              <w:spacing w:after="0"/>
              <w:rPr>
                <w:sz w:val="1"/>
                <w:szCs w:val="1"/>
                <w:color w:val="auto"/>
              </w:rPr>
            </w:pPr>
          </w:p>
        </w:tc>
      </w:tr>
      <w:tr>
        <w:trPr>
          <w:trHeight w:val="211"/>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of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09"/>
        </w:trPr>
        <w:tc>
          <w:tcPr>
            <w:tcW w:w="3620" w:type="dxa"/>
            <w:vAlign w:val="bottom"/>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220"/>
              <w:spacing w:after="0" w:line="160" w:lineRule="exact"/>
              <w:rPr>
                <w:sz w:val="20"/>
                <w:szCs w:val="20"/>
                <w:color w:val="auto"/>
              </w:rPr>
            </w:pPr>
            <w:r>
              <w:rPr>
                <w:rFonts w:ascii="Arial" w:cs="Arial" w:eastAsia="Arial" w:hAnsi="Arial"/>
                <w:sz w:val="16"/>
                <w:szCs w:val="16"/>
                <w:color w:val="auto"/>
              </w:rPr>
              <w:t>Change in net unrealized loss on marketable</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(2,120)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208"/>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securities net of tax</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133,894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837,924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(405,737)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430,168</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620" w:type="dxa"/>
            <w:vAlign w:val="bottom"/>
            <w:shd w:val="clear" w:color="auto" w:fill="CCEEFF"/>
          </w:tcPr>
          <w:p>
            <w:pPr>
              <w:ind w:left="180"/>
              <w:spacing w:after="0" w:line="124" w:lineRule="exact"/>
              <w:rPr>
                <w:sz w:val="20"/>
                <w:szCs w:val="20"/>
                <w:color w:val="auto"/>
              </w:rPr>
            </w:pPr>
            <w:r>
              <w:rPr>
                <w:rFonts w:ascii="Arial" w:cs="Arial" w:eastAsia="Arial" w:hAnsi="Arial"/>
                <w:sz w:val="13"/>
                <w:szCs w:val="13"/>
                <w:color w:val="auto"/>
              </w:rPr>
              <w:t>Cumulative-effect adjustment to additional paid-</w:t>
            </w: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620" w:type="dxa"/>
            <w:vAlign w:val="bottom"/>
            <w:shd w:val="clear" w:color="auto" w:fill="CCEEFF"/>
          </w:tcPr>
          <w:p>
            <w:pPr>
              <w:ind w:left="260"/>
              <w:spacing w:after="0" w:line="158" w:lineRule="exact"/>
              <w:rPr>
                <w:sz w:val="20"/>
                <w:szCs w:val="20"/>
                <w:color w:val="auto"/>
              </w:rPr>
            </w:pPr>
            <w:r>
              <w:rPr>
                <w:rFonts w:ascii="Arial" w:cs="Arial" w:eastAsia="Arial" w:hAnsi="Arial"/>
                <w:sz w:val="16"/>
                <w:szCs w:val="16"/>
                <w:color w:val="auto"/>
                <w:w w:val="99"/>
              </w:rPr>
              <w:t>in capital and accumulated equity related to the</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(207,967)</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25,710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(182,257)</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adoption of ASU 2020-06</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20" w:type="dxa"/>
            <w:vAlign w:val="bottom"/>
          </w:tcPr>
          <w:p>
            <w:pPr>
              <w:ind w:left="180"/>
              <w:spacing w:after="0" w:line="158" w:lineRule="exact"/>
              <w:rPr>
                <w:sz w:val="20"/>
                <w:szCs w:val="20"/>
                <w:color w:val="auto"/>
              </w:rPr>
            </w:pPr>
            <w:r>
              <w:rPr>
                <w:rFonts w:ascii="Arial" w:cs="Arial" w:eastAsia="Arial" w:hAnsi="Arial"/>
                <w:sz w:val="16"/>
                <w:szCs w:val="16"/>
                <w:color w:val="auto"/>
              </w:rPr>
              <w:t>Issuance of common stock from exercise of</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20" w:type="dxa"/>
            <w:vAlign w:val="bottom"/>
          </w:tcPr>
          <w:p>
            <w:pPr>
              <w:ind w:left="260"/>
              <w:spacing w:after="0" w:line="158" w:lineRule="exact"/>
              <w:rPr>
                <w:sz w:val="20"/>
                <w:szCs w:val="20"/>
                <w:color w:val="auto"/>
              </w:rPr>
            </w:pPr>
            <w:r>
              <w:rPr>
                <w:rFonts w:ascii="Arial" w:cs="Arial" w:eastAsia="Arial" w:hAnsi="Arial"/>
                <w:sz w:val="16"/>
                <w:szCs w:val="16"/>
                <w:color w:val="auto"/>
              </w:rPr>
              <w:t>equity awards and employee stock purchase</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2,547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10,370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10,370</w:t>
            </w:r>
          </w:p>
        </w:tc>
        <w:tc>
          <w:tcPr>
            <w:tcW w:w="0" w:type="dxa"/>
            <w:vAlign w:val="bottom"/>
          </w:tcPr>
          <w:p>
            <w:pPr>
              <w:spacing w:after="0"/>
              <w:rPr>
                <w:sz w:val="1"/>
                <w:szCs w:val="1"/>
                <w:color w:val="auto"/>
              </w:rPr>
            </w:pPr>
          </w:p>
        </w:tc>
      </w:tr>
      <w:tr>
        <w:trPr>
          <w:trHeight w:val="208"/>
        </w:trPr>
        <w:tc>
          <w:tcPr>
            <w:tcW w:w="3620" w:type="dxa"/>
            <w:vAlign w:val="bottom"/>
          </w:tcPr>
          <w:p>
            <w:pPr>
              <w:ind w:left="260"/>
              <w:spacing w:after="0"/>
              <w:rPr>
                <w:sz w:val="20"/>
                <w:szCs w:val="20"/>
                <w:color w:val="auto"/>
              </w:rPr>
            </w:pPr>
            <w:r>
              <w:rPr>
                <w:rFonts w:ascii="Arial" w:cs="Arial" w:eastAsia="Arial" w:hAnsi="Arial"/>
                <w:sz w:val="16"/>
                <w:szCs w:val="16"/>
                <w:color w:val="auto"/>
              </w:rPr>
              <w:t>plan</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180"/>
              <w:spacing w:after="0" w:line="160" w:lineRule="exact"/>
              <w:rPr>
                <w:sz w:val="20"/>
                <w:szCs w:val="20"/>
                <w:color w:val="auto"/>
              </w:rPr>
            </w:pPr>
            <w:r>
              <w:rPr>
                <w:rFonts w:ascii="Arial" w:cs="Arial" w:eastAsia="Arial" w:hAnsi="Arial"/>
                <w:sz w:val="16"/>
                <w:szCs w:val="16"/>
                <w:color w:val="auto"/>
              </w:rPr>
              <w:t>Payment of withholding taxes related to net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(27,496)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(27,496)</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share settlement of equity awards</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20" w:type="dxa"/>
            <w:vAlign w:val="bottom"/>
          </w:tcPr>
          <w:p>
            <w:pPr>
              <w:ind w:left="180"/>
              <w:spacing w:after="0" w:line="158" w:lineRule="exact"/>
              <w:rPr>
                <w:sz w:val="20"/>
                <w:szCs w:val="20"/>
                <w:color w:val="auto"/>
              </w:rPr>
            </w:pPr>
            <w:r>
              <w:rPr>
                <w:rFonts w:ascii="Arial" w:cs="Arial" w:eastAsia="Arial" w:hAnsi="Arial"/>
                <w:sz w:val="16"/>
                <w:szCs w:val="16"/>
                <w:color w:val="auto"/>
              </w:rPr>
              <w:t>Deferred tax impact on equity component of</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(1,837)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(1,837)</w:t>
            </w:r>
          </w:p>
        </w:tc>
        <w:tc>
          <w:tcPr>
            <w:tcW w:w="0" w:type="dxa"/>
            <w:vAlign w:val="bottom"/>
          </w:tcPr>
          <w:p>
            <w:pPr>
              <w:spacing w:after="0"/>
              <w:rPr>
                <w:sz w:val="1"/>
                <w:szCs w:val="1"/>
                <w:color w:val="auto"/>
              </w:rPr>
            </w:pPr>
          </w:p>
        </w:tc>
      </w:tr>
      <w:tr>
        <w:trPr>
          <w:trHeight w:val="208"/>
        </w:trPr>
        <w:tc>
          <w:tcPr>
            <w:tcW w:w="3620" w:type="dxa"/>
            <w:vAlign w:val="bottom"/>
          </w:tcPr>
          <w:p>
            <w:pPr>
              <w:ind w:left="260"/>
              <w:spacing w:after="0"/>
              <w:rPr>
                <w:sz w:val="20"/>
                <w:szCs w:val="20"/>
                <w:color w:val="auto"/>
              </w:rPr>
            </w:pPr>
            <w:r>
              <w:rPr>
                <w:rFonts w:ascii="Arial" w:cs="Arial" w:eastAsia="Arial" w:hAnsi="Arial"/>
                <w:sz w:val="16"/>
                <w:szCs w:val="16"/>
                <w:color w:val="auto"/>
              </w:rPr>
              <w:t>partial settlement of convertible notes</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208,125</w:t>
            </w:r>
          </w:p>
        </w:tc>
        <w:tc>
          <w:tcPr>
            <w:tcW w:w="0" w:type="dxa"/>
            <w:vAlign w:val="bottom"/>
          </w:tcPr>
          <w:p>
            <w:pPr>
              <w:spacing w:after="0"/>
              <w:rPr>
                <w:sz w:val="1"/>
                <w:szCs w:val="1"/>
                <w:color w:val="auto"/>
              </w:rPr>
            </w:pPr>
          </w:p>
        </w:tc>
      </w:tr>
      <w:tr>
        <w:trPr>
          <w:trHeight w:val="209"/>
        </w:trPr>
        <w:tc>
          <w:tcPr>
            <w:tcW w:w="36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397,362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397,362</w:t>
            </w:r>
          </w:p>
        </w:tc>
        <w:tc>
          <w:tcPr>
            <w:tcW w:w="0" w:type="dxa"/>
            <w:vAlign w:val="bottom"/>
          </w:tcPr>
          <w:p>
            <w:pPr>
              <w:spacing w:after="0"/>
              <w:rPr>
                <w:sz w:val="1"/>
                <w:szCs w:val="1"/>
                <w:color w:val="auto"/>
              </w:rPr>
            </w:pPr>
          </w:p>
        </w:tc>
      </w:tr>
      <w:tr>
        <w:trPr>
          <w:trHeight w:val="211"/>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w:t>
            </w:r>
          </w:p>
        </w:tc>
        <w:tc>
          <w:tcPr>
            <w:tcW w:w="0" w:type="dxa"/>
            <w:vAlign w:val="bottom"/>
          </w:tcPr>
          <w:p>
            <w:pPr>
              <w:spacing w:after="0"/>
              <w:rPr>
                <w:sz w:val="1"/>
                <w:szCs w:val="1"/>
                <w:color w:val="auto"/>
              </w:rPr>
            </w:pPr>
          </w:p>
        </w:tc>
      </w:tr>
      <w:tr>
        <w:trPr>
          <w:trHeight w:val="158"/>
        </w:trPr>
        <w:tc>
          <w:tcPr>
            <w:tcW w:w="3620" w:type="dxa"/>
            <w:vAlign w:val="bottom"/>
          </w:tcPr>
          <w:p>
            <w:pPr>
              <w:ind w:left="180"/>
              <w:spacing w:after="0" w:line="158" w:lineRule="exact"/>
              <w:rPr>
                <w:sz w:val="20"/>
                <w:szCs w:val="20"/>
                <w:color w:val="auto"/>
              </w:rPr>
            </w:pPr>
            <w:r>
              <w:rPr>
                <w:rFonts w:ascii="Arial" w:cs="Arial" w:eastAsia="Arial" w:hAnsi="Arial"/>
                <w:sz w:val="16"/>
                <w:szCs w:val="16"/>
                <w:color w:val="auto"/>
              </w:rPr>
              <w:t>Change in net unrealized loss on marketable</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(5,677)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(5,677)</w:t>
            </w:r>
          </w:p>
        </w:tc>
        <w:tc>
          <w:tcPr>
            <w:tcW w:w="0" w:type="dxa"/>
            <w:vAlign w:val="bottom"/>
          </w:tcPr>
          <w:p>
            <w:pPr>
              <w:spacing w:after="0"/>
              <w:rPr>
                <w:sz w:val="1"/>
                <w:szCs w:val="1"/>
                <w:color w:val="auto"/>
              </w:rPr>
            </w:pPr>
          </w:p>
        </w:tc>
      </w:tr>
      <w:tr>
        <w:trPr>
          <w:trHeight w:val="208"/>
        </w:trPr>
        <w:tc>
          <w:tcPr>
            <w:tcW w:w="3620" w:type="dxa"/>
            <w:vAlign w:val="bottom"/>
          </w:tcPr>
          <w:p>
            <w:pPr>
              <w:ind w:left="260"/>
              <w:spacing w:after="0"/>
              <w:rPr>
                <w:sz w:val="20"/>
                <w:szCs w:val="20"/>
                <w:color w:val="auto"/>
              </w:rPr>
            </w:pPr>
            <w:r>
              <w:rPr>
                <w:rFonts w:ascii="Arial" w:cs="Arial" w:eastAsia="Arial" w:hAnsi="Arial"/>
                <w:sz w:val="16"/>
                <w:szCs w:val="16"/>
                <w:color w:val="auto"/>
              </w:rPr>
              <w:t>securities net of tax</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tcBorders>
              <w:top w:val="single" w:sz="8" w:color="CCEEFF"/>
              <w:bottom w:val="single" w:sz="8" w:color="CCEEFF"/>
            </w:tcBorders>
            <w:shd w:val="clear" w:color="auto" w:fill="CCEEFF"/>
          </w:tcPr>
          <w:p>
            <w:pPr>
              <w:ind w:left="20"/>
              <w:spacing w:after="0" w:line="178" w:lineRule="exact"/>
              <w:rPr>
                <w:sz w:val="20"/>
                <w:szCs w:val="20"/>
                <w:color w:val="auto"/>
              </w:rPr>
            </w:pPr>
            <w:r>
              <w:rPr>
                <w:rFonts w:ascii="Arial" w:cs="Arial" w:eastAsia="Arial" w:hAnsi="Arial"/>
                <w:sz w:val="16"/>
                <w:szCs w:val="16"/>
                <w:color w:val="auto"/>
              </w:rPr>
              <w:t>Balance at December 31, 2022</w:t>
            </w:r>
          </w:p>
        </w:tc>
        <w:tc>
          <w:tcPr>
            <w:tcW w:w="9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136,441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2"/>
              <w:spacing w:after="0" w:line="178" w:lineRule="exact"/>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1"/>
              <w:spacing w:after="0" w:line="178"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819,119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17,335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(10,882)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825,573</w:t>
            </w:r>
          </w:p>
        </w:tc>
        <w:tc>
          <w:tcPr>
            <w:tcW w:w="0" w:type="dxa"/>
            <w:vAlign w:val="bottom"/>
          </w:tcPr>
          <w:p>
            <w:pPr>
              <w:spacing w:after="0"/>
              <w:rPr>
                <w:sz w:val="1"/>
                <w:szCs w:val="1"/>
                <w:color w:val="auto"/>
              </w:rPr>
            </w:pPr>
          </w:p>
        </w:tc>
      </w:tr>
      <w:tr>
        <w:trPr>
          <w:trHeight w:val="105"/>
        </w:trPr>
        <w:tc>
          <w:tcPr>
            <w:tcW w:w="3620" w:type="dxa"/>
            <w:vAlign w:val="bottom"/>
            <w:tcBorders>
              <w:top w:val="single" w:sz="8" w:color="CCEEFF"/>
            </w:tcBorders>
          </w:tcPr>
          <w:p>
            <w:pPr>
              <w:ind w:left="180"/>
              <w:spacing w:after="0" w:line="105" w:lineRule="exact"/>
              <w:rPr>
                <w:sz w:val="20"/>
                <w:szCs w:val="20"/>
                <w:color w:val="auto"/>
              </w:rPr>
            </w:pPr>
            <w:r>
              <w:rPr>
                <w:rFonts w:ascii="Arial" w:cs="Arial" w:eastAsia="Arial" w:hAnsi="Arial"/>
                <w:sz w:val="12"/>
                <w:szCs w:val="12"/>
                <w:color w:val="auto"/>
              </w:rPr>
              <w:t>Issuance of common stock from exercise of</w:t>
            </w:r>
          </w:p>
        </w:tc>
        <w:tc>
          <w:tcPr>
            <w:tcW w:w="94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620" w:type="dxa"/>
            <w:vAlign w:val="bottom"/>
          </w:tcPr>
          <w:p>
            <w:pPr>
              <w:ind w:left="260"/>
              <w:spacing w:after="0" w:line="158" w:lineRule="exact"/>
              <w:rPr>
                <w:sz w:val="20"/>
                <w:szCs w:val="20"/>
                <w:color w:val="auto"/>
              </w:rPr>
            </w:pPr>
            <w:r>
              <w:rPr>
                <w:rFonts w:ascii="Arial" w:cs="Arial" w:eastAsia="Arial" w:hAnsi="Arial"/>
                <w:sz w:val="16"/>
                <w:szCs w:val="16"/>
                <w:color w:val="auto"/>
              </w:rPr>
              <w:t>equity awards and employee stock purchase</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1,613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13,870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13,870</w:t>
            </w:r>
          </w:p>
        </w:tc>
        <w:tc>
          <w:tcPr>
            <w:tcW w:w="0" w:type="dxa"/>
            <w:vAlign w:val="bottom"/>
          </w:tcPr>
          <w:p>
            <w:pPr>
              <w:spacing w:after="0"/>
              <w:rPr>
                <w:sz w:val="1"/>
                <w:szCs w:val="1"/>
                <w:color w:val="auto"/>
              </w:rPr>
            </w:pPr>
          </w:p>
        </w:tc>
      </w:tr>
      <w:tr>
        <w:trPr>
          <w:trHeight w:val="206"/>
        </w:trPr>
        <w:tc>
          <w:tcPr>
            <w:tcW w:w="3620" w:type="dxa"/>
            <w:vAlign w:val="bottom"/>
          </w:tcPr>
          <w:p>
            <w:pPr>
              <w:ind w:left="260"/>
              <w:spacing w:after="0"/>
              <w:rPr>
                <w:sz w:val="20"/>
                <w:szCs w:val="20"/>
                <w:color w:val="auto"/>
              </w:rPr>
            </w:pPr>
            <w:r>
              <w:rPr>
                <w:rFonts w:ascii="Arial" w:cs="Arial" w:eastAsia="Arial" w:hAnsi="Arial"/>
                <w:sz w:val="16"/>
                <w:szCs w:val="16"/>
                <w:color w:val="auto"/>
              </w:rPr>
              <w:t>plan</w:t>
            </w: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71" w:name="page72"/>
    <w:bookmarkEnd w:id="7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16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1"/>
        </w:trPr>
        <w:tc>
          <w:tcPr>
            <w:tcW w:w="3620" w:type="dxa"/>
            <w:vAlign w:val="bottom"/>
          </w:tcPr>
          <w:p>
            <w:pPr>
              <w:spacing w:after="0"/>
              <w:rPr>
                <w:sz w:val="12"/>
                <w:szCs w:val="12"/>
                <w:color w:val="auto"/>
              </w:rPr>
            </w:pPr>
          </w:p>
        </w:tc>
        <w:tc>
          <w:tcPr>
            <w:tcW w:w="1940" w:type="dxa"/>
            <w:vAlign w:val="bottom"/>
            <w:gridSpan w:val="4"/>
            <w:vMerge w:val="restart"/>
          </w:tcPr>
          <w:p>
            <w:pPr>
              <w:jc w:val="right"/>
              <w:ind w:right="38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360"/>
              <w:spacing w:after="0" w:line="118"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240" w:type="dxa"/>
            <w:vAlign w:val="bottom"/>
            <w:gridSpan w:val="2"/>
          </w:tcPr>
          <w:p>
            <w:pPr>
              <w:jc w:val="center"/>
              <w:ind w:right="260"/>
              <w:spacing w:after="0" w:line="118"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30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10"/>
                <w:szCs w:val="10"/>
                <w:color w:val="auto"/>
              </w:rPr>
            </w:pPr>
          </w:p>
        </w:tc>
        <w:tc>
          <w:tcPr>
            <w:tcW w:w="1160" w:type="dxa"/>
            <w:vAlign w:val="bottom"/>
          </w:tcPr>
          <w:p>
            <w:pPr>
              <w:jc w:val="center"/>
              <w:ind w:right="84"/>
              <w:spacing w:after="0" w:line="118"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Earnings (Deficit)</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Income (Loss)</w:t>
            </w:r>
          </w:p>
        </w:tc>
        <w:tc>
          <w:tcPr>
            <w:tcW w:w="160" w:type="dxa"/>
            <w:vAlign w:val="bottom"/>
          </w:tcPr>
          <w:p>
            <w:pPr>
              <w:spacing w:after="0"/>
              <w:rPr>
                <w:sz w:val="16"/>
                <w:szCs w:val="16"/>
                <w:color w:val="auto"/>
              </w:rPr>
            </w:pPr>
          </w:p>
        </w:tc>
        <w:tc>
          <w:tcPr>
            <w:tcW w:w="1160" w:type="dxa"/>
            <w:vAlign w:val="bottom"/>
          </w:tcPr>
          <w:p>
            <w:pPr>
              <w:jc w:val="center"/>
              <w:ind w:right="8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3620" w:type="dxa"/>
            <w:vAlign w:val="bottom"/>
            <w:tcBorders>
              <w:top w:val="single" w:sz="8" w:color="CCEEFF"/>
            </w:tcBorders>
            <w:shd w:val="clear" w:color="auto" w:fill="CCEEFF"/>
          </w:tcPr>
          <w:p>
            <w:pPr>
              <w:ind w:left="220"/>
              <w:spacing w:after="0" w:line="178" w:lineRule="exact"/>
              <w:rPr>
                <w:sz w:val="20"/>
                <w:szCs w:val="20"/>
                <w:color w:val="auto"/>
              </w:rPr>
            </w:pPr>
            <w:r>
              <w:rPr>
                <w:rFonts w:ascii="Arial" w:cs="Arial" w:eastAsia="Arial" w:hAnsi="Arial"/>
                <w:sz w:val="16"/>
                <w:szCs w:val="16"/>
                <w:color w:val="auto"/>
              </w:rPr>
              <w:t>Issuance of common stock related to 365</w:t>
            </w: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Pronto, Inc. post combination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10,307</w:t>
            </w:r>
          </w:p>
        </w:tc>
        <w:tc>
          <w:tcPr>
            <w:tcW w:w="0" w:type="dxa"/>
            <w:vAlign w:val="bottom"/>
          </w:tcPr>
          <w:p>
            <w:pPr>
              <w:spacing w:after="0"/>
              <w:rPr>
                <w:sz w:val="1"/>
                <w:szCs w:val="1"/>
                <w:color w:val="auto"/>
              </w:rPr>
            </w:pPr>
          </w:p>
        </w:tc>
      </w:tr>
      <w:tr>
        <w:trPr>
          <w:trHeight w:val="198"/>
        </w:trPr>
        <w:tc>
          <w:tcPr>
            <w:tcW w:w="3620" w:type="dxa"/>
            <w:vAlign w:val="bottom"/>
          </w:tcPr>
          <w:p>
            <w:pPr>
              <w:ind w:left="220"/>
              <w:spacing w:after="0"/>
              <w:rPr>
                <w:sz w:val="20"/>
                <w:szCs w:val="20"/>
                <w:color w:val="auto"/>
              </w:rPr>
            </w:pPr>
            <w:r>
              <w:rPr>
                <w:rFonts w:ascii="Arial" w:cs="Arial" w:eastAsia="Arial" w:hAnsi="Arial"/>
                <w:sz w:val="16"/>
                <w:szCs w:val="16"/>
                <w:color w:val="auto"/>
              </w:rPr>
              <w:t>Payment of withholding taxes related to net</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380"/>
              <w:spacing w:after="0"/>
              <w:rPr>
                <w:sz w:val="20"/>
                <w:szCs w:val="20"/>
                <w:color w:val="auto"/>
              </w:rPr>
            </w:pPr>
            <w:r>
              <w:rPr>
                <w:rFonts w:ascii="Arial" w:cs="Arial" w:eastAsia="Arial" w:hAnsi="Arial"/>
                <w:sz w:val="16"/>
                <w:szCs w:val="16"/>
                <w:color w:val="auto"/>
              </w:rPr>
              <w:t>share settlement of equity awards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(120,646)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(120,646)</w:t>
            </w: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 of convertible notes due 2023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35"/>
        </w:trPr>
        <w:tc>
          <w:tcPr>
            <w:tcW w:w="362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211,688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211,688</w:t>
            </w: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438,936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438,936</w:t>
            </w:r>
          </w:p>
        </w:tc>
        <w:tc>
          <w:tcPr>
            <w:tcW w:w="0" w:type="dxa"/>
            <w:vAlign w:val="bottom"/>
          </w:tcPr>
          <w:p>
            <w:pPr>
              <w:spacing w:after="0"/>
              <w:rPr>
                <w:sz w:val="1"/>
                <w:szCs w:val="1"/>
                <w:color w:val="auto"/>
              </w:rPr>
            </w:pPr>
          </w:p>
        </w:tc>
      </w:tr>
      <w:tr>
        <w:trPr>
          <w:trHeight w:val="235"/>
        </w:trPr>
        <w:tc>
          <w:tcPr>
            <w:tcW w:w="3620" w:type="dxa"/>
            <w:vAlign w:val="bottom"/>
          </w:tcPr>
          <w:p>
            <w:pPr>
              <w:ind w:left="220"/>
              <w:spacing w:after="0"/>
              <w:rPr>
                <w:sz w:val="20"/>
                <w:szCs w:val="20"/>
                <w:color w:val="auto"/>
              </w:rPr>
            </w:pPr>
            <w:r>
              <w:rPr>
                <w:rFonts w:ascii="Arial" w:cs="Arial" w:eastAsia="Arial" w:hAnsi="Arial"/>
                <w:sz w:val="16"/>
                <w:szCs w:val="16"/>
                <w:color w:val="auto"/>
              </w:rPr>
              <w:t>Repurchase of common stock</w:t>
            </w:r>
          </w:p>
        </w:tc>
        <w:tc>
          <w:tcPr>
            <w:tcW w:w="940" w:type="dxa"/>
            <w:vAlign w:val="bottom"/>
          </w:tcPr>
          <w:p>
            <w:pPr>
              <w:jc w:val="right"/>
              <w:spacing w:after="0"/>
              <w:rPr>
                <w:sz w:val="20"/>
                <w:szCs w:val="20"/>
                <w:color w:val="auto"/>
              </w:rPr>
            </w:pPr>
            <w:r>
              <w:rPr>
                <w:rFonts w:ascii="Arial" w:cs="Arial" w:eastAsia="Arial" w:hAnsi="Arial"/>
                <w:sz w:val="16"/>
                <w:szCs w:val="16"/>
                <w:color w:val="auto"/>
              </w:rPr>
              <w:t>(3,284)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(409,998)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(409,998)</w:t>
            </w: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198"/>
        </w:trPr>
        <w:tc>
          <w:tcPr>
            <w:tcW w:w="3620" w:type="dxa"/>
            <w:vAlign w:val="bottom"/>
          </w:tcPr>
          <w:p>
            <w:pPr>
              <w:ind w:left="220"/>
              <w:spacing w:after="0"/>
              <w:rPr>
                <w:sz w:val="20"/>
                <w:szCs w:val="20"/>
                <w:color w:val="auto"/>
              </w:rPr>
            </w:pPr>
            <w:r>
              <w:rPr>
                <w:rFonts w:ascii="Arial" w:cs="Arial" w:eastAsia="Arial" w:hAnsi="Arial"/>
                <w:sz w:val="16"/>
                <w:szCs w:val="16"/>
                <w:color w:val="auto"/>
              </w:rPr>
              <w:t>Change in net unrealized loss on marketable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380"/>
              <w:spacing w:after="0"/>
              <w:rPr>
                <w:sz w:val="20"/>
                <w:szCs w:val="20"/>
                <w:color w:val="auto"/>
              </w:rPr>
            </w:pPr>
            <w:r>
              <w:rPr>
                <w:rFonts w:ascii="Arial" w:cs="Arial" w:eastAsia="Arial" w:hAnsi="Arial"/>
                <w:sz w:val="16"/>
                <w:szCs w:val="16"/>
                <w:color w:val="auto"/>
              </w:rPr>
              <w:t>securities, net of tax</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7,704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7,704</w:t>
            </w:r>
          </w:p>
        </w:tc>
        <w:tc>
          <w:tcPr>
            <w:tcW w:w="0" w:type="dxa"/>
            <w:vAlign w:val="bottom"/>
          </w:tcPr>
          <w:p>
            <w:pPr>
              <w:spacing w:after="0"/>
              <w:rPr>
                <w:sz w:val="1"/>
                <w:szCs w:val="1"/>
                <w:color w:val="auto"/>
              </w:rPr>
            </w:pPr>
          </w:p>
        </w:tc>
      </w:tr>
      <w:tr>
        <w:trPr>
          <w:trHeight w:val="229"/>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939,338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983,624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511175</wp:posOffset>
            </wp:positionV>
            <wp:extent cx="69361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72" w:name="page73"/>
    <w:bookmarkEnd w:id="7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67"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right"/>
              <w:ind w:right="101"/>
              <w:spacing w:after="0"/>
              <w:rPr>
                <w:sz w:val="20"/>
                <w:szCs w:val="20"/>
                <w:color w:val="auto"/>
              </w:rPr>
            </w:pPr>
            <w:r>
              <w:rPr>
                <w:rFonts w:ascii="Arial" w:cs="Arial" w:eastAsia="Arial" w:hAnsi="Arial"/>
                <w:sz w:val="16"/>
                <w:szCs w:val="16"/>
                <w:b w:val="1"/>
                <w:bCs w:val="1"/>
                <w:color w:val="auto"/>
              </w:rPr>
              <w:t>Years Ended December 31,</w:t>
            </w:r>
          </w:p>
        </w:tc>
        <w:tc>
          <w:tcPr>
            <w:tcW w:w="1080" w:type="dxa"/>
            <w:vAlign w:val="bottom"/>
            <w:tcBorders>
              <w:bottom w:val="single" w:sz="8" w:color="auto"/>
            </w:tcBorders>
          </w:tcPr>
          <w:p>
            <w:pPr>
              <w:spacing w:after="0"/>
              <w:rPr>
                <w:sz w:val="18"/>
                <w:szCs w:val="18"/>
                <w:color w:val="auto"/>
              </w:rPr>
            </w:pPr>
          </w:p>
        </w:tc>
      </w:tr>
      <w:tr>
        <w:trPr>
          <w:trHeight w:val="203"/>
        </w:trPr>
        <w:tc>
          <w:tcPr>
            <w:tcW w:w="6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2021</w:t>
            </w:r>
          </w:p>
        </w:tc>
      </w:tr>
      <w:tr>
        <w:trPr>
          <w:trHeight w:val="19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438,936</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397,362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145,449</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74,708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58,775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30,846</w:t>
            </w: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amortization (accretion) of premium (discount) on marketable securities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8,167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44,387</w:t>
            </w: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partial settlement of convertibles notes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56,497</w:t>
            </w: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Deemed repayment of convertible notes attributable to accreted debt discount</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(15,718)</w:t>
            </w: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settlement of debt securities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(6,569)</w:t>
            </w: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Net gain from change in fair value of debt securities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(3,042)</w:t>
            </w: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216,802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114,286</w:t>
            </w: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(43,348)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3,633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(31,241)</w:t>
            </w: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9"/>
        </w:trPr>
        <w:tc>
          <w:tcPr>
            <w:tcW w:w="670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(107,556)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(151,160)</w:t>
            </w: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(29,258)</w:t>
            </w:r>
          </w:p>
        </w:tc>
      </w:tr>
      <w:tr>
        <w:trPr>
          <w:trHeight w:val="209"/>
        </w:trPr>
        <w:tc>
          <w:tcPr>
            <w:tcW w:w="670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(59,777)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(68,423)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(26,885)</w:t>
            </w: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accrued and other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133,416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117,183</w:t>
            </w:r>
          </w:p>
        </w:tc>
      </w:tr>
      <w:tr>
        <w:trPr>
          <w:trHeight w:val="209"/>
        </w:trPr>
        <w:tc>
          <w:tcPr>
            <w:tcW w:w="6700" w:type="dxa"/>
            <w:vAlign w:val="bottom"/>
          </w:tcPr>
          <w:p>
            <w:pPr>
              <w:ind w:left="340"/>
              <w:spacing w:after="0"/>
              <w:rPr>
                <w:sz w:val="20"/>
                <w:szCs w:val="20"/>
                <w:color w:val="auto"/>
              </w:rPr>
            </w:pPr>
            <w:r>
              <w:rPr>
                <w:rFonts w:ascii="Arial" w:cs="Arial" w:eastAsia="Arial" w:hAnsi="Arial"/>
                <w:sz w:val="16"/>
                <w:szCs w:val="16"/>
                <w:color w:val="auto"/>
              </w:rPr>
              <w:t>Warranty obligations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57,641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57,773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27,016</w:t>
            </w: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117,780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122,189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78,167</w:t>
            </w:r>
          </w:p>
        </w:tc>
      </w:tr>
      <w:tr>
        <w:trPr>
          <w:trHeight w:val="202"/>
        </w:trPr>
        <w:tc>
          <w:tcPr>
            <w:tcW w:w="67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696,780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744,817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352,028</w:t>
            </w:r>
          </w:p>
        </w:tc>
      </w:tr>
      <w:tr>
        <w:trPr>
          <w:trHeight w:val="19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(110,401)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(46,443)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(52,258)</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intangible asset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Investments in private companies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(58,000)</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Redemption of investment in private companies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26,569</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Business acquisitions, net of cash acquired</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(62,162)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(235,652)</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marketable securities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(2,081,431)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(907,430)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(934,956)</w:t>
            </w:r>
          </w:p>
        </w:tc>
      </w:tr>
      <w:tr>
        <w:trPr>
          <w:trHeight w:val="20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Maturities and sale of marketable securities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1,840,477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660,129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w:t>
            </w:r>
          </w:p>
        </w:tc>
      </w:tr>
      <w:tr>
        <w:trPr>
          <w:trHeight w:val="204"/>
        </w:trPr>
        <w:tc>
          <w:tcPr>
            <w:tcW w:w="67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(366,355)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(371,906)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(1,219,547)</w:t>
            </w:r>
          </w:p>
        </w:tc>
      </w:tr>
      <w:tr>
        <w:trPr>
          <w:trHeight w:val="190"/>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convertible notes, net of issuance costs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1,188,439</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Purchase of convertible note hedges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(286,235)</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 of warrants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220,800</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Principal payments and financing fees on debt</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(1,694)</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Partial repurchase of convertible notes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(290,247)</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Proceeds from exercise of equity awards and employee stock purchase plan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10,370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7,484</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of withholding taxes related to net share settlement of equity awards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(29,136)</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(409,998)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04"/>
        </w:trPr>
        <w:tc>
          <w:tcPr>
            <w:tcW w:w="67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(516,774)</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309,411</w:t>
            </w:r>
          </w:p>
        </w:tc>
      </w:tr>
      <w:tr>
        <w:trPr>
          <w:trHeight w:val="202"/>
        </w:trPr>
        <w:tc>
          <w:tcPr>
            <w:tcW w:w="6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w:t>
            </w:r>
          </w:p>
        </w:tc>
      </w:tr>
      <w:tr>
        <w:trPr>
          <w:trHeight w:val="20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(184,496)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353,928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(560,063)</w:t>
            </w:r>
          </w:p>
        </w:tc>
      </w:tr>
      <w:tr>
        <w:trPr>
          <w:trHeight w:val="20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473,244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119,316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679,379</w:t>
            </w:r>
          </w:p>
        </w:tc>
      </w:tr>
      <w:tr>
        <w:trPr>
          <w:trHeight w:val="20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equivalents—End of period</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288,748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473,244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549275</wp:posOffset>
            </wp:positionV>
            <wp:extent cx="69361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73" w:name="page74"/>
    <w:bookmarkEnd w:id="7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right"/>
              <w:ind w:right="101"/>
              <w:spacing w:after="0"/>
              <w:rPr>
                <w:sz w:val="20"/>
                <w:szCs w:val="20"/>
                <w:color w:val="auto"/>
              </w:rPr>
            </w:pPr>
            <w:r>
              <w:rPr>
                <w:rFonts w:ascii="Arial" w:cs="Arial" w:eastAsia="Arial" w:hAnsi="Arial"/>
                <w:sz w:val="16"/>
                <w:szCs w:val="16"/>
                <w:b w:val="1"/>
                <w:bCs w:val="1"/>
                <w:color w:val="auto"/>
              </w:rPr>
              <w:t>Years Ended 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Supplemental cash flow disclosure: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0"/>
        </w:trPr>
        <w:tc>
          <w:tcPr>
            <w:tcW w:w="67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interest</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Cash paid for income taxes</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74,706</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33,168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4,823</w:t>
            </w:r>
          </w:p>
        </w:tc>
        <w:tc>
          <w:tcPr>
            <w:tcW w:w="0" w:type="dxa"/>
            <w:vAlign w:val="bottom"/>
          </w:tcPr>
          <w:p>
            <w:pPr>
              <w:spacing w:after="0"/>
              <w:rPr>
                <w:sz w:val="1"/>
                <w:szCs w:val="1"/>
                <w:color w:val="auto"/>
              </w:rPr>
            </w:pPr>
          </w:p>
        </w:tc>
      </w:tr>
      <w:tr>
        <w:trPr>
          <w:trHeight w:val="211"/>
        </w:trPr>
        <w:tc>
          <w:tcPr>
            <w:tcW w:w="6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 included in accounts payable</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7,498</w:t>
            </w:r>
          </w:p>
        </w:tc>
        <w:tc>
          <w:tcPr>
            <w:tcW w:w="0" w:type="dxa"/>
            <w:vAlign w:val="bottom"/>
          </w:tcPr>
          <w:p>
            <w:pPr>
              <w:spacing w:after="0"/>
              <w:rPr>
                <w:sz w:val="1"/>
                <w:szCs w:val="1"/>
                <w:color w:val="auto"/>
              </w:rPr>
            </w:pP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Purchases of property and equipment through tenant improvement allowance</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 in connection with the acquisition</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511175</wp:posOffset>
            </wp:positionV>
            <wp:extent cx="69361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74" w:name="page75"/>
    <w:bookmarkEnd w:id="7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hanging="335"/>
        <w:spacing w:after="0"/>
        <w:tabs>
          <w:tab w:leader="none" w:pos="34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BASIS OF PRESENTATION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Business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Enphase Energy, Inc. (the “Company”) is a global energy technology company. The Company delivers smart, easy-to-use solutions that manage solar generation, storage and communication on one platform. Our intelligent microinverters work with virtually every solar panel made, and when paired with our smart technology, results in one of the industry’s best-performing clean energy systems.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accompanying consolidated financial statements are presented in accordance with accounting principles generally accepted in the United States (“GAAP”). The consolidated financial statements include the accounts of the Company and its wholly-owned subsidiaries. All intercompany balances and transactions have been eliminated in 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21"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allowance for doubtful accounts, stock-based compensation, deferred compensation arrangements, income tax benefit (provision), inventory valuation, government grants, accrued warranty obligations, fair value of investments, debt derivatives, convertible notes and contingent consideration, fair value of acquired intangible assets and goodwill, useful lives of acquired intangible assets and property and equipment, incremental borrowing rate for right-of-use assets and lease liability. These estimates are based on information available as of the date of the financial statements; therefore, actual results could differ materially from those estimates due to risks and uncertainties, including uncertainty in the ongoing semiconductor supply and logistics constraints.</w:t>
      </w:r>
    </w:p>
    <w:p>
      <w:pPr>
        <w:spacing w:after="0" w:line="123" w:lineRule="exact"/>
        <w:rPr>
          <w:sz w:val="20"/>
          <w:szCs w:val="20"/>
          <w:color w:val="auto"/>
        </w:rPr>
      </w:pPr>
    </w:p>
    <w:p>
      <w:pPr>
        <w:ind w:right="6440" w:firstLine="5"/>
        <w:spacing w:after="0" w:line="387" w:lineRule="auto"/>
        <w:tabs>
          <w:tab w:leader="none" w:pos="34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Revenue Recognition</w:t>
      </w:r>
    </w:p>
    <w:p>
      <w:pPr>
        <w:spacing w:after="0" w:line="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Company generates revenue from sales of its solutions, which include microinverter units and related accessories, an IQ Gateway, and IQ Energy Router, cloud-based Enlighten monitoring services, storage solutions, Electric Vehicle (“EV”) charging solutions, design, proposal, permitting and lead generation services, as well as a platform matching cleantech asset owners to a local and on-demand workforce of service providers, to distributors, large installers, original equipment manufacturers (“OEMs”) and strategic partners.</w:t>
      </w:r>
    </w:p>
    <w:p>
      <w:pPr>
        <w:spacing w:after="0" w:line="6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Revenues are recognized when control of the promised goods or services are transferred to the Company’s customers in an amount that reflects the consideration that is expected to be received in exchange for those goods or services. The Company generates all of its revenues from contracts with its customers. A description of principal activities from which the Company generates revenues follows.</w:t>
      </w:r>
    </w:p>
    <w:p>
      <w:pPr>
        <w:spacing w:after="0" w:line="55" w:lineRule="exact"/>
        <w:rPr>
          <w:sz w:val="20"/>
          <w:szCs w:val="20"/>
          <w:color w:val="auto"/>
        </w:rPr>
      </w:pPr>
    </w:p>
    <w:p>
      <w:pPr>
        <w:jc w:val="both"/>
        <w:ind w:left="800" w:hanging="323"/>
        <w:spacing w:after="0" w:line="262" w:lineRule="auto"/>
        <w:tabs>
          <w:tab w:leader="none" w:pos="795" w:val="left"/>
        </w:tabs>
        <w:numPr>
          <w:ilvl w:val="0"/>
          <w:numId w:val="3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Products Delivered at a Point in Time. </w:t>
      </w:r>
      <w:r>
        <w:rPr>
          <w:rFonts w:ascii="Arial" w:cs="Arial" w:eastAsia="Arial" w:hAnsi="Arial"/>
          <w:sz w:val="17"/>
          <w:szCs w:val="17"/>
          <w:color w:val="auto"/>
        </w:rPr>
        <w:t>The Company sells its products and professional services to customers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related customer contracts. The Company generates revenues from sales of its solutions, which include microinverter units and related accessories, storage solutions, EV charging solutions, design, proposal, permitting and lead generation services, as well as a platform matching cleantech asset owners to a local and on-demand workforce of service providers to distributors, large installers, OEMs and strategic partners. Microinverter units, microinverter accessories, storage and EV solutions, design, proposal, permitting and lead generation services, as well as completed work orders on its platform matching cleantech asset owners to a local and on-demand workforce of service providers, are delivered to customers at a point in time, and the Company recognizes revenue for these products or professional services when the Company transfers control of the product or professional services to the customer, which is generally upon product shipment or service delivery,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489585</wp:posOffset>
            </wp:positionV>
            <wp:extent cx="69361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5" w:name="page76"/>
    <w:bookmarkEnd w:id="7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800" w:hanging="323"/>
        <w:spacing w:after="0" w:line="264" w:lineRule="auto"/>
        <w:tabs>
          <w:tab w:leader="none" w:pos="795" w:val="left"/>
        </w:tabs>
        <w:numPr>
          <w:ilvl w:val="0"/>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Products Delivered Over Time. </w:t>
      </w:r>
      <w:r>
        <w:rPr>
          <w:rFonts w:ascii="Arial" w:cs="Arial" w:eastAsia="Arial" w:hAnsi="Arial"/>
          <w:sz w:val="17"/>
          <w:szCs w:val="17"/>
          <w:color w:val="auto"/>
        </w:rPr>
        <w:t>The sale of an IQ Gateway and IQ Energy Router includes the Company’s Enlighten cloud-based</w:t>
      </w:r>
      <w:r>
        <w:rPr>
          <w:rFonts w:ascii="Arial" w:cs="Arial" w:eastAsia="Arial" w:hAnsi="Arial"/>
          <w:sz w:val="17"/>
          <w:szCs w:val="17"/>
          <w:i w:val="1"/>
          <w:iCs w:val="1"/>
          <w:color w:val="auto"/>
        </w:rPr>
        <w:t xml:space="preserve"> </w:t>
      </w:r>
      <w:r>
        <w:rPr>
          <w:rFonts w:ascii="Arial" w:cs="Arial" w:eastAsia="Arial" w:hAnsi="Arial"/>
          <w:sz w:val="17"/>
          <w:szCs w:val="17"/>
          <w:color w:val="auto"/>
        </w:rPr>
        <w:t>monitoring service. The full consideration for these products represents a single performance obligation and is deferred at the sale date and recognized over the estimated service period of 7 years. The Company also sells certain communication accessories that contain a service performance obligation to be delivered over time. The revenue from these products is recognized over the related service period, which is typically 5 years. The subscription services revenue generated from each customer’s subscription to the Company’s design and proposal software is recognized on a ratable basis over the contract term beginning on the date that the Company’s service is made available to the customer. The subscription contracts are generally 3 to 12 months in length and billed in advance.</w:t>
      </w:r>
    </w:p>
    <w:p>
      <w:pPr>
        <w:spacing w:after="0" w:line="68"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When the Company sells a product with more than one performance obligation, such as the IQ Combiner, which includes both hardware and IQ Gateway, the total consideration is allocated to these performance obligations based on their relative standalone selling prices.</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 records certain contra revenue promotions as variable consideration and recognizes these promotions at the time the related revenue is recorded.</w:t>
      </w:r>
    </w:p>
    <w:p>
      <w:pPr>
        <w:spacing w:after="0" w:line="3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Company records upfront contract acquisition costs, such as sales commissions, to be capitalized and amortized over the estimated life of the asset. For contracts that have a duration of less than one year, the Company follows the Topic 606 practical expedient and expenses these costs when incurred. Commissions related to the Company’s sale of monitoring hardware and service are capitalized and amortized over the period of the associated revenue, which is 7 years.</w:t>
      </w:r>
    </w:p>
    <w:p>
      <w:pPr>
        <w:spacing w:after="0" w:line="6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color w:val="0000FF"/>
        </w:rPr>
        <w:t>Note 3</w:t>
      </w:r>
      <w:r>
        <w:rPr>
          <w:rFonts w:ascii="Arial" w:cs="Arial" w:eastAsia="Arial" w:hAnsi="Arial"/>
          <w:sz w:val="17"/>
          <w:szCs w:val="17"/>
          <w:color w:val="auto"/>
        </w:rPr>
        <w:t>. “Revenue Recognition,” for additional information related to revenue recognition.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w:t>
      </w:r>
    </w:p>
    <w:p>
      <w:pPr>
        <w:spacing w:after="0" w:line="11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Company includes the following in cost of revenues: product costs, warranty, manufacturing personnel and logistics costs, freight costs, inventory write-downs, hosting services costs related to the Company’s Enlighten service offering and design and proposal services, credits recognized from the advanced manufacturing production tax credit (“AMPTC”), depreciation and amortization of manufacturing test equipment and amortization of capitalized software development costs related to the Company’s Enlighten service offering, lead acquisition costs, design and proposal services, and employee-related expenses associated with proposal and permitting services and design and proposal service customer support. A description of principal activities from which the Company recognizes cost of revenue is as follows:</w:t>
      </w:r>
    </w:p>
    <w:p>
      <w:pPr>
        <w:spacing w:after="0" w:line="64" w:lineRule="exact"/>
        <w:rPr>
          <w:sz w:val="20"/>
          <w:szCs w:val="20"/>
          <w:color w:val="auto"/>
        </w:rPr>
      </w:pPr>
    </w:p>
    <w:p>
      <w:pPr>
        <w:ind w:left="800" w:hanging="323"/>
        <w:spacing w:after="0" w:line="300" w:lineRule="auto"/>
        <w:tabs>
          <w:tab w:leader="none" w:pos="795"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Products Delivered at a Point in Time. </w:t>
      </w:r>
      <w:r>
        <w:rPr>
          <w:rFonts w:ascii="Arial" w:cs="Arial" w:eastAsia="Arial" w:hAnsi="Arial"/>
          <w:sz w:val="17"/>
          <w:szCs w:val="17"/>
          <w:color w:val="auto"/>
        </w:rPr>
        <w:t>Cost of revenue from these products is recognized when the Company transfers control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to the customer, which is generally upon shipment.</w:t>
      </w:r>
    </w:p>
    <w:p>
      <w:pPr>
        <w:spacing w:after="0" w:line="35" w:lineRule="exact"/>
        <w:rPr>
          <w:rFonts w:ascii="Arial" w:cs="Arial" w:eastAsia="Arial" w:hAnsi="Arial"/>
          <w:sz w:val="17"/>
          <w:szCs w:val="17"/>
          <w:i w:val="1"/>
          <w:iCs w:val="1"/>
          <w:color w:val="auto"/>
        </w:rPr>
      </w:pPr>
    </w:p>
    <w:p>
      <w:pPr>
        <w:ind w:left="780" w:hanging="303"/>
        <w:spacing w:after="0"/>
        <w:tabs>
          <w:tab w:leader="none" w:pos="78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Products Delivered Over Time. </w:t>
      </w:r>
      <w:r>
        <w:rPr>
          <w:rFonts w:ascii="Arial" w:cs="Arial" w:eastAsia="Arial" w:hAnsi="Arial"/>
          <w:sz w:val="17"/>
          <w:szCs w:val="17"/>
          <w:color w:val="auto"/>
        </w:rPr>
        <w:t>Cost of revenue from these products is recognized over the related service period.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Grants</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Government grants represent benefits provided by federal, state, or local governments that are not subject to the scope of Accounting Standards Codification (“ASC”) 740. The Company recognizes a grant when it has reasonable assurance that it will comply with the grant’s conditions and that the grant will be received. Government grants that are not related to long-lived assets are considered income-based grants, which are recognized as a reduction to the related cost of activities that generated the benefit.</w:t>
      </w:r>
    </w:p>
    <w:p>
      <w:pPr>
        <w:spacing w:after="0" w:line="6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In August 2022, the U.S. enacted the Inflation Reduction Act of 2022 (“IRA”), which includes extension of the investment tax credit as well as credits under AMPTC, to incentivize clean energy component sourcing and production, including for the production of microinverters. The IRA provides for an AMPTC on microinverters of 11 cents per alternating current watt basis. The AMPTC on microinverters decreases by 25% each year beginning in 2030 and ending after 2032. The Company recognized credits under AMPTC as a reduction to cost of revenues in the consolidated statement of operations for the microinverters manufactured in the United States and sold to customers during the year ended December 31, 2023. Such credit is also reflected as a reduction of income tax payable on the Company’s consolidated balance sheet within accrued liabilities. For the year ended December 31, 2023, benefits recognized from AMPTC of $53.5 million were recorded as a reduction to 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620395</wp:posOffset>
            </wp:positionV>
            <wp:extent cx="69361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6" w:name="page77"/>
    <w:bookmarkEnd w:id="7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(included in Accrued Liabilities) on the consolidated balance sheet and as a reduction to cost of revenues on the consolidated statement of operations. Amounts recognized in the consolidated financial statements are based on Management’s judgement and interpretation of the most current guidance.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Marketable Securities</w:t>
      </w:r>
    </w:p>
    <w:p>
      <w:pPr>
        <w:spacing w:after="0" w:line="11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Company classifies investments in marketable securities as available-for-sale investments and records these marketable securities at fair value. The Company determines the appropriate classification of marketable securities at the time of purchase and reevaluates such designation at each balance sheet date. All highly liquid investments with original maturities of 90 days or less from the date of purchase are classified as cash equivalents, while all others are presented within current assets since these investments represent funds available for current operations and the Company has the ability and intent, if necessary, to liquidate any of these investments within one year in order to meet liquidity needs or to grow the business, including for potential business acquisitions or other strategic transactions.</w:t>
      </w:r>
    </w:p>
    <w:p>
      <w:pPr>
        <w:spacing w:after="0" w:line="6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Marketable securities are recorded at fair value, with the unrealized gains or losses unrelated to credit loss factors included in accumulated other comprehensive income (loss), net of tax. Realized gains and losses and declines in value determined to be other than temporary based on the specific identification method are reported in other income (expense), net in the consolidated statements of operations.</w:t>
      </w:r>
    </w:p>
    <w:p>
      <w:pPr>
        <w:spacing w:after="0" w:line="55"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Company periodically reviews whether the securities may be other-than-temporarily impaired, including whether or not (i) the Company has the intent to sell the security or (ii) it is more likely than not that the Company will be required to sell the security before its anticipated recovery. If one of these factors is met, the Company records an impairment loss associated with the impaired investment. The impairment loss will be recorded as a write-down of investments in the consolidated balance sheets and a realized loss within other income (expense), net in the consolidated statements of operations. There were no credit-related impairments recognized on the Company’s investments in marketable securities during the periods presented.</w:t>
      </w:r>
    </w:p>
    <w:p>
      <w:pPr>
        <w:spacing w:after="0" w:line="64"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For purposes of identifying and measuring impairment, the policy election was made to exclude the applicable accrued interest from both the fair value and amortized cost basis. Applicable accrued interest of $7.6 million, $2.2 million, and $2.1 million, net of the allowance for credit losses, if any, is recorded in prepaid expenses and other current assets on the consolidated balance sheets as of December 31, 2023, 2022, and 2021,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fair value of a financial instrument is the price that would be received to sell an asset or paid to transfer a liability in an orderly transaction between market participants at the measurement date. The carrying amounts of the Company’s cash and cash equivalents, accounts receivable, accounts payable and accrued liabilities approximate fair value because of the short maturity of those instruments. Equity investments with readily determinable fair value are carried at fair value based on quoted market prices or estimated based on market conditions and risks existing at each balance sheet date. Equity investments without readily determinable fair value are measured at cost, less impairment and are adjusted for observable price changes in orderly transactions for an identical or similar investment of the same issuer.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Receivables and Contract Assets</w:t>
      </w:r>
    </w:p>
    <w:p>
      <w:pPr>
        <w:spacing w:after="0" w:line="11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Company receives payments from customers based upon contractual billing schedules. Accounts receivable are recorded when the right to consideration becomes unconditional. Contract assets include deferred product costs and commissions associated with the deferred revenue and will be amortized along with the associated revenue.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11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Company maintains allowances for doubtful accounts for uncollectible accounts receivable. Management estimates anticipated credit losses from doubtful accounts based on days past due, customer specific experience, collection history, the financial health of customers including from the impacts of the broad-based slowdown beginning in the second quarter of 2023 in the United States and in the third quarter of 2023 in Europe, among other factors. Accounts receivable are recorded net of allowance for doubtful accounts. The following table sets forth activities in the allowance for doubtful accounts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7" w:name="page78"/>
    <w:bookmarkEnd w:id="7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0"/>
        </w:trPr>
        <w:tc>
          <w:tcPr>
            <w:tcW w:w="67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225"/>
        </w:trPr>
        <w:tc>
          <w:tcPr>
            <w:tcW w:w="6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Net charges to expense</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1,140</w:t>
            </w:r>
          </w:p>
        </w:tc>
      </w:tr>
      <w:tr>
        <w:trPr>
          <w:trHeight w:val="210"/>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Write-offs, net of recoveries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4"/>
        </w:trPr>
        <w:tc>
          <w:tcPr>
            <w:tcW w:w="6700" w:type="dxa"/>
            <w:vAlign w:val="bottom"/>
          </w:tcPr>
          <w:p>
            <w:pPr>
              <w:ind w:left="20"/>
              <w:spacing w:after="0"/>
              <w:rPr>
                <w:sz w:val="20"/>
                <w:szCs w:val="20"/>
                <w:color w:val="auto"/>
              </w:rPr>
            </w:pPr>
            <w:r>
              <w:rPr>
                <w:rFonts w:ascii="Arial" w:cs="Arial" w:eastAsia="Arial" w:hAnsi="Arial"/>
                <w:sz w:val="16"/>
                <w:szCs w:val="16"/>
                <w:color w:val="auto"/>
              </w:rPr>
              <w:t>Balance, at end of year</w:t>
            </w:r>
          </w:p>
        </w:tc>
        <w:tc>
          <w:tcPr>
            <w:tcW w:w="94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Inventory is valued at the lower of cost or market. Market is current replacement cost (by purchase or by reproduction, dependent on the type of inventory). In cases where market exceeds net realizable value (</w:t>
      </w:r>
      <w:r>
        <w:rPr>
          <w:rFonts w:ascii="Arial" w:cs="Arial" w:eastAsia="Arial" w:hAnsi="Arial"/>
          <w:sz w:val="17"/>
          <w:szCs w:val="17"/>
          <w:i w:val="1"/>
          <w:iCs w:val="1"/>
          <w:color w:val="auto"/>
        </w:rPr>
        <w:t>i.e.,</w:t>
      </w:r>
      <w:r>
        <w:rPr>
          <w:rFonts w:ascii="Arial" w:cs="Arial" w:eastAsia="Arial" w:hAnsi="Arial"/>
          <w:sz w:val="17"/>
          <w:szCs w:val="17"/>
          <w:color w:val="auto"/>
        </w:rPr>
        <w:t xml:space="preserve"> estimated selling price less reasonably predictable costs of completion and disposal), inventories are stated at net realizable value. Market is not considered to be less than net realizable value reduced by an allowance for an approximately normal profit margin. The Company determines cost on a first-in first-out basis. 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Long-Lived Assets</w:t>
      </w:r>
    </w:p>
    <w:p>
      <w:pPr>
        <w:spacing w:after="0" w:line="11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Property and equipment are stated at cost less accumulated depreciation. Cost includes amounts paid to acquire or construct the asset as well as any expenditure that substantially adds to the value of or significantly extends the useful life of an existing asset. Repair and maintenance costs are expensed as incurred. Depreciation and amortization are computed using the straight-line method over the estimated useful lives of the assets, which range from 3 to 10 years. Leasehold improvements are amortized over the shorter of the lease term or expected useful life of the improvements.</w:t>
      </w:r>
    </w:p>
    <w:p>
      <w:pPr>
        <w:spacing w:after="0" w:line="63"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Internal-use software, whether purchased or developed, is capitalized at cost and amortized on a straight-line basis over its estimated useful life. Costs associated with internally developed software are expensed until the point at which the project has reached the development stage. Subsequent additions, modifications or upgrades to internal-use software are capitalized only to the extent that they provide additional functionality. Software maintenance and training costs are expensed in the period in which they are incurred. The capitalization of internal-use software requires judgment in determining when a project has reached the development stage and the period over which the Company expects to benefit from the use of that software. Capitalized costs are recorded as part of property and equipment in the consolidated balance sheets. Capitalized internal-use software is amortized on a straight-line basis over its estimated useful life, which is generally three years, and is recorded as cost of revenue in the consolidated statements of operations.</w:t>
      </w:r>
    </w:p>
    <w:p>
      <w:pPr>
        <w:spacing w:after="0" w:line="7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Company capitalizes implementation costs related to cloud computing (</w:t>
      </w:r>
      <w:r>
        <w:rPr>
          <w:rFonts w:ascii="Arial" w:cs="Arial" w:eastAsia="Arial" w:hAnsi="Arial"/>
          <w:sz w:val="17"/>
          <w:szCs w:val="17"/>
          <w:i w:val="1"/>
          <w:iCs w:val="1"/>
          <w:color w:val="auto"/>
        </w:rPr>
        <w:t>i.e.,</w:t>
      </w:r>
      <w:r>
        <w:rPr>
          <w:rFonts w:ascii="Arial" w:cs="Arial" w:eastAsia="Arial" w:hAnsi="Arial"/>
          <w:sz w:val="17"/>
          <w:szCs w:val="17"/>
          <w:color w:val="auto"/>
        </w:rPr>
        <w:t xml:space="preserve"> hosting) arrangements that are accounted for as a service contract that meets the accounting requirement for capitalization as such implementation costs were incurred to develop or utilize internal-use software hosted by a third-party vendor. The capitalized implementation costs are recorded as part of “Other assets” on the consolidated balance sheets and is amortized over the length of the service contract.</w:t>
      </w:r>
    </w:p>
    <w:p>
      <w:pPr>
        <w:spacing w:after="0" w:line="6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Property and equipment, including internal-use software, and capitalized implementation costs related to cloud computing arrangements, are reviewed for impairment whenever events or changes in circumstances indicate that the carrying amount of an asset group may not be recoverable. An impairment loss would be recognized when the carrying amount of an asset group exceeds the estimated undiscounted future cash flows expected to result from the use of the asset group and its eventual disposition. The amount of the impairment loss to be recorded is calculated by the excess of the asset group’s carrying value over its fair value. Fair value is generally determined using a discounted cash flow analysis. The Company recorded asset impairment charges of $6.8 million and $1.2 million in the year ended December 31, 2023 and 2022, respectively, associated with property and equipment, net as well as operating lease, right of use assets, compared to zero for the year ended December 31, 2021.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620395</wp:posOffset>
            </wp:positionV>
            <wp:extent cx="69361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8" w:name="page79"/>
    <w:bookmarkEnd w:id="7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500"/>
        <w:spacing w:after="0" w:line="386" w:lineRule="auto"/>
        <w:rPr>
          <w:sz w:val="20"/>
          <w:szCs w:val="20"/>
          <w:color w:val="auto"/>
        </w:rPr>
      </w:pPr>
      <w:r>
        <w:rPr>
          <w:rFonts w:ascii="Arial" w:cs="Arial" w:eastAsia="Arial" w:hAnsi="Arial"/>
          <w:sz w:val="17"/>
          <w:szCs w:val="17"/>
          <w:color w:val="auto"/>
        </w:rPr>
        <w:t xml:space="preserve">were no events or changes in circumstances that may indicate the carrying amount of the remaining assets is not recoverable. </w:t>
      </w:r>
      <w:r>
        <w:rPr>
          <w:rFonts w:ascii="Arial" w:cs="Arial" w:eastAsia="Arial" w:hAnsi="Arial"/>
          <w:sz w:val="17"/>
          <w:szCs w:val="17"/>
          <w:b w:val="1"/>
          <w:bCs w:val="1"/>
          <w:i w:val="1"/>
          <w:iCs w:val="1"/>
          <w:color w:val="auto"/>
        </w:rPr>
        <w:t>Business Combinations</w:t>
      </w:r>
    </w:p>
    <w:p>
      <w:pPr>
        <w:spacing w:after="0" w:line="1"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the Company to make estimates, which are based on all available information and in some cases assumptions with respect to the timing and amount of future revenues and expenses associated with an asset. Accounting for business acquisitions requires the Company to make judgments as to whether a purchase transaction is a multiple element contract, meaning that it includes other transaction components. This judgment and determination affect the amount of consideration paid that is allocable to assets and liabilities acquired in the business purchase transaction. Additional information existing as of the acquisition date but unknown to the Company may become known during the remainder of the measurement period, not to exceed 12 months from the acquisition date, which may result in changes to the amounts and allocations recorded.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9"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Goodwill results from the purchase consideration paid in excess of the fair value of the net assets recorded in connection with business acquisitions. Goodwill is not amortized but is assessed for potential impairment at least annually during the fourth quarter of each fiscal year or between annual tests if an event occurs or circumstances change that would indicate the carrying amount may be impaired. Goodwill is tested at the reporting unit level, which the Company has determined to be the same as the entity as a whole (entity level). The Company first performs qualitative assessment to determine whether it is more likely than not that the fair value of the Company’s reporting unit is less than its carrying value. If, after assessing the qualitative factors, the Company determines that it is more likely than not that the fair value of its reporting unit is less than its carrying value, an impairment analysis will be performed.</w:t>
      </w:r>
    </w:p>
    <w:p>
      <w:pPr>
        <w:spacing w:after="0" w:line="68"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Qualitative factors include industry and market consideration, overall financial performance, share price trends and market capitalization and Company-specific events. The Company determined, after performing a qualitative review of its one reporting unit, that it is more likely than not that the fair value of its reporting unit exceeds its carrying value. Accordingly, there was no indication of impairment in the years ended December 31, 2023, 2022, and 2021 and no quantitative goodwill impairment test was performed.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1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Intangible assets include patents and other purchased intangible assets. Intangible assets with finite lives are amortized on a straight-line basis, with estimated useful lives ranging from 5 to 9 years. Indefinite-lived intangible assets are tested for impairment annually and are also tested for impairment between annual tests if an event occurs or circumstances change that would indicate that the carrying amount may be impaired. Intangible assets with finite lives are tested for impairment whenever events or circumstances indicate that the carrying amount of an asset group may not be recoverable. An impairment loss is recognized when the carrying amount of an asset group exceeds the estimated undiscounted cash flows used in determining the fair value of the asset group. The amount of the impairment loss to be recorded is calculated by the excess of the asset group’s carrying value over its fair value. Fair value is generally determined using a discounted cash flow analysis. The Company recorded asset impairment charges of $3.8 million in the year ended December 31, 2023 associated with the customer relationship intangible asset, compared to zero for the years ended December 31, 2022 and 2021. There were no events or changes in circumstances that may indicate the carrying amount of remaining assets is not recoverable.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1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Contract liabilities are recorded as deferred revenue on the accompanying consolidated balance sheets and include payments received in advance of performance obligations under the contract and are realized when the associated revenue is recognized under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9" w:name="page80"/>
    <w:bookmarkEnd w:id="7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Obligations</w:t>
      </w:r>
    </w:p>
    <w:p>
      <w:pPr>
        <w:spacing w:after="0" w:line="11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The Company’s warranty accrual provides for the replacement of microinverter units, AC Battery storage solutions, EV Chargers, and IQ Gateway and IQ Energy Router units that fail during the product’s warranty term. The warranty term related to microinverter units is typically 15 years for first and second generation microinverters and up to 25 years for subsequent generation microinverters. The warranty term for AC Battery storage solutions is 10 to 15 years depending on the generation. The warranty term for the IQ Gateway and IQ Energy Router is 5 years, while the warranty term for EV Chargers is 1 to 5 years depending on the product. On a quarterly basis, the Company employs a consistent, systematic and rational methodology to assess the adequacy of its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the Company to estimate its warranty liability are: (1) the number of units expected to fail and be returned for replacement over time (</w:t>
      </w:r>
      <w:r>
        <w:rPr>
          <w:rFonts w:ascii="Arial" w:cs="Arial" w:eastAsia="Arial" w:hAnsi="Arial"/>
          <w:sz w:val="17"/>
          <w:szCs w:val="17"/>
          <w:i w:val="1"/>
          <w:iCs w:val="1"/>
          <w:color w:val="auto"/>
        </w:rPr>
        <w:t>i.e.,</w:t>
      </w:r>
      <w:r>
        <w:rPr>
          <w:rFonts w:ascii="Arial" w:cs="Arial" w:eastAsia="Arial" w:hAnsi="Arial"/>
          <w:sz w:val="17"/>
          <w:szCs w:val="17"/>
          <w:color w:val="auto"/>
        </w:rPr>
        <w:t xml:space="preserve"> return rate); and (2) the per unit cost of replacement units, including outbound shipping and labor costs, expected to be incurred to replace failed units over time (</w:t>
      </w:r>
      <w:r>
        <w:rPr>
          <w:rFonts w:ascii="Arial" w:cs="Arial" w:eastAsia="Arial" w:hAnsi="Arial"/>
          <w:sz w:val="17"/>
          <w:szCs w:val="17"/>
          <w:i w:val="1"/>
          <w:iCs w:val="1"/>
          <w:color w:val="auto"/>
        </w:rPr>
        <w:t>i.e.,</w:t>
      </w:r>
      <w:r>
        <w:rPr>
          <w:rFonts w:ascii="Arial" w:cs="Arial" w:eastAsia="Arial" w:hAnsi="Arial"/>
          <w:sz w:val="17"/>
          <w:szCs w:val="17"/>
          <w:color w:val="auto"/>
        </w:rPr>
        <w:t xml:space="preserve"> replacement cost).</w:t>
      </w:r>
    </w:p>
    <w:p>
      <w:pPr>
        <w:spacing w:after="0" w:line="279"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b w:val="1"/>
          <w:bCs w:val="1"/>
          <w:i w:val="1"/>
          <w:iCs w:val="1"/>
          <w:color w:val="auto"/>
        </w:rPr>
        <w:t xml:space="preserve">Estimated Return Rates — </w:t>
      </w:r>
      <w:r>
        <w:rPr>
          <w:rFonts w:ascii="Arial" w:cs="Arial" w:eastAsia="Arial" w:hAnsi="Arial"/>
          <w:sz w:val="17"/>
          <w:szCs w:val="17"/>
          <w:color w:val="auto"/>
        </w:rPr>
        <w:t>The Company’s Quality and Reliability department has primary responsibility to determine the estimated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return rates for each generation of product. To establish initial return rate estimates for each generation of product, the Company’s quality engineers use a combination of industry standard Mean Time Between Failure estimates for individual components contained in its product, third-party data collected on similar equipment deployed in outdoor environments similar to those in which the Company’s products are installed, and rigorous long term reliability and accelerated life cycle testing which simulates the service life of the product in a short period of time. As units are deployed into operating environments, the Company continues to monitor product performance through its Enlighten monitoring platform. It typically takes three to nine months between the date of sale and date of end-user installation. Consequently, the Company’s ability to monitor actual failures of units sold similarly lags by three to nine months. When a product fails and is returned, the Company performs diagnostic root cause failure analysis to understand and isolate the underlying mechanism(s) causing the failure. The Company then uses the results of this analysis (combined with the actual, cumulative performance data collected on those units prior to failure through Enlighten) to draw conclusions with respect to how or if the identified failure mechanism(s) will impact the remaining units deployed in the installed base.</w:t>
      </w:r>
    </w:p>
    <w:p>
      <w:pPr>
        <w:spacing w:after="0" w:line="75"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As the vast majority of the Company’s microinverters have been sold to end users for residential applications, the Company believes that warranty return rates will be affected by changes over time in residential home ownership because the Company expects that subsequent homeowners are less likely to file returns than the homeowners who originally purchase the microinverters.</w:t>
      </w:r>
    </w:p>
    <w:p>
      <w:pPr>
        <w:spacing w:after="0" w:line="55"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b w:val="1"/>
          <w:bCs w:val="1"/>
          <w:i w:val="1"/>
          <w:iCs w:val="1"/>
          <w:color w:val="auto"/>
        </w:rPr>
        <w:t xml:space="preserve">Estimated Replacement Costs — </w:t>
      </w:r>
      <w:r>
        <w:rPr>
          <w:rFonts w:ascii="Arial" w:cs="Arial" w:eastAsia="Arial" w:hAnsi="Arial"/>
          <w:sz w:val="17"/>
          <w:szCs w:val="17"/>
          <w:color w:val="auto"/>
        </w:rPr>
        <w:t>Three factors are considered in the Company’s analysis of estimated replacement cost: (1)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cost of replacement products; (2) the estimated cost to ship replacement products to end users; and (3) the estimated labor reimbursement expected to be paid to third-party installers, or estimated labor cost expected to be incurred for field service technicians, performing replacement services for the end user. Because the Company’s warranty provides for the replacement of defective microinverters or other products over long periods of time (between 5 years to 25 years, depending on the product and the generation of that product purchased), the estimated per unit cost of current and future product generations is considered in the estimated replacement cost. Estimated costs to ship replacement units are based on observable, market-based shipping costs paid by the Company to third-party freight carriers. The Company has a separate program that allows third-party installers to claim fixed-dollar reimbursements for labor costs they incur to replace failed products for a limited time from the date of original installation. Included in the Company’s estimated replacement cost is an analysis of the number of fixed-dollar labor reimbursements expected to be claimed by third-party installers over the limited offering period.</w:t>
      </w:r>
    </w:p>
    <w:p>
      <w:pPr>
        <w:spacing w:after="0" w:line="6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addition to the key estimates noted above, the Company also compares actual warranty results to expected results and evaluates any significant differences. Management may make additional adjustments to the warranty provision based on performance trends or other qualitative factors. If actual return rates or replacement costs differ from the Company’s estimates in future periods, changes to these estimates may be required, resulting in increases or decreases in the Company’s warranty obligations. Such increases or decreases could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0" w:name="page81"/>
    <w:bookmarkEnd w:id="8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Fair Value Option for Microinverters and Other Products Sold Since January 1, 2014</w:t>
      </w:r>
    </w:p>
    <w:p>
      <w:pPr>
        <w:spacing w:after="0" w:line="121"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The Company’s warranty obligations related to products sold since January 1, 2014 provide the Company the right, but not the requirement, to assign its warranty obligations to a third party. Under ASC 825, “Financial Instruments” (also referred to as “fair value option”), an entity may choose to elect the fair value option for such warranties at the time it first recognizes the eligible item. The Company made an irrevocable election to account for all eligible warranty obligations associated with products sold since January 1, 2014 at fair value. This election was made to reflect the underlying economics of the time value of money for an obligation that will be settled over an extended period of up to 25 years.</w:t>
      </w:r>
    </w:p>
    <w:p>
      <w:pPr>
        <w:spacing w:after="0" w:line="276"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 xml:space="preserve">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return rates and replacement costs, the Company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the Company’s credit-adjusted risk-free rate. Refer to </w:t>
      </w:r>
      <w:r>
        <w:rPr>
          <w:rFonts w:ascii="Arial" w:cs="Arial" w:eastAsia="Arial" w:hAnsi="Arial"/>
          <w:sz w:val="17"/>
          <w:szCs w:val="17"/>
          <w:color w:val="0000FF"/>
        </w:rPr>
        <w:t>Note 11</w:t>
      </w:r>
      <w:r>
        <w:rPr>
          <w:rFonts w:ascii="Arial" w:cs="Arial" w:eastAsia="Arial" w:hAnsi="Arial"/>
          <w:sz w:val="17"/>
          <w:szCs w:val="17"/>
          <w:color w:val="auto"/>
        </w:rPr>
        <w:t>. “Fair Value Measurements,” for additional information.</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Warranty obligations initially recorded at fair value at the time of sale will be subsequently re-measured to fair value at each reporting date.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fair value of the liability will be accreted over the corresponding term of the warranty of up to 25 years using the interest method.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 and Contingencies</w:t>
      </w:r>
    </w:p>
    <w:p>
      <w:pPr>
        <w:spacing w:after="0" w:line="11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In the normal course of business, the Company is subject to loss contingencies and loss recoveries, such as legal proceedings and claims arising out of its business as well as tariff refunds. An accrual for a loss contingency or loss recovery is recognized when it is probable and the amount of loss or recovery can be reasonably estimated.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Repurchase</w:t>
      </w:r>
    </w:p>
    <w:p>
      <w:pPr>
        <w:spacing w:after="0" w:line="11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 accounts for repurchase of common stock under ASC 505 and charges the entire cost of repurchase to the accumulated earnings.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11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Advertising costs, which are expensed and included in sales and marketing expense when incurred, were $3.8 million, $3.8 million and $16.2 million during the years ended December 31, 2023, 2022 and 2021,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1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Company expenses research and development costs as incurred. Research and development expense consists primarily of expensed equipment for product development, personnel costs, including salaries, benefits and stock-based compensation, other professional costs and allocated facilities costs.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9" w:lineRule="exact"/>
        <w:rPr>
          <w:sz w:val="20"/>
          <w:szCs w:val="20"/>
          <w:color w:val="auto"/>
        </w:rPr>
      </w:pPr>
    </w:p>
    <w:p>
      <w:pPr>
        <w:jc w:val="both"/>
        <w:ind w:firstLine="472"/>
        <w:spacing w:after="0" w:line="216" w:lineRule="exact"/>
        <w:rPr>
          <w:sz w:val="20"/>
          <w:szCs w:val="20"/>
          <w:color w:val="auto"/>
        </w:rPr>
      </w:pPr>
      <w:r>
        <w:rPr>
          <w:rFonts w:ascii="Arial" w:cs="Arial" w:eastAsia="Arial" w:hAnsi="Arial"/>
          <w:sz w:val="17"/>
          <w:szCs w:val="17"/>
          <w:color w:val="auto"/>
        </w:rPr>
        <w:t>Share-based payments are required to be recognized in the Company’s consolidated statements of operations based on their fair values and the estimated number of shares expected to vest. The Company measures stock-based compensation expense for all share-based payment awards, including stock options made to employees and directors, based on the estimated fair values on the date of the grant. The fair value of stock options granted is estimated using the Black-Scholes option valuation model. The fair value of restricted stock units (“RSU”) granted is determined based on the price of the Company’s common stock on the date of grant. The fair value of non-market</w:t>
      </w:r>
      <w:r>
        <w:rPr>
          <w:rFonts w:ascii="MS PGothic" w:cs="MS PGothic" w:eastAsia="MS PGothic" w:hAnsi="MS PGothic"/>
          <w:sz w:val="17"/>
          <w:szCs w:val="17"/>
          <w:color w:val="auto"/>
        </w:rPr>
        <w:t>‑</w:t>
      </w:r>
      <w:r>
        <w:rPr>
          <w:rFonts w:ascii="Arial" w:cs="Arial" w:eastAsia="Arial" w:hAnsi="Arial"/>
          <w:sz w:val="17"/>
          <w:szCs w:val="17"/>
          <w:color w:val="auto"/>
        </w:rPr>
        <w:t>based performance stock units (“PSUs”) granted is determined based on the date of grant or when achievement of performance is probable. The fair value of market</w:t>
      </w:r>
      <w:r>
        <w:rPr>
          <w:rFonts w:ascii="MS PGothic" w:cs="MS PGothic" w:eastAsia="MS PGothic" w:hAnsi="MS PGothic"/>
          <w:sz w:val="17"/>
          <w:szCs w:val="17"/>
          <w:color w:val="auto"/>
        </w:rPr>
        <w:t>‑</w:t>
      </w:r>
      <w:r>
        <w:rPr>
          <w:rFonts w:ascii="Arial" w:cs="Arial" w:eastAsia="Arial" w:hAnsi="Arial"/>
          <w:sz w:val="17"/>
          <w:szCs w:val="17"/>
          <w:color w:val="auto"/>
        </w:rPr>
        <w:t>based performance stock units granted is determined using a Monte</w:t>
      </w:r>
      <w:r>
        <w:rPr>
          <w:rFonts w:ascii="MS PGothic" w:cs="MS PGothic" w:eastAsia="MS PGothic" w:hAnsi="MS PGothic"/>
          <w:sz w:val="17"/>
          <w:szCs w:val="17"/>
          <w:color w:val="auto"/>
        </w:rPr>
        <w:t>‑</w:t>
      </w:r>
      <w:r>
        <w:rPr>
          <w:rFonts w:ascii="Arial" w:cs="Arial" w:eastAsia="Arial" w:hAnsi="Arial"/>
          <w:sz w:val="17"/>
          <w:szCs w:val="17"/>
          <w:color w:val="auto"/>
        </w:rPr>
        <w:t>Carlo model based on the date of grant or when achievement of performance is probable.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620395</wp:posOffset>
            </wp:positionV>
            <wp:extent cx="69361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1" w:name="page82"/>
    <w:bookmarkEnd w:id="8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Stock-based compensation for stock options and RSUs is recognized on a straight-line basis over the requisite service period. Stock-based compensation for PSUs without market conditions is recognized when the performance condition is probable of being achieved, and then on a graded basis over the requisite service period. Stock-based compensation for PSUs with market conditions is recognized on a straight-line basis over the requisite service period. Additionally, the Company estimates its forfeiture rate annually based on historical experience and revise the estimates of forfeiture in subsequent periods if actual forfeitures differ from those estimates.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 determines if an arrangement is or contains a lease at inception. Operating lease assets represent the Company’s right to use an underlying asset for the lease term and lease liabilities represent the Company’s obligation to make lease payments over the lease term.</w:t>
      </w:r>
    </w:p>
    <w:p>
      <w:pPr>
        <w:spacing w:after="0" w:line="3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Operating lease assets and liabilities are recognized based on the present value of the remaining lease payments discounted using the Company’s incremental borrowing rate. Operating lease assets also include initial direct costs incurred and prepaid lease payments, minus any lease incentives. The Company’s lease terms include options to extend or terminate the lease when it is reasonably certain that the Company will exercise that option. Lease expense is recognized on a straight-line basis over the lease term.</w:t>
      </w:r>
    </w:p>
    <w:p>
      <w:pPr>
        <w:spacing w:after="0" w:line="61" w:lineRule="exact"/>
        <w:rPr>
          <w:sz w:val="20"/>
          <w:szCs w:val="20"/>
          <w:color w:val="auto"/>
        </w:rPr>
      </w:pPr>
    </w:p>
    <w:p>
      <w:pPr>
        <w:ind w:right="1620" w:firstLine="472"/>
        <w:spacing w:after="0" w:line="386" w:lineRule="auto"/>
        <w:rPr>
          <w:sz w:val="20"/>
          <w:szCs w:val="20"/>
          <w:color w:val="auto"/>
        </w:rPr>
      </w:pPr>
      <w:r>
        <w:rPr>
          <w:rFonts w:ascii="Arial" w:cs="Arial" w:eastAsia="Arial" w:hAnsi="Arial"/>
          <w:sz w:val="17"/>
          <w:szCs w:val="17"/>
          <w:color w:val="auto"/>
        </w:rPr>
        <w:t xml:space="preserve">The Company combines the lease and non-lease components in determining the operating lease assets and liabilities. </w:t>
      </w:r>
      <w:r>
        <w:rPr>
          <w:rFonts w:ascii="Arial" w:cs="Arial" w:eastAsia="Arial" w:hAnsi="Arial"/>
          <w:sz w:val="17"/>
          <w:szCs w:val="17"/>
          <w:b w:val="1"/>
          <w:bCs w:val="1"/>
          <w:i w:val="1"/>
          <w:iCs w:val="1"/>
          <w:color w:val="auto"/>
        </w:rPr>
        <w:t>Foreign Currency Translation</w:t>
      </w:r>
    </w:p>
    <w:p>
      <w:pPr>
        <w:spacing w:after="0" w:line="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The Company and most of its subsidiaries use their respective local currency as their functional currency. Accordingly, foreign currency assets and liabilities are translated using exchange rates in effect at the end of the period. Aggregate exchange gains and losses arising from the translation of foreign assets and liabilities are included in accumulated other comprehensive income (loss) in stockholders' equity. Foreign subsidiaries that use the U.S. dollar as their functional currency remeasure monetary assets and liabilities using exchange rates in effect at the end of the period. In addition, transactions that are denominated in non-functional currency are remeasured using exchange rates in effect at the end of the period. Exchange gains and losses arising from the remeasurement of monetary assets and liabilities are included in other income (expense), net in the consolidated statements of operations. Non-monetary assets and liabilities are carried at their historical values.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Comprehensive income consists of two components, net income and other comprehensive income (loss). Other comprehensive income (loss) refers to gains and losses that are recorded as an element of stockholders’ equity but are excluded from net income. The Company’s other comprehensive income (loss) consists of foreign currency translation adjustments and change in net unrealized gain (loss) on marketable securities, net of tax.</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Company records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6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Company assesses the realizability of the deferred tax assets to determine release of valuation allowance as necessary. In the event the Company determines that it is more likely than not that the Company would be able to realize deferred tax assets in the future in excess of its net recorded amount, an adjustment to the valuation allowance for the deferred tax asset would increase income in the period such determination was made. Likewise, should it be determined that additional amounts of the net deferred tax asset will not be realized in the future, an adjustment to increase the deferred tax asset valuation allowance will be charged to income in the period such determination is made.</w:t>
      </w:r>
    </w:p>
    <w:p>
      <w:pPr>
        <w:spacing w:after="0" w:line="63"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 operates in various tax jurisdictions and is subject to audit by various tax authorities. The Company follows accounting for uncertainty in income taxes which requires that the tax effects of a position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2" w:name="page83"/>
    <w:bookmarkEnd w:id="8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recognized only if it is “more likely than not” to be sustained based solely on its technical merits as of the reporting date. The Company considers many factors when evaluating and estimating its tax positions and tax benefits, which may require periodic adjustments, and which may not accurately anticipate actual outcomes.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In October 2021, the Financial Accounting Standards Board (“FASB”) issued Accounting Standard Update (“ASU”) 2021-08 "Business Combinations (Topic 805): Accounting for Contract Assets and Contract Liabilities from Contracts with Customers" (“ASU 2021-08”). ASU 2021-08 requires an acquirer to recognize and measure contract assets and contract liabilities acquired in a business combination in accordance with ASC 606, “Revenue from Contracts with Customers,” as if it had originated the contracts. This should generally result in an acquirer recognizing and measuring the acquired contract assets and contract liabilities consistent with how they were recognized and measured in the acquiree’s financial statements. The Company adopted ASU 2021-08 effective January 1, 2023. The adoption of ASU 2021-08 did not have an impact on the Company’s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 Yet Effective</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In November 2023, the FASB issued ASU 2023-07, “Segment Reporting (Topic 280): Improvements to Reportable Segment Disclosures” (“ASU 2023-07”). ASU 2023-07 requires additional disclosures for segment reporting, including disclosure of the title and position of the Chief Operating Decision Maker and requires a public entity that has a single reportable segment to provide all the disclosures required by the amendments in this ASU, and all existing segment disclosures in Topic 280. ASU 2023-07 is effective for fiscal periods beginning after December 15, 2023, and interim periods within fiscal years beginning after December 15, 2024. The Company does not expect the adoption of ASU 2023-07 to have a significant impact on its consolidated financial statements and will adopt the standard effective January 1, 2024.</w:t>
      </w:r>
    </w:p>
    <w:p>
      <w:pPr>
        <w:spacing w:after="0" w:line="64"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December 2023, the FASB issued ASU 2023-09, “Income Taxes (Topic 740): Improvements to Income Tax Disclosures” (“ASU 2023-09”). ASU 2023-09 requires that an entity disclose specific categories in the effective tax rate reconciliation as well as provide additional information for reconciling items that meet a quantitative threshold, certain disclosures of state versus federal income tax expenses and taxes paid. ASC 2023-09 is effective for fiscal years beginning after December 15, 2024. The Company does not expect the adoption of ASU 2023-09 to have a significant impact on its consolidated financial statements and will adopt the standard effective January 1, 2025.</w:t>
      </w:r>
    </w:p>
    <w:p>
      <w:pPr>
        <w:spacing w:after="0" w:line="113" w:lineRule="exact"/>
        <w:rPr>
          <w:sz w:val="20"/>
          <w:szCs w:val="20"/>
          <w:color w:val="auto"/>
        </w:rPr>
      </w:pPr>
    </w:p>
    <w:p>
      <w:pPr>
        <w:ind w:left="340" w:hanging="335"/>
        <w:spacing w:after="0"/>
        <w:tabs>
          <w:tab w:leader="none" w:pos="34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Disaggregated Revenue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has one major business activity, which is the design, manufacture and sale of solutions for the solar photovoltaic industry.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Disaggregated revenue by primary geographical market and timing of revenue recognition for the Company’s single product line are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center"/>
              <w:ind w:left="684"/>
              <w:spacing w:after="0"/>
              <w:rPr>
                <w:sz w:val="20"/>
                <w:szCs w:val="20"/>
                <w:color w:val="auto"/>
              </w:rPr>
            </w:pPr>
            <w:r>
              <w:rPr>
                <w:rFonts w:ascii="Arial" w:cs="Arial" w:eastAsia="Arial" w:hAnsi="Arial"/>
                <w:sz w:val="14"/>
                <w:szCs w:val="14"/>
                <w:b w:val="1"/>
                <w:bCs w:val="1"/>
                <w:color w:val="auto"/>
                <w:w w:val="99"/>
              </w:rPr>
              <w:t>Years Ended December 31,</w:t>
            </w:r>
          </w:p>
        </w:tc>
        <w:tc>
          <w:tcPr>
            <w:tcW w:w="1100" w:type="dxa"/>
            <w:vAlign w:val="bottom"/>
            <w:tcBorders>
              <w:bottom w:val="single" w:sz="8" w:color="auto"/>
            </w:tcBorders>
          </w:tcPr>
          <w:p>
            <w:pPr>
              <w:spacing w:after="0"/>
              <w:rPr>
                <w:sz w:val="16"/>
                <w:szCs w:val="16"/>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225"/>
        </w:trPr>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Primary geographical markets: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U.S.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1,469,108</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1,761,846</w:t>
            </w:r>
          </w:p>
        </w:tc>
        <w:tc>
          <w:tcPr>
            <w:tcW w:w="8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1,108,801</w:t>
            </w:r>
          </w:p>
        </w:tc>
      </w:tr>
      <w:tr>
        <w:trPr>
          <w:trHeight w:val="210"/>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821,678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569,007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273,248</w:t>
            </w:r>
          </w:p>
        </w:tc>
      </w:tr>
      <w:tr>
        <w:trPr>
          <w:trHeight w:val="204"/>
        </w:trPr>
        <w:tc>
          <w:tcPr>
            <w:tcW w:w="6700" w:type="dxa"/>
            <w:vAlign w:val="bottom"/>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2,290,786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2,330,853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1,382,049</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4"/>
        </w:trPr>
        <w:tc>
          <w:tcPr>
            <w:tcW w:w="6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 delivered at a point in time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2,181,099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2,253,645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1,323,960</w:t>
            </w:r>
          </w:p>
        </w:tc>
      </w:tr>
      <w:tr>
        <w:trPr>
          <w:trHeight w:val="20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Products and services delivered over time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77,208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58,089</w:t>
            </w:r>
          </w:p>
        </w:tc>
      </w:tr>
      <w:tr>
        <w:trPr>
          <w:trHeight w:val="229"/>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2,290,786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2,330,853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1,382,049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549275</wp:posOffset>
            </wp:positionV>
            <wp:extent cx="69361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3" w:name="page84"/>
    <w:bookmarkEnd w:id="8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Balances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Receivables, and contract assets and contract liabilities from contracts with customers,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60" w:type="dxa"/>
            <w:vAlign w:val="bottom"/>
          </w:tcPr>
          <w:p>
            <w:pPr>
              <w:jc w:val="right"/>
              <w:ind w:right="184"/>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8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r>
      <w:tr>
        <w:trPr>
          <w:trHeight w:val="225"/>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4"/>
          </w:tcPr>
          <w:p>
            <w:pPr>
              <w:jc w:val="right"/>
              <w:ind w:right="964"/>
              <w:spacing w:after="0"/>
              <w:rPr>
                <w:sz w:val="20"/>
                <w:szCs w:val="20"/>
                <w:color w:val="auto"/>
              </w:rPr>
            </w:pPr>
            <w:r>
              <w:rPr>
                <w:rFonts w:ascii="Arial" w:cs="Arial" w:eastAsia="Arial" w:hAnsi="Arial"/>
                <w:sz w:val="14"/>
                <w:szCs w:val="14"/>
                <w:i w:val="1"/>
                <w:iCs w:val="1"/>
                <w:color w:val="auto"/>
              </w:rPr>
              <w:t>(In thousands)</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445,959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440,896</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Short-term contract assets (Prepaid expenses and other assets)</w:t>
            </w:r>
          </w:p>
        </w:tc>
        <w:tc>
          <w:tcPr>
            <w:tcW w:w="180" w:type="dxa"/>
            <w:vAlign w:val="bottom"/>
          </w:tcPr>
          <w:p>
            <w:pPr>
              <w:spacing w:after="0"/>
              <w:rPr>
                <w:sz w:val="18"/>
                <w:szCs w:val="18"/>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40,241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32,130</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assets (Other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124,190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100,991</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Short-term contract liabilities (Deferred revenues, current)</w:t>
            </w:r>
          </w:p>
        </w:tc>
        <w:tc>
          <w:tcPr>
            <w:tcW w:w="180" w:type="dxa"/>
            <w:vAlign w:val="bottom"/>
          </w:tcPr>
          <w:p>
            <w:pPr>
              <w:spacing w:after="0"/>
              <w:rPr>
                <w:sz w:val="18"/>
                <w:szCs w:val="18"/>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118,300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90,747</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liabilities (Deferred revenues, non-current)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369,172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281,613</w:t>
            </w:r>
          </w:p>
        </w:tc>
      </w:tr>
    </w:tbl>
    <w:p>
      <w:pPr>
        <w:spacing w:after="0" w:line="167"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Company receives payments from customers based upon contractual billing schedules. Accounts receivable are recorded when the right to consideration becomes unconditional. Contract assets include deferred product costs and commissions associated with the deferred revenue and will be amortized along with the associated revenue. The Company had no asset impairment charges related to contract assets for the year ended December 31, 2023.</w:t>
      </w:r>
    </w:p>
    <w:p>
      <w:pPr>
        <w:spacing w:after="0" w:line="6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Significant changes in the balances of contract assets (prepaid expenses and other assets) as of December 31, 2023 are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Contract Assets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 beginning of period</w:t>
            </w: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133,121</w:t>
            </w:r>
          </w:p>
        </w:tc>
      </w:tr>
      <w:tr>
        <w:trPr>
          <w:trHeight w:val="209"/>
        </w:trPr>
        <w:tc>
          <w:tcPr>
            <w:tcW w:w="9800" w:type="dxa"/>
            <w:vAlign w:val="bottom"/>
          </w:tcPr>
          <w:p>
            <w:pPr>
              <w:ind w:left="120"/>
              <w:spacing w:after="0"/>
              <w:rPr>
                <w:sz w:val="20"/>
                <w:szCs w:val="20"/>
                <w:color w:val="auto"/>
              </w:rPr>
            </w:pPr>
            <w:r>
              <w:rPr>
                <w:rFonts w:ascii="Arial" w:cs="Arial" w:eastAsia="Arial" w:hAnsi="Arial"/>
                <w:sz w:val="16"/>
                <w:szCs w:val="16"/>
                <w:color w:val="auto"/>
              </w:rPr>
              <w:t>Amount recognized</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(38,011)</w:t>
            </w:r>
          </w:p>
        </w:tc>
      </w:tr>
      <w:tr>
        <w:trPr>
          <w:trHeight w:val="210"/>
        </w:trPr>
        <w:tc>
          <w:tcPr>
            <w:tcW w:w="9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Increased due to shipments</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69,321</w:t>
            </w:r>
          </w:p>
        </w:tc>
      </w:tr>
      <w:tr>
        <w:trPr>
          <w:trHeight w:val="204"/>
        </w:trPr>
        <w:tc>
          <w:tcPr>
            <w:tcW w:w="9800" w:type="dxa"/>
            <w:vAlign w:val="bottom"/>
          </w:tcPr>
          <w:p>
            <w:pPr>
              <w:ind w:left="20"/>
              <w:spacing w:after="0"/>
              <w:rPr>
                <w:sz w:val="20"/>
                <w:szCs w:val="20"/>
                <w:color w:val="auto"/>
              </w:rPr>
            </w:pPr>
            <w:r>
              <w:rPr>
                <w:rFonts w:ascii="Arial" w:cs="Arial" w:eastAsia="Arial" w:hAnsi="Arial"/>
                <w:sz w:val="16"/>
                <w:szCs w:val="16"/>
                <w:color w:val="auto"/>
              </w:rPr>
              <w:t>Contract Assets, end of period</w:t>
            </w: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164,431</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Contract liabilities are recorded as deferred revenue on the accompanying consolidated balance sheets and include payments received in advance of performance obligations under the contract and are realized when the associated revenue is recognized under the contract.</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Significant changes in the balances of contract liabilities (deferred revenues) as of December 31, 2023 are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 beginning of period</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center"/>
              <w:ind w:left="241"/>
              <w:spacing w:after="0"/>
              <w:rPr>
                <w:sz w:val="20"/>
                <w:szCs w:val="20"/>
                <w:color w:val="auto"/>
              </w:rPr>
            </w:pPr>
            <w:r>
              <w:rPr>
                <w:rFonts w:ascii="Arial" w:cs="Arial" w:eastAsia="Arial" w:hAnsi="Arial"/>
                <w:sz w:val="16"/>
                <w:szCs w:val="16"/>
                <w:color w:val="auto"/>
              </w:rPr>
              <w:t>372,360</w:t>
            </w:r>
          </w:p>
        </w:tc>
      </w:tr>
      <w:tr>
        <w:trPr>
          <w:trHeight w:val="209"/>
        </w:trPr>
        <w:tc>
          <w:tcPr>
            <w:tcW w:w="9800" w:type="dxa"/>
            <w:vAlign w:val="bottom"/>
          </w:tcPr>
          <w:p>
            <w:pPr>
              <w:ind w:left="120"/>
              <w:spacing w:after="0"/>
              <w:rPr>
                <w:sz w:val="20"/>
                <w:szCs w:val="20"/>
                <w:color w:val="auto"/>
              </w:rPr>
            </w:pPr>
            <w:r>
              <w:rPr>
                <w:rFonts w:ascii="Arial" w:cs="Arial" w:eastAsia="Arial" w:hAnsi="Arial"/>
                <w:sz w:val="16"/>
                <w:szCs w:val="16"/>
                <w:color w:val="auto"/>
              </w:rPr>
              <w:t>Revenue recognized</w:t>
            </w:r>
          </w:p>
        </w:tc>
        <w:tc>
          <w:tcPr>
            <w:tcW w:w="420" w:type="dxa"/>
            <w:vAlign w:val="bottom"/>
          </w:tcPr>
          <w:p>
            <w:pPr>
              <w:spacing w:after="0"/>
              <w:rPr>
                <w:sz w:val="18"/>
                <w:szCs w:val="18"/>
                <w:color w:val="auto"/>
              </w:rPr>
            </w:pPr>
          </w:p>
        </w:tc>
        <w:tc>
          <w:tcPr>
            <w:tcW w:w="1020" w:type="dxa"/>
            <w:vAlign w:val="bottom"/>
          </w:tcPr>
          <w:p>
            <w:pPr>
              <w:jc w:val="center"/>
              <w:ind w:left="221"/>
              <w:spacing w:after="0"/>
              <w:rPr>
                <w:sz w:val="20"/>
                <w:szCs w:val="20"/>
                <w:color w:val="auto"/>
              </w:rPr>
            </w:pPr>
            <w:r>
              <w:rPr>
                <w:rFonts w:ascii="Arial" w:cs="Arial" w:eastAsia="Arial" w:hAnsi="Arial"/>
                <w:sz w:val="16"/>
                <w:szCs w:val="16"/>
                <w:color w:val="auto"/>
                <w:w w:val="99"/>
              </w:rPr>
              <w:t>(109,687)</w:t>
            </w:r>
          </w:p>
        </w:tc>
      </w:tr>
      <w:tr>
        <w:trPr>
          <w:trHeight w:val="211"/>
        </w:trPr>
        <w:tc>
          <w:tcPr>
            <w:tcW w:w="9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Increased due to billings</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241"/>
              <w:spacing w:after="0"/>
              <w:rPr>
                <w:sz w:val="20"/>
                <w:szCs w:val="20"/>
                <w:color w:val="auto"/>
              </w:rPr>
            </w:pPr>
            <w:r>
              <w:rPr>
                <w:rFonts w:ascii="Arial" w:cs="Arial" w:eastAsia="Arial" w:hAnsi="Arial"/>
                <w:sz w:val="16"/>
                <w:szCs w:val="16"/>
                <w:color w:val="auto"/>
              </w:rPr>
              <w:t>224,799</w:t>
            </w:r>
          </w:p>
        </w:tc>
      </w:tr>
      <w:tr>
        <w:trPr>
          <w:trHeight w:val="202"/>
        </w:trPr>
        <w:tc>
          <w:tcPr>
            <w:tcW w:w="9800" w:type="dxa"/>
            <w:vAlign w:val="bottom"/>
          </w:tcPr>
          <w:p>
            <w:pPr>
              <w:ind w:left="20"/>
              <w:spacing w:after="0"/>
              <w:rPr>
                <w:sz w:val="20"/>
                <w:szCs w:val="20"/>
                <w:color w:val="auto"/>
              </w:rPr>
            </w:pPr>
            <w:r>
              <w:rPr>
                <w:rFonts w:ascii="Arial" w:cs="Arial" w:eastAsia="Arial" w:hAnsi="Arial"/>
                <w:sz w:val="16"/>
                <w:szCs w:val="16"/>
                <w:color w:val="auto"/>
              </w:rPr>
              <w:t>Contract Liabilities, end of period</w:t>
            </w: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color w:val="auto"/>
              </w:rPr>
              <w:t>487,472</w:t>
            </w:r>
          </w:p>
        </w:tc>
      </w:tr>
      <w:tr>
        <w:trPr>
          <w:trHeight w:val="21"/>
        </w:trPr>
        <w:tc>
          <w:tcPr>
            <w:tcW w:w="9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532765</wp:posOffset>
            </wp:positionV>
            <wp:extent cx="69361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4" w:name="page85"/>
    <w:bookmarkEnd w:id="8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Remaining Performance Obligations</w:t>
      </w:r>
    </w:p>
    <w:p>
      <w:pPr>
        <w:spacing w:after="0" w:line="121" w:lineRule="exact"/>
        <w:rPr>
          <w:sz w:val="20"/>
          <w:szCs w:val="20"/>
          <w:color w:val="auto"/>
        </w:rPr>
      </w:pPr>
    </w:p>
    <w:p>
      <w:pPr>
        <w:ind w:right="840" w:firstLine="472"/>
        <w:spacing w:after="0" w:line="300" w:lineRule="auto"/>
        <w:rPr>
          <w:sz w:val="20"/>
          <w:szCs w:val="20"/>
          <w:color w:val="auto"/>
        </w:rPr>
      </w:pPr>
      <w:r>
        <w:rPr>
          <w:rFonts w:ascii="Arial" w:cs="Arial" w:eastAsia="Arial" w:hAnsi="Arial"/>
          <w:sz w:val="17"/>
          <w:szCs w:val="17"/>
          <w:color w:val="auto"/>
        </w:rPr>
        <w:t>Estimated revenue expected to be recognized in future periods related to performance obligations that are unsatisfied or partially unsatisfied at the end of the reporting period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04"/>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9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2023</w:t>
            </w:r>
          </w:p>
        </w:tc>
      </w:tr>
      <w:tr>
        <w:trPr>
          <w:trHeight w:val="186"/>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4"/>
              <w:spacing w:after="0"/>
              <w:rPr>
                <w:sz w:val="20"/>
                <w:szCs w:val="20"/>
                <w:color w:val="auto"/>
              </w:rPr>
            </w:pPr>
            <w:r>
              <w:rPr>
                <w:rFonts w:ascii="Arial" w:cs="Arial" w:eastAsia="Arial" w:hAnsi="Arial"/>
                <w:sz w:val="14"/>
                <w:szCs w:val="14"/>
                <w:i w:val="1"/>
                <w:iCs w:val="1"/>
                <w:color w:val="auto"/>
                <w:w w:val="98"/>
              </w:rPr>
              <w:t>(In thousands)</w:t>
            </w:r>
          </w:p>
        </w:tc>
      </w:tr>
      <w:tr>
        <w:trPr>
          <w:trHeight w:val="214"/>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9800" w:type="dxa"/>
            <w:vAlign w:val="bottom"/>
          </w:tcPr>
          <w:p>
            <w:pPr>
              <w:ind w:left="140"/>
              <w:spacing w:after="0"/>
              <w:rPr>
                <w:sz w:val="20"/>
                <w:szCs w:val="20"/>
                <w:color w:val="auto"/>
              </w:rPr>
            </w:pPr>
            <w:r>
              <w:rPr>
                <w:rFonts w:ascii="Arial" w:cs="Arial" w:eastAsia="Arial" w:hAnsi="Arial"/>
                <w:sz w:val="16"/>
                <w:szCs w:val="16"/>
                <w:color w:val="auto"/>
              </w:rPr>
              <w:t>2024</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118,300</w:t>
            </w:r>
          </w:p>
        </w:tc>
      </w:tr>
      <w:tr>
        <w:trPr>
          <w:trHeight w:val="211"/>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109,877</w:t>
            </w:r>
          </w:p>
        </w:tc>
      </w:tr>
      <w:tr>
        <w:trPr>
          <w:trHeight w:val="209"/>
        </w:trPr>
        <w:tc>
          <w:tcPr>
            <w:tcW w:w="9800" w:type="dxa"/>
            <w:vAlign w:val="bottom"/>
          </w:tcPr>
          <w:p>
            <w:pPr>
              <w:ind w:left="140"/>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93,948</w:t>
            </w:r>
          </w:p>
        </w:tc>
      </w:tr>
      <w:tr>
        <w:trPr>
          <w:trHeight w:val="211"/>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74,273</w:t>
            </w:r>
          </w:p>
        </w:tc>
      </w:tr>
      <w:tr>
        <w:trPr>
          <w:trHeight w:val="209"/>
        </w:trPr>
        <w:tc>
          <w:tcPr>
            <w:tcW w:w="9800" w:type="dxa"/>
            <w:vAlign w:val="bottom"/>
          </w:tcPr>
          <w:p>
            <w:pPr>
              <w:ind w:left="140"/>
              <w:spacing w:after="0"/>
              <w:rPr>
                <w:sz w:val="20"/>
                <w:szCs w:val="20"/>
                <w:color w:val="auto"/>
              </w:rPr>
            </w:pPr>
            <w:r>
              <w:rPr>
                <w:rFonts w:ascii="Arial" w:cs="Arial" w:eastAsia="Arial" w:hAnsi="Arial"/>
                <w:sz w:val="16"/>
                <w:szCs w:val="16"/>
                <w:color w:val="auto"/>
              </w:rPr>
              <w:t>2028</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52,939</w:t>
            </w:r>
          </w:p>
        </w:tc>
      </w:tr>
      <w:tr>
        <w:trPr>
          <w:trHeight w:val="210"/>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38,135</w:t>
            </w:r>
          </w:p>
        </w:tc>
      </w:tr>
      <w:tr>
        <w:trPr>
          <w:trHeight w:val="204"/>
        </w:trPr>
        <w:tc>
          <w:tcPr>
            <w:tcW w:w="980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487,472</w:t>
            </w:r>
          </w:p>
        </w:tc>
      </w:tr>
      <w:tr>
        <w:trPr>
          <w:trHeight w:val="20"/>
        </w:trPr>
        <w:tc>
          <w:tcPr>
            <w:tcW w:w="9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4.</w:t>
        <w:tab/>
        <w:t>INVENTORY</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Inventory</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Inventory consists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60" w:type="dxa"/>
            <w:vAlign w:val="bottom"/>
          </w:tcPr>
          <w:p>
            <w:pPr>
              <w:jc w:val="right"/>
              <w:ind w:right="185"/>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8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2022</w:t>
            </w:r>
          </w:p>
        </w:tc>
      </w:tr>
      <w:tr>
        <w:trPr>
          <w:trHeight w:val="225"/>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4"/>
          </w:tcPr>
          <w:p>
            <w:pPr>
              <w:jc w:val="right"/>
              <w:ind w:right="965"/>
              <w:spacing w:after="0"/>
              <w:rPr>
                <w:sz w:val="20"/>
                <w:szCs w:val="20"/>
                <w:color w:val="auto"/>
              </w:rPr>
            </w:pPr>
            <w:r>
              <w:rPr>
                <w:rFonts w:ascii="Arial" w:cs="Arial" w:eastAsia="Arial" w:hAnsi="Arial"/>
                <w:sz w:val="14"/>
                <w:szCs w:val="14"/>
                <w:i w:val="1"/>
                <w:iCs w:val="1"/>
                <w:color w:val="auto"/>
              </w:rPr>
              <w:t>(In thousands)</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30,849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34,978</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182,746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114,730</w:t>
            </w:r>
          </w:p>
        </w:tc>
      </w:tr>
      <w:tr>
        <w:trPr>
          <w:trHeight w:val="228"/>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inventory</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213,595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149,708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5.</w:t>
        <w:tab/>
        <w:t>PROPERTY AND EQUIPMENT, NET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and equipment, net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80" w:type="dxa"/>
            <w:vAlign w:val="bottom"/>
          </w:tcPr>
          <w:p>
            <w:pPr>
              <w:spacing w:after="0"/>
              <w:rPr>
                <w:sz w:val="16"/>
                <w:szCs w:val="16"/>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Estimated Useful</w:t>
            </w: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0"/>
        </w:trPr>
        <w:tc>
          <w:tcPr>
            <w:tcW w:w="65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r>
      <w:tr>
        <w:trPr>
          <w:trHeight w:val="225"/>
        </w:trPr>
        <w:tc>
          <w:tcPr>
            <w:tcW w:w="658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5"/>
              </w:rPr>
              <w:t>(Years)</w:t>
            </w:r>
          </w:p>
        </w:tc>
        <w:tc>
          <w:tcPr>
            <w:tcW w:w="320" w:type="dxa"/>
            <w:vAlign w:val="bottom"/>
          </w:tcPr>
          <w:p>
            <w:pPr>
              <w:spacing w:after="0"/>
              <w:rPr>
                <w:sz w:val="19"/>
                <w:szCs w:val="19"/>
                <w:color w:val="auto"/>
              </w:rPr>
            </w:pPr>
          </w:p>
        </w:tc>
        <w:tc>
          <w:tcPr>
            <w:tcW w:w="170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4"/>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and machinery</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186,298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114,246</w:t>
            </w: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5-10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3,222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3,295</w:t>
            </w: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7,543</w:t>
            </w: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color w:val="auto"/>
              </w:rPr>
              <w:t>Capitalized software costs</w:t>
            </w:r>
          </w:p>
        </w:tc>
        <w:tc>
          <w:tcPr>
            <w:tcW w:w="1560" w:type="dxa"/>
            <w:vAlign w:val="bottom"/>
          </w:tcPr>
          <w:p>
            <w:pPr>
              <w:jc w:val="center"/>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61,577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42,649</w:t>
            </w: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and leasehold improvements</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17,058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15,875</w:t>
            </w: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color w:val="auto"/>
              </w:rPr>
              <w:t>Land</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29,752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31,734</w:t>
            </w:r>
          </w:p>
        </w:tc>
      </w:tr>
      <w:tr>
        <w:trPr>
          <w:trHeight w:val="202"/>
        </w:trPr>
        <w:tc>
          <w:tcPr>
            <w:tcW w:w="6580" w:type="dxa"/>
            <w:vAlign w:val="bottom"/>
          </w:tcPr>
          <w:p>
            <w:pPr>
              <w:ind w:left="240"/>
              <w:spacing w:after="0"/>
              <w:rPr>
                <w:sz w:val="20"/>
                <w:szCs w:val="20"/>
                <w:color w:val="auto"/>
              </w:rPr>
            </w:pPr>
            <w:r>
              <w:rPr>
                <w:rFonts w:ascii="Arial" w:cs="Arial" w:eastAsia="Arial" w:hAnsi="Arial"/>
                <w:sz w:val="16"/>
                <w:szCs w:val="16"/>
                <w:color w:val="auto"/>
              </w:rPr>
              <w:t>Total</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305,651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215,456</w:t>
            </w:r>
          </w:p>
        </w:tc>
      </w:tr>
      <w:tr>
        <w:trPr>
          <w:trHeight w:val="210"/>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 accumulated depreciation and amortization</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(137,407)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(104,089)</w:t>
            </w:r>
          </w:p>
        </w:tc>
      </w:tr>
      <w:tr>
        <w:trPr>
          <w:trHeight w:val="204"/>
        </w:trPr>
        <w:tc>
          <w:tcPr>
            <w:tcW w:w="65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168,244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111,367</w:t>
            </w:r>
          </w:p>
        </w:tc>
      </w:tr>
      <w:tr>
        <w:trPr>
          <w:trHeight w:val="20"/>
        </w:trPr>
        <w:tc>
          <w:tcPr>
            <w:tcW w:w="6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Depreciation expense for property and equipment, net for the years ended December 31, 2023, 2022 and 2021 was $40.7 million, $27.7 million and $16.7 million, respectively.</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December 31, 2023 and 2022, unamortized capitalized software costs were $25.2 million and $19.2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5" w:name="page86"/>
    <w:bookmarkEnd w:id="8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During the year ended December 31, 2023, the Company determined that a triggering event had occurred as a result of changes to the Company’s long-term projections and as a result $ 5.7 million of property and equipment, net asset will be retired. Accordingly, the Company recorded an impairment charge for the property and equipment, net asset of $5.7 million within “Restructuring and asset impairment charges” on the consolidated statement of operations for the year ended December 31, 2023.</w:t>
      </w:r>
    </w:p>
    <w:p>
      <w:pPr>
        <w:spacing w:after="0" w:line="112" w:lineRule="exact"/>
        <w:rPr>
          <w:sz w:val="20"/>
          <w:szCs w:val="20"/>
          <w:color w:val="auto"/>
        </w:rPr>
      </w:pPr>
    </w:p>
    <w:p>
      <w:pPr>
        <w:ind w:left="340" w:hanging="335"/>
        <w:spacing w:after="0"/>
        <w:tabs>
          <w:tab w:leader="none" w:pos="34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GreenCom Networks AG (“GreenCom”)</w:t>
      </w:r>
    </w:p>
    <w:p>
      <w:pPr>
        <w:spacing w:after="0" w:line="11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On October 10, 2022, the Company completed the acquisition of GreenCom, a privately-held company, for paid cash consideration of approximately $34.9 million. GreenCom provided Internet of Things (IoT) software solutions for customers to connect and manage a wide range of distributed energy devices within the home. This acquisition added headcount to the Company’s engineering team in Europe to introduce the IQ Energy Router family of devices in Germany and Austria beginning in June 2023, which are designed to allow the integration of select third-party EV chargers and heat pumps into the Company’s solar and battery systems.</w:t>
      </w:r>
    </w:p>
    <w:p>
      <w:pPr>
        <w:spacing w:after="0" w:line="63"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acquisition has been accounted for as a business combination under the acquisition method, and accordingly, the approximately $34.9 million purchase price is allocated to the tangible and identifiable intangible assets acquired and liabilities assumed based on their respective fair values on the acquisition date.</w:t>
      </w:r>
    </w:p>
    <w:p>
      <w:pPr>
        <w:spacing w:after="0" w:line="5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summarizes the preliminary estimated fair values of the assets acquired and liabilities assumed at the acquisition date, which are subject to change within the measurement period as the fair value assessments are finalized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tangible liabilities acquired</w:t>
            </w: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09"/>
        </w:trPr>
        <w:tc>
          <w:tcPr>
            <w:tcW w:w="98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13,900</w:t>
            </w:r>
          </w:p>
        </w:tc>
      </w:tr>
      <w:tr>
        <w:trPr>
          <w:trHeight w:val="211"/>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w:t>
            </w:r>
          </w:p>
        </w:tc>
      </w:tr>
      <w:tr>
        <w:trPr>
          <w:trHeight w:val="20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16,536</w:t>
            </w:r>
          </w:p>
        </w:tc>
      </w:tr>
      <w:tr>
        <w:trPr>
          <w:trHeight w:val="228"/>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assets acquired</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34,896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excess of the consideration paid over the fair values assigned to the assets acquired and liabilities assumed represents the goodwill resulting from the acquisition. Goodwill is primarily attributable to expected synergies in the Company’s solar offerings and cross-selling opportunities. None of the goodwill is expected to be deductible for German income tax purposes.</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Intangible assets consist primarily of developed technology and customer relationships. Developed technology includes a combination of unpatented technology, trade secrets, computer software and research processes that facilitates home energy management through integration of existing and planned new products in renewable energy sector. Customer relationships relates to GreenCom’s ability to sell current and future offerings, as well as products built around the current offering, to its existing customers.</w:t>
      </w:r>
    </w:p>
    <w:p>
      <w:pPr>
        <w:spacing w:after="0" w:line="6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shows the fair value of the separately identifiable intangible assets at the time of acquisition and the period over which each intangible asset will be amortized: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66"/>
              <w:spacing w:after="0"/>
              <w:rPr>
                <w:sz w:val="20"/>
                <w:szCs w:val="20"/>
                <w:color w:val="auto"/>
              </w:rPr>
            </w:pPr>
            <w:r>
              <w:rPr>
                <w:rFonts w:ascii="Arial" w:cs="Arial" w:eastAsia="Arial" w:hAnsi="Arial"/>
                <w:sz w:val="14"/>
                <w:szCs w:val="14"/>
                <w:b w:val="1"/>
                <w:bCs w:val="1"/>
                <w:color w:val="auto"/>
              </w:rPr>
              <w:t>Preliminary Fair</w:t>
            </w:r>
          </w:p>
        </w:tc>
        <w:tc>
          <w:tcPr>
            <w:tcW w:w="1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Useful Life</w:t>
            </w:r>
          </w:p>
        </w:tc>
        <w:tc>
          <w:tcPr>
            <w:tcW w:w="0" w:type="dxa"/>
            <w:vAlign w:val="bottom"/>
          </w:tcPr>
          <w:p>
            <w:pPr>
              <w:spacing w:after="0"/>
              <w:rPr>
                <w:sz w:val="1"/>
                <w:szCs w:val="1"/>
                <w:color w:val="auto"/>
              </w:rPr>
            </w:pPr>
          </w:p>
        </w:tc>
      </w:tr>
      <w:tr>
        <w:trPr>
          <w:trHeight w:val="184"/>
        </w:trPr>
        <w:tc>
          <w:tcPr>
            <w:tcW w:w="8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(Years)</w:t>
            </w:r>
          </w:p>
        </w:tc>
        <w:tc>
          <w:tcPr>
            <w:tcW w:w="0" w:type="dxa"/>
            <w:vAlign w:val="bottom"/>
          </w:tcPr>
          <w:p>
            <w:pPr>
              <w:spacing w:after="0"/>
              <w:rPr>
                <w:sz w:val="1"/>
                <w:szCs w:val="1"/>
                <w:color w:val="auto"/>
              </w:rPr>
            </w:pPr>
          </w:p>
        </w:tc>
      </w:tr>
      <w:tr>
        <w:trPr>
          <w:trHeight w:val="20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540" w:type="dxa"/>
            <w:vAlign w:val="bottom"/>
            <w:gridSpan w:val="2"/>
            <w:shd w:val="clear" w:color="auto" w:fill="CCEEFF"/>
          </w:tcPr>
          <w:p>
            <w:pPr>
              <w:jc w:val="center"/>
              <w:ind w:left="4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Customer relationships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5,900</w:t>
            </w:r>
          </w:p>
        </w:tc>
        <w:tc>
          <w:tcPr>
            <w:tcW w:w="1540" w:type="dxa"/>
            <w:vAlign w:val="bottom"/>
            <w:tcBorders>
              <w:bottom w:val="single" w:sz="8" w:color="CCEEFF"/>
            </w:tcBorders>
            <w:gridSpan w:val="2"/>
          </w:tcPr>
          <w:p>
            <w:pPr>
              <w:jc w:val="center"/>
              <w:ind w:left="4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identifiable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13,900</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Pro forma financial information has not been presented for the GreenCom acquisition as the impact to the Company’s consolidated financial statements was not material.</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 incurred and accrued costs related to acquisition of $1.8 million that were recorded in general and administrative expenses in the accompanying consolidated statements of operations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6" w:name="page87"/>
    <w:bookmarkEnd w:id="8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SolarLeadFactory, LLC. (“SolarLeadFactory”)</w:t>
      </w:r>
    </w:p>
    <w:p>
      <w:pPr>
        <w:spacing w:after="0" w:line="11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On March 14, 2022, the Company completed the acquisition of SolarLeadFactory, a privately-held company. SolarLeadFactory provides high quality leads to solar installers. As part of the purchase price, the Company paid approximately $26.1 million in cash on March 14, 2022.</w:t>
      </w:r>
    </w:p>
    <w:p>
      <w:pPr>
        <w:spacing w:after="0" w:line="3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acquisition has been accounted for as a business combination under the acquisition method, and accordingly, the total purchase price is allocated to the tangible and identifiable intangible assets acquired and liabilities assumed based on their respective fair values on the acquisition date.</w:t>
      </w:r>
    </w:p>
    <w:p>
      <w:pPr>
        <w:spacing w:after="0" w:line="5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summarizes the preliminary estimated fair values of the assets acquired and liabilities assumed at the acquisition date, which are subject to change within the measurement period as the fair value assessments are finalized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tangible assets acquired</w:t>
            </w: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r>
      <w:tr>
        <w:trPr>
          <w:trHeight w:val="209"/>
        </w:trPr>
        <w:tc>
          <w:tcPr>
            <w:tcW w:w="98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11,200</w:t>
            </w:r>
          </w:p>
        </w:tc>
      </w:tr>
      <w:tr>
        <w:trPr>
          <w:trHeight w:val="211"/>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12,612</w:t>
            </w:r>
          </w:p>
        </w:tc>
      </w:tr>
      <w:tr>
        <w:trPr>
          <w:trHeight w:val="202"/>
        </w:trPr>
        <w:tc>
          <w:tcPr>
            <w:tcW w:w="9800" w:type="dxa"/>
            <w:vAlign w:val="bottom"/>
          </w:tcPr>
          <w:p>
            <w:pPr>
              <w:ind w:left="220"/>
              <w:spacing w:after="0"/>
              <w:rPr>
                <w:sz w:val="20"/>
                <w:szCs w:val="20"/>
                <w:color w:val="auto"/>
              </w:rPr>
            </w:pPr>
            <w:r>
              <w:rPr>
                <w:rFonts w:ascii="Arial" w:cs="Arial" w:eastAsia="Arial" w:hAnsi="Arial"/>
                <w:sz w:val="16"/>
                <w:szCs w:val="16"/>
                <w:color w:val="auto"/>
              </w:rPr>
              <w:t>Net assets acquired</w:t>
            </w:r>
          </w:p>
        </w:tc>
        <w:tc>
          <w:tcPr>
            <w:tcW w:w="5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26,051</w:t>
            </w:r>
          </w:p>
        </w:tc>
      </w:tr>
      <w:tr>
        <w:trPr>
          <w:trHeight w:val="21"/>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excess of the consideration paid over the fair values assigned to the assets acquired and liabilities assumed represents the goodwill resulting from the acquisition. Goodwill is primarily attributable to expected synergies in the Company’s solar offerings and cross-selling opportunities. The entire goodwill amount is expected to be deductible for U.S. federal income tax purposes over 15 years.</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Intangible assets consist primarily of developed technology and customer relationships. Developed technology includes a combination of unpatented technology, trade secrets, computer software and research processes that represent the foundation for the existing and planned new products to facilitate the generation of new content. Customer relationships relates to SolarLeadFactory’s ability to sell current and future offerings, as well as products built around the current offering, to its existing customers.</w:t>
      </w:r>
    </w:p>
    <w:p>
      <w:pPr>
        <w:spacing w:after="0" w:line="6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shows the fair value of the separately identifiable intangible assets at the time of acquisition and the period over which each intangible asset will be amortized: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Useful Life</w:t>
            </w:r>
          </w:p>
        </w:tc>
      </w:tr>
      <w:tr>
        <w:trPr>
          <w:trHeight w:val="186"/>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(Years)</w:t>
            </w:r>
          </w:p>
        </w:tc>
      </w:tr>
      <w:tr>
        <w:trPr>
          <w:trHeight w:val="20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1540" w:type="dxa"/>
            <w:vAlign w:val="bottom"/>
            <w:gridSpan w:val="2"/>
            <w:shd w:val="clear" w:color="auto" w:fill="CCEEFF"/>
          </w:tcPr>
          <w:p>
            <w:pPr>
              <w:jc w:val="center"/>
              <w:ind w:left="41"/>
              <w:spacing w:after="0"/>
              <w:rPr>
                <w:sz w:val="20"/>
                <w:szCs w:val="20"/>
                <w:color w:val="auto"/>
              </w:rPr>
            </w:pPr>
            <w:r>
              <w:rPr>
                <w:rFonts w:ascii="Arial" w:cs="Arial" w:eastAsia="Arial" w:hAnsi="Arial"/>
                <w:sz w:val="16"/>
                <w:szCs w:val="16"/>
                <w:color w:val="auto"/>
              </w:rPr>
              <w:t>5</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7,600</w:t>
            </w:r>
          </w:p>
        </w:tc>
        <w:tc>
          <w:tcPr>
            <w:tcW w:w="1540" w:type="dxa"/>
            <w:vAlign w:val="bottom"/>
            <w:tcBorders>
              <w:bottom w:val="single" w:sz="8" w:color="CCEEFF"/>
            </w:tcBorders>
            <w:gridSpan w:val="2"/>
          </w:tcPr>
          <w:p>
            <w:pPr>
              <w:jc w:val="center"/>
              <w:ind w:left="41"/>
              <w:spacing w:after="0"/>
              <w:rPr>
                <w:sz w:val="20"/>
                <w:szCs w:val="20"/>
                <w:color w:val="auto"/>
              </w:rPr>
            </w:pPr>
            <w:r>
              <w:rPr>
                <w:rFonts w:ascii="Arial" w:cs="Arial" w:eastAsia="Arial" w:hAnsi="Arial"/>
                <w:sz w:val="16"/>
                <w:szCs w:val="16"/>
                <w:color w:val="auto"/>
              </w:rPr>
              <w:t>5</w:t>
            </w:r>
          </w:p>
        </w:tc>
      </w:tr>
      <w:tr>
        <w:trPr>
          <w:trHeight w:val="22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identifiable intangible assets</w:t>
            </w: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11,200</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Pro forma financial information has not been presented for the SolarLeadFactory acquisition as the impact to the Company’s consolidated financial statements was not material.</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 incurred and accrued costs related to acquisition of $0.4 million that were recorded in general and administrative expenses in the accompanying consolidated statements of operations for the year ended December 31, 2022.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ClipperCreek, Inc. (“ClipperCreek”)</w:t>
      </w:r>
    </w:p>
    <w:p>
      <w:pPr>
        <w:spacing w:after="0" w:line="11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On December 31, 2021, the Company completed the acquisition of ClipperCreek, a privately-held company. ClipperCreek offers electric vehicle charging solutions for residential and commercial customers in the United States. As part of the purchase price, the Company paid approximately $113.1 million and $3.2 million in cash on December 31, 2021 and June 2, 2022, respectively.</w:t>
      </w:r>
    </w:p>
    <w:p>
      <w:pPr>
        <w:spacing w:after="0" w:line="55"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acquisition has been accounted for as a business combination under the acquisition method, and accordingly, the total purchase price is allocated to the tangible and identifiable intangible assets acquired and liabilities assumed based on their respective fair values on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7" w:name="page88"/>
    <w:bookmarkEnd w:id="8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800" w:type="dxa"/>
            <w:vAlign w:val="bottom"/>
          </w:tcPr>
          <w:p>
            <w:pPr>
              <w:jc w:val="center"/>
              <w:ind w:left="1378"/>
              <w:spacing w:after="0"/>
              <w:rPr>
                <w:sz w:val="20"/>
                <w:szCs w:val="20"/>
                <w:color w:val="auto"/>
              </w:rPr>
            </w:pPr>
            <w:r>
              <w:rPr>
                <w:rFonts w:ascii="Arial" w:cs="Arial" w:eastAsia="Arial" w:hAnsi="Arial"/>
                <w:sz w:val="17"/>
                <w:szCs w:val="17"/>
                <w:b w:val="1"/>
                <w:bCs w:val="1"/>
                <w:color w:val="auto"/>
              </w:rPr>
              <w:t>ENPHASE ENERGY, INC.</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15"/>
        </w:trPr>
        <w:tc>
          <w:tcPr>
            <w:tcW w:w="9800" w:type="dxa"/>
            <w:vAlign w:val="bottom"/>
          </w:tcPr>
          <w:p>
            <w:pPr>
              <w:jc w:val="center"/>
              <w:ind w:left="1358"/>
              <w:spacing w:after="0"/>
              <w:rPr>
                <w:sz w:val="20"/>
                <w:szCs w:val="20"/>
                <w:color w:val="auto"/>
              </w:rPr>
            </w:pPr>
            <w:r>
              <w:rPr>
                <w:rFonts w:ascii="Arial" w:cs="Arial" w:eastAsia="Arial" w:hAnsi="Arial"/>
                <w:sz w:val="17"/>
                <w:szCs w:val="17"/>
                <w:b w:val="1"/>
                <w:bCs w:val="1"/>
                <w:color w:val="auto"/>
              </w:rPr>
              <w:t>NOTES TO CONSOLIDATED FINANCIAL STATEMENTS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831"/>
        </w:trPr>
        <w:tc>
          <w:tcPr>
            <w:tcW w:w="9800" w:type="dxa"/>
            <w:vAlign w:val="bottom"/>
          </w:tcPr>
          <w:p>
            <w:pPr>
              <w:ind w:left="480"/>
              <w:spacing w:after="0"/>
              <w:rPr>
                <w:sz w:val="20"/>
                <w:szCs w:val="20"/>
                <w:color w:val="auto"/>
              </w:rPr>
            </w:pPr>
            <w:r>
              <w:rPr>
                <w:rFonts w:ascii="Arial" w:cs="Arial" w:eastAsia="Arial" w:hAnsi="Arial"/>
                <w:sz w:val="17"/>
                <w:szCs w:val="17"/>
                <w:color w:val="auto"/>
              </w:rPr>
              <w:t>The following table summarizes the fair values of the assets acquired and liabilities (in thousands):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28"/>
        </w:trPr>
        <w:tc>
          <w:tcPr>
            <w:tcW w:w="9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tangible assets acquired</w:t>
            </w: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8,387</w:t>
            </w:r>
          </w:p>
        </w:tc>
      </w:tr>
      <w:tr>
        <w:trPr>
          <w:trHeight w:val="209"/>
        </w:trPr>
        <w:tc>
          <w:tcPr>
            <w:tcW w:w="98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37,800</w:t>
            </w:r>
          </w:p>
        </w:tc>
      </w:tr>
      <w:tr>
        <w:trPr>
          <w:trHeight w:val="211"/>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70,119</w:t>
            </w:r>
          </w:p>
        </w:tc>
      </w:tr>
      <w:tr>
        <w:trPr>
          <w:trHeight w:val="202"/>
        </w:trPr>
        <w:tc>
          <w:tcPr>
            <w:tcW w:w="9800" w:type="dxa"/>
            <w:vAlign w:val="bottom"/>
          </w:tcPr>
          <w:p>
            <w:pPr>
              <w:ind w:left="220"/>
              <w:spacing w:after="0"/>
              <w:rPr>
                <w:sz w:val="20"/>
                <w:szCs w:val="20"/>
                <w:color w:val="auto"/>
              </w:rPr>
            </w:pPr>
            <w:r>
              <w:rPr>
                <w:rFonts w:ascii="Arial" w:cs="Arial" w:eastAsia="Arial" w:hAnsi="Arial"/>
                <w:sz w:val="16"/>
                <w:szCs w:val="16"/>
                <w:color w:val="auto"/>
              </w:rPr>
              <w:t>Net assets acquired</w:t>
            </w: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116,306</w:t>
            </w:r>
          </w:p>
        </w:tc>
      </w:tr>
      <w:tr>
        <w:trPr>
          <w:trHeight w:val="21"/>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excess of the consideration paid over the fair values assigned to the assets acquired and liabilities assumed represents the goodwill resulting from the acquisition. Goodwill is primarily attributable to expected synergies in the Company’s solar offerings and cross-selling opportunities. The entire goodwill amount is expected to be deductible for U.S. federal income tax purposes over 15 years.</w:t>
      </w:r>
    </w:p>
    <w:p>
      <w:pPr>
        <w:spacing w:after="0" w:line="5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Intangible assets consist primarily of trade name and order backlog. Trade name intangible is attributable to marketing goods and services under the ClipperCreek brand and order backlog pertains to purchase orders with customers yet to be fulfilled.</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shows the fair value of the separately identifiable intangible assets at the time of acquisition and the period over which each intangible asset will be amortized: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Useful Life</w:t>
            </w:r>
          </w:p>
        </w:tc>
        <w:tc>
          <w:tcPr>
            <w:tcW w:w="0" w:type="dxa"/>
            <w:vAlign w:val="bottom"/>
          </w:tcPr>
          <w:p>
            <w:pPr>
              <w:spacing w:after="0"/>
              <w:rPr>
                <w:sz w:val="1"/>
                <w:szCs w:val="1"/>
                <w:color w:val="auto"/>
              </w:rPr>
            </w:pPr>
          </w:p>
        </w:tc>
      </w:tr>
      <w:tr>
        <w:trPr>
          <w:trHeight w:val="186"/>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85"/>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rPr>
              <w:t>(Years)</w:t>
            </w:r>
          </w:p>
        </w:tc>
        <w:tc>
          <w:tcPr>
            <w:tcW w:w="0" w:type="dxa"/>
            <w:vAlign w:val="bottom"/>
          </w:tcPr>
          <w:p>
            <w:pPr>
              <w:spacing w:after="0"/>
              <w:rPr>
                <w:sz w:val="1"/>
                <w:szCs w:val="1"/>
                <w:color w:val="auto"/>
              </w:rPr>
            </w:pPr>
          </w:p>
        </w:tc>
      </w:tr>
      <w:tr>
        <w:trPr>
          <w:trHeight w:val="163"/>
        </w:trPr>
        <w:tc>
          <w:tcPr>
            <w:tcW w:w="82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Based on actual</w:t>
            </w:r>
          </w:p>
        </w:tc>
        <w:tc>
          <w:tcPr>
            <w:tcW w:w="0" w:type="dxa"/>
            <w:vAlign w:val="bottom"/>
          </w:tcPr>
          <w:p>
            <w:pPr>
              <w:spacing w:after="0"/>
              <w:rPr>
                <w:sz w:val="1"/>
                <w:szCs w:val="1"/>
                <w:color w:val="auto"/>
              </w:rPr>
            </w:pPr>
          </w:p>
        </w:tc>
      </w:tr>
      <w:tr>
        <w:trPr>
          <w:trHeight w:val="128"/>
        </w:trPr>
        <w:tc>
          <w:tcPr>
            <w:tcW w:w="8260" w:type="dxa"/>
            <w:vAlign w:val="bottom"/>
            <w:vMerge w:val="continue"/>
            <w:shd w:val="clear" w:color="auto" w:fill="CCEEFF"/>
          </w:tcPr>
          <w:p>
            <w:pPr>
              <w:spacing w:after="0"/>
              <w:rPr>
                <w:sz w:val="11"/>
                <w:szCs w:val="11"/>
                <w:color w:val="auto"/>
              </w:rPr>
            </w:pPr>
          </w:p>
        </w:tc>
        <w:tc>
          <w:tcPr>
            <w:tcW w:w="2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shipments</w:t>
            </w:r>
          </w:p>
        </w:tc>
        <w:tc>
          <w:tcPr>
            <w:tcW w:w="0" w:type="dxa"/>
            <w:vAlign w:val="bottom"/>
          </w:tcPr>
          <w:p>
            <w:pPr>
              <w:spacing w:after="0"/>
              <w:rPr>
                <w:sz w:val="1"/>
                <w:szCs w:val="1"/>
                <w:color w:val="auto"/>
              </w:rPr>
            </w:pPr>
          </w:p>
        </w:tc>
      </w:tr>
      <w:tr>
        <w:trPr>
          <w:trHeight w:val="81"/>
        </w:trPr>
        <w:tc>
          <w:tcPr>
            <w:tcW w:w="826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Trade name</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37,200</w:t>
            </w:r>
          </w:p>
        </w:tc>
        <w:tc>
          <w:tcPr>
            <w:tcW w:w="1540" w:type="dxa"/>
            <w:vAlign w:val="bottom"/>
            <w:tcBorders>
              <w:bottom w:val="single" w:sz="8" w:color="CCEEFF"/>
            </w:tcBorders>
            <w:gridSpan w:val="2"/>
          </w:tcPr>
          <w:p>
            <w:pPr>
              <w:jc w:val="center"/>
              <w:ind w:left="4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identifiable intangible assets</w:t>
            </w: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37,800</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consolidated unaudited proforma revenue and net income for the two years presented below, which includes the acquisition of ClipperCreek, assuming the acquisition occurred on January 1, 2020, were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4"/>
                <w:szCs w:val="14"/>
                <w:b w:val="1"/>
                <w:bCs w:val="1"/>
                <w:color w:val="auto"/>
              </w:rPr>
              <w:t>Years Ended December 31,</w:t>
            </w:r>
          </w:p>
        </w:tc>
      </w:tr>
      <w:tr>
        <w:trPr>
          <w:trHeight w:val="190"/>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1,401,803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790,791</w:t>
            </w:r>
          </w:p>
        </w:tc>
      </w:tr>
      <w:tr>
        <w:trPr>
          <w:trHeight w:val="204"/>
        </w:trPr>
        <w:tc>
          <w:tcPr>
            <w:tcW w:w="82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145,798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139,126</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 incurred and accrued costs related to this acquisition of $0.3 million and $0.5 million that were recorded in general and administrative expenses in the consolidated statements of operations for the years ended December 31,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8" w:name="page89"/>
    <w:bookmarkEnd w:id="8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365 Pronto, Inc. (“365 Pronto”)</w:t>
      </w:r>
    </w:p>
    <w:p>
      <w:pPr>
        <w:spacing w:after="0" w:line="11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On December 13, 2021, the Company completed the acquisition of 365 Pronto, a privately-held company. 365 Pronto provides an online platform for clean technology installation and service landscape by matching asset owners with an on-demand qualified workforce in the United States. As part of the purchase price, the Company paid approximately $69.9 million in cash on December 13, 2021.</w:t>
      </w:r>
    </w:p>
    <w:p>
      <w:pPr>
        <w:spacing w:after="0" w:line="55"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The acquisition has been accounted for as a business combination under the acquisition method, and accordingly, the total purchase price is allocated to the tangible and identifiable intangible assets acquired and liabilities assumed based on their respective fair values on the acquisition date. The results of operations of 365 Pronto have been included in the Company’s consolidated statement of operations from the acquisition date.</w:t>
      </w:r>
    </w:p>
    <w:p>
      <w:pPr>
        <w:spacing w:after="0" w:line="272"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In addition to the purchase price above, the Company was obligated to pay up to approximately $7.0 million and $4.0 million in shares of common stock of the Company in the three months ended March 31, 2023 and June 30, 2023, respectively, subject to achievement of certain revenue, operational and employment targets, of which $ 6.3 million and $4.0 million was paid in the three months ended March 31, 2023 and June 30, 2023 respectively. As the nature of the additional payments represented an in-substance service period of certain key employees of 365 Pronto and was subject to other conditions, these payments were accounted for as a post-combination expense and were recognized ratably over the term of the measurement period presuming the conditions were met.</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at the acquisition date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tangible assets acquired</w:t>
            </w: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9"/>
        </w:trPr>
        <w:tc>
          <w:tcPr>
            <w:tcW w:w="98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19,500</w:t>
            </w:r>
          </w:p>
        </w:tc>
      </w:tr>
      <w:tr>
        <w:trPr>
          <w:trHeight w:val="211"/>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w:t>
            </w:r>
          </w:p>
        </w:tc>
      </w:tr>
      <w:tr>
        <w:trPr>
          <w:trHeight w:val="20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53,280</w:t>
            </w:r>
          </w:p>
        </w:tc>
      </w:tr>
      <w:tr>
        <w:trPr>
          <w:trHeight w:val="228"/>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assets acquired</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69,912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excess of the consideration paid over the fair values assigned to the assets acquired and liabilities assumed represents the goodwill resulting from the acquisition. Goodwill is primarily attributable to expected synergies in the Company’s solar offerings and cross-selling opportunities. None of the goodwill is expected to be deductible for U.S. federal income tax purposes.</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Intangible assets consist primarily of developed technology and customer relationship intangibles. Intangible assets attributable to developed technology include a combination of unpatented technology, trade secrets, computer software and research processes that represent the foundation for the existing and planned new products to facilitate the generation of new content. Customer relationship intangibles relate to 365 Pronto’s software ability to sell current and future offerings, as well as products built around the current offering, to its existing customers.</w:t>
      </w:r>
    </w:p>
    <w:p>
      <w:pPr>
        <w:spacing w:after="0" w:line="6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shows the fair value of the separately identifiable intangible assets at the time of acquisition and the period over which each intangible asset will be amortized: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Useful Life</w:t>
            </w:r>
          </w:p>
        </w:tc>
      </w:tr>
      <w:tr>
        <w:trPr>
          <w:trHeight w:val="186"/>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85"/>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rPr>
              <w:t>(Years)</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18,400</w:t>
            </w:r>
          </w:p>
        </w:tc>
        <w:tc>
          <w:tcPr>
            <w:tcW w:w="1540" w:type="dxa"/>
            <w:vAlign w:val="bottom"/>
            <w:gridSpan w:val="2"/>
            <w:shd w:val="clear" w:color="auto" w:fill="CCEEFF"/>
          </w:tcPr>
          <w:p>
            <w:pPr>
              <w:jc w:val="center"/>
              <w:ind w:left="41"/>
              <w:spacing w:after="0"/>
              <w:rPr>
                <w:sz w:val="20"/>
                <w:szCs w:val="20"/>
                <w:color w:val="auto"/>
              </w:rPr>
            </w:pPr>
            <w:r>
              <w:rPr>
                <w:rFonts w:ascii="Arial" w:cs="Arial" w:eastAsia="Arial" w:hAnsi="Arial"/>
                <w:sz w:val="16"/>
                <w:szCs w:val="16"/>
                <w:color w:val="auto"/>
              </w:rPr>
              <w:t>5</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Customer relationship</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1540" w:type="dxa"/>
            <w:vAlign w:val="bottom"/>
            <w:tcBorders>
              <w:bottom w:val="single" w:sz="8" w:color="CCEEFF"/>
            </w:tcBorders>
            <w:gridSpan w:val="2"/>
          </w:tcPr>
          <w:p>
            <w:pPr>
              <w:jc w:val="center"/>
              <w:ind w:left="41"/>
              <w:spacing w:after="0"/>
              <w:rPr>
                <w:sz w:val="20"/>
                <w:szCs w:val="20"/>
                <w:color w:val="auto"/>
              </w:rPr>
            </w:pPr>
            <w:r>
              <w:rPr>
                <w:rFonts w:ascii="Arial" w:cs="Arial" w:eastAsia="Arial" w:hAnsi="Arial"/>
                <w:sz w:val="16"/>
                <w:szCs w:val="16"/>
                <w:color w:val="auto"/>
              </w:rPr>
              <w:t>5</w:t>
            </w:r>
          </w:p>
        </w:tc>
      </w:tr>
      <w:tr>
        <w:trPr>
          <w:trHeight w:val="22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identifiable intangible assets</w:t>
            </w: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19,500</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Pro forma financial information has not been presented for the 365 Pronto acquisition as the impact to the Company’s consolidated financial statements was not material.</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 incurred and accrued costs related to this acquisition of $0.1 million and $0.5 million that were recorded in general and administrative expenses in the consolidated statements of operations for the years ended December 31,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9" w:name="page90"/>
    <w:bookmarkEnd w:id="8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DIN Engineer Service LLP’s (“DIN”) Solar Design Services Business</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On March 31, 2021, the Company completed its acquisition of DIN’s solar design services business. DIN's solar design services business provides outsourced proposal drawings and permit plan sets for residential solar installers in North America and was acquired to enhance the Company’s digital transformation effort. As part of the purchase price, the Company paid approximately $24.8 million in cash at closing on March 31, 2021.</w:t>
      </w:r>
    </w:p>
    <w:p>
      <w:pPr>
        <w:spacing w:after="0" w:line="6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acquisition has been accounted for as a business combination under the acquisition method; accordingly, the total purchase price is allocated to the tangible and identifiable intangible assets acquired and liabilities assumed based on their respective fair values on the acquisition date. The results of operations of DIN’s solar design services business have been included in the Company’s consolidated statement of operations from the acquisition date.</w:t>
      </w:r>
    </w:p>
    <w:p>
      <w:pPr>
        <w:spacing w:after="0" w:line="6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addition to the purchase price summarized above, the Company was obligated to pay up to (i) approximately $5.0 million in equal monthly installments over the course of one year following the acquisition date; and (ii) approximately $5.0 million payable on the one year anniversary following the acquisition date, subject to the achievement of certain revenue and operational targets, which was paid in April 2022. As both additional payments required continuous employment of certain key employees of DIN and were subject to other conditions, these payments were accounted for as post-combination expense and recognized ratably over the term of measurement period.</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at the acquisition date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tangible assets acquired</w:t>
            </w:r>
          </w:p>
        </w:tc>
        <w:tc>
          <w:tcPr>
            <w:tcW w:w="5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1,281</w:t>
            </w:r>
          </w:p>
        </w:tc>
      </w:tr>
      <w:tr>
        <w:trPr>
          <w:trHeight w:val="209"/>
        </w:trPr>
        <w:tc>
          <w:tcPr>
            <w:tcW w:w="97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5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11,700</w:t>
            </w:r>
          </w:p>
        </w:tc>
      </w:tr>
      <w:tr>
        <w:trPr>
          <w:trHeight w:val="211"/>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11,804</w:t>
            </w:r>
          </w:p>
        </w:tc>
      </w:tr>
      <w:tr>
        <w:trPr>
          <w:trHeight w:val="202"/>
        </w:trPr>
        <w:tc>
          <w:tcPr>
            <w:tcW w:w="9700" w:type="dxa"/>
            <w:vAlign w:val="bottom"/>
          </w:tcPr>
          <w:p>
            <w:pPr>
              <w:ind w:left="220"/>
              <w:spacing w:after="0"/>
              <w:rPr>
                <w:sz w:val="20"/>
                <w:szCs w:val="20"/>
                <w:color w:val="auto"/>
              </w:rPr>
            </w:pPr>
            <w:r>
              <w:rPr>
                <w:rFonts w:ascii="Arial" w:cs="Arial" w:eastAsia="Arial" w:hAnsi="Arial"/>
                <w:sz w:val="16"/>
                <w:szCs w:val="16"/>
                <w:color w:val="auto"/>
              </w:rPr>
              <w:t>Net assets acquired</w:t>
            </w: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24,785</w:t>
            </w:r>
          </w:p>
        </w:tc>
      </w:tr>
      <w:tr>
        <w:trPr>
          <w:trHeight w:val="21"/>
        </w:trPr>
        <w:tc>
          <w:tcPr>
            <w:tcW w:w="9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excess of the consideration paid over the fair values assigned to the assets acquired and liabilities assumed represents the goodwill resulting from the acquisition. Goodwill is primarily attributable to expected synergies in the Company’s solar offerings and cross-selling opportunities. None of the goodwill is expected to be deductible for U.S. federal income tax purposes.</w:t>
      </w:r>
    </w:p>
    <w:p>
      <w:pPr>
        <w:spacing w:after="0" w:line="55" w:lineRule="exact"/>
        <w:rPr>
          <w:sz w:val="20"/>
          <w:szCs w:val="20"/>
          <w:color w:val="auto"/>
        </w:rPr>
      </w:pPr>
    </w:p>
    <w:p>
      <w:pPr>
        <w:jc w:val="both"/>
        <w:ind w:firstLine="472"/>
        <w:spacing w:after="0" w:line="291" w:lineRule="auto"/>
        <w:rPr>
          <w:sz w:val="20"/>
          <w:szCs w:val="20"/>
          <w:color w:val="auto"/>
        </w:rPr>
      </w:pPr>
      <w:r>
        <w:rPr>
          <w:rFonts w:ascii="Arial" w:cs="Arial" w:eastAsia="Arial" w:hAnsi="Arial"/>
          <w:sz w:val="17"/>
          <w:szCs w:val="17"/>
          <w:color w:val="auto"/>
        </w:rPr>
        <w:t>Intangible assets consist primarily of customer relationship intangibles. Customer relationship intangibles relate to the ability of the acquired DIN solar design services business to sell current and future offerings, as well as products built around the current offerings, to its existing customers.</w:t>
      </w:r>
    </w:p>
    <w:p>
      <w:pPr>
        <w:spacing w:after="0" w:line="26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shows the fair value of the separately identifiable intangible assets at the time of acquisition and the period over which each intangible asset will be amortized: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Preliminary Fair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Useful Life</w:t>
            </w:r>
          </w:p>
        </w:tc>
        <w:tc>
          <w:tcPr>
            <w:tcW w:w="0" w:type="dxa"/>
            <w:vAlign w:val="bottom"/>
          </w:tcPr>
          <w:p>
            <w:pPr>
              <w:spacing w:after="0"/>
              <w:rPr>
                <w:sz w:val="1"/>
                <w:szCs w:val="1"/>
                <w:color w:val="auto"/>
              </w:rPr>
            </w:pPr>
          </w:p>
        </w:tc>
      </w:tr>
      <w:tr>
        <w:trPr>
          <w:trHeight w:val="184"/>
        </w:trPr>
        <w:tc>
          <w:tcPr>
            <w:tcW w:w="8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rPr>
              <w:t>(Years)</w:t>
            </w:r>
          </w:p>
        </w:tc>
        <w:tc>
          <w:tcPr>
            <w:tcW w:w="0" w:type="dxa"/>
            <w:vAlign w:val="bottom"/>
          </w:tcPr>
          <w:p>
            <w:pPr>
              <w:spacing w:after="0"/>
              <w:rPr>
                <w:sz w:val="1"/>
                <w:szCs w:val="1"/>
                <w:color w:val="auto"/>
              </w:rPr>
            </w:pPr>
          </w:p>
        </w:tc>
      </w:tr>
      <w:tr>
        <w:trPr>
          <w:trHeight w:val="207"/>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11,700</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Pro forma financial information has not been presented for the DIN's solar design services business acquisition as the impact to the Company’s consolidated financial statements was not material.</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 incurred costs related to this acquisition of $1.9 million that were recorded in general and administrative expenses in the accompanying consolidated statements of operations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0" w:name="page91"/>
    <w:bookmarkEnd w:id="9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Sofdesk Inc. (“Sofdesk”)</w:t>
      </w:r>
    </w:p>
    <w:p>
      <w:pPr>
        <w:spacing w:after="0" w:line="11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On January 25, 2021, the Company completed the acquisition of Sofdesk, a privately-held company. Sofdesk provides design tools and services software for residential solar installers and roofing companies and was acquired to enhance the Company’s digital transformation efforts.</w:t>
      </w:r>
    </w:p>
    <w:p>
      <w:pPr>
        <w:spacing w:after="0" w:line="3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As part of the purchase price, the Company (i) paid approximately $32.0 million in cash on January 25, 2021 and (ii) was liable for up to approximately $3.7 million of contingent consideration payable during the first quarter of 2022, of which the Company recorded a liability of approximately $3.5 million representing the fair value of the contingent consideration. The Company paid $3.7 million of contingent consideration in February 2022.</w:t>
      </w:r>
    </w:p>
    <w:p>
      <w:pPr>
        <w:spacing w:after="0" w:line="6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contingent consideration was subject to remeasurement at each reporting period until paid. The acquisition date fair value of the purchase price was approximately $35.5 million, which consisted of the following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consideration</w:t>
            </w:r>
          </w:p>
        </w:tc>
        <w:tc>
          <w:tcPr>
            <w:tcW w:w="500" w:type="dxa"/>
            <w:vAlign w:val="bottom"/>
            <w:shd w:val="clear" w:color="auto" w:fill="CFF0FC"/>
          </w:tcPr>
          <w:p>
            <w:pPr>
              <w:jc w:val="right"/>
              <w:ind w:right="301"/>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31,988</w:t>
            </w:r>
          </w:p>
        </w:tc>
      </w:tr>
      <w:tr>
        <w:trPr>
          <w:trHeight w:val="209"/>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Fair value of contingent consideration</w:t>
            </w: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3,500</w:t>
            </w:r>
          </w:p>
        </w:tc>
      </w:tr>
      <w:tr>
        <w:trPr>
          <w:trHeight w:val="228"/>
        </w:trPr>
        <w:tc>
          <w:tcPr>
            <w:tcW w:w="9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shd w:val="clear" w:color="auto" w:fill="CFF0FC"/>
          </w:tcPr>
          <w:p>
            <w:pPr>
              <w:jc w:val="right"/>
              <w:ind w:right="3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35,488</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addition to the purchase price discussed above, the Company was obligated to pay up to approximately $3.7 million, during the first quarter of 2022, subject to continued employment of key employees of Sofdesk. As this payment was contingent upon the continuous service of the key employees, it was accounted for as a post-combination expense and recognized ratably over the term of measurement period. The accrued post combination expense of $3.7 million was paid in February 2022.</w:t>
      </w:r>
    </w:p>
    <w:p>
      <w:pPr>
        <w:spacing w:after="0" w:line="61"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The acquisition has been accounted for as a business combination under the acquisition method, and accordingly, the total purchase price is allocated to the tangible and identifiable intangible assets acquired and liabilities assumed based on their respective fair values on the acquisition date. The results of operations of Sofdesk have been included in the Company’s consolidated statement of operations from the acquisition date.</w:t>
      </w:r>
    </w:p>
    <w:p>
      <w:pPr>
        <w:spacing w:after="0" w:line="27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at the acquisition date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tangible assets acquired</w:t>
            </w: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w:t>
            </w:r>
          </w:p>
        </w:tc>
      </w:tr>
      <w:tr>
        <w:trPr>
          <w:trHeight w:val="209"/>
        </w:trPr>
        <w:tc>
          <w:tcPr>
            <w:tcW w:w="98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9,200</w:t>
            </w:r>
          </w:p>
        </w:tc>
      </w:tr>
      <w:tr>
        <w:trPr>
          <w:trHeight w:val="211"/>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r>
      <w:tr>
        <w:trPr>
          <w:trHeight w:val="20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24,390</w:t>
            </w:r>
          </w:p>
        </w:tc>
      </w:tr>
      <w:tr>
        <w:trPr>
          <w:trHeight w:val="228"/>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assets acquired</w:t>
            </w:r>
          </w:p>
        </w:tc>
        <w:tc>
          <w:tcPr>
            <w:tcW w:w="500" w:type="dxa"/>
            <w:vAlign w:val="bottom"/>
            <w:tcBorders>
              <w:bottom w:val="single" w:sz="8" w:color="auto"/>
            </w:tcBorders>
            <w:shd w:val="clear" w:color="auto" w:fill="CFF0FC"/>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35,488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excess of the consideration paid over the fair values assigned to the assets acquired and liabilities assumed represents the goodwill resulting from the acquisition. Goodwill is primarily attributable to expected synergies in the Company’s solar offerings and cross-selling opportunities. None of the goodwill is expected to be deductible for U.S. federal income tax purposes.</w:t>
      </w:r>
    </w:p>
    <w:p>
      <w:pPr>
        <w:spacing w:after="0" w:line="55"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Intangible assets consist primarily of developed technology, customer relationship intangibles and trade name intangibles. Intangible assets attributable to developed technology include a combination of unpatented technology, trade secrets, computer software and research processes that represent the foundation for the existing and planned new products to facilitate the generation of new content. Customer relationship intangibles relate to Sofdesk’s software ability to sell current and future offerings, as well as products built around the current offering, to its existing customers. Trade name intangibles are attributable to marketing goods and services under the Solargraf</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and Roofgraf</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429260</wp:posOffset>
            </wp:positionV>
            <wp:extent cx="69361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1" w:name="page92"/>
    <w:bookmarkEnd w:id="9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The following table shows the fair value of the separately identifiable intangible assets at the time of acquisition and the period over which each intangible asset will be amortized: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Useful Life</w:t>
            </w:r>
          </w:p>
        </w:tc>
      </w:tr>
      <w:tr>
        <w:trPr>
          <w:trHeight w:val="186"/>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(Years)</w:t>
            </w:r>
          </w:p>
        </w:tc>
      </w:tr>
      <w:tr>
        <w:trPr>
          <w:trHeight w:val="20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6,900</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4"/>
                <w:szCs w:val="14"/>
                <w:color w:val="auto"/>
              </w:rPr>
              <w:t>5</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Customer relationship</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1,800</w:t>
            </w:r>
          </w:p>
        </w:tc>
        <w:tc>
          <w:tcPr>
            <w:tcW w:w="1540" w:type="dxa"/>
            <w:vAlign w:val="bottom"/>
            <w:gridSpan w:val="2"/>
          </w:tcPr>
          <w:p>
            <w:pPr>
              <w:jc w:val="center"/>
              <w:ind w:left="30"/>
              <w:spacing w:after="0"/>
              <w:rPr>
                <w:sz w:val="20"/>
                <w:szCs w:val="20"/>
                <w:color w:val="auto"/>
              </w:rPr>
            </w:pPr>
            <w:r>
              <w:rPr>
                <w:rFonts w:ascii="Arial" w:cs="Arial" w:eastAsia="Arial" w:hAnsi="Arial"/>
                <w:sz w:val="14"/>
                <w:szCs w:val="14"/>
                <w:color w:val="auto"/>
              </w:rPr>
              <w:t>5</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4"/>
                <w:szCs w:val="14"/>
                <w:color w:val="auto"/>
              </w:rPr>
              <w:t>5</w:t>
            </w:r>
          </w:p>
        </w:tc>
      </w:tr>
      <w:tr>
        <w:trPr>
          <w:trHeight w:val="202"/>
        </w:trPr>
        <w:tc>
          <w:tcPr>
            <w:tcW w:w="8260" w:type="dxa"/>
            <w:vAlign w:val="bottom"/>
          </w:tcPr>
          <w:p>
            <w:pPr>
              <w:ind w:left="220"/>
              <w:spacing w:after="0"/>
              <w:rPr>
                <w:sz w:val="20"/>
                <w:szCs w:val="20"/>
                <w:color w:val="auto"/>
              </w:rPr>
            </w:pPr>
            <w:r>
              <w:rPr>
                <w:rFonts w:ascii="Arial" w:cs="Arial" w:eastAsia="Arial" w:hAnsi="Arial"/>
                <w:sz w:val="16"/>
                <w:szCs w:val="16"/>
                <w:color w:val="auto"/>
              </w:rPr>
              <w:t>Total identifiable intangible assets</w:t>
            </w: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9,200</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Pro forma financial information has not been presented for the Sofdesk acquisition as the impact to the Company’s consolidated financial statements was not material.</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 incurred costs related to this acquisition of $2.0 million that were recorded in general and administrative expenses in the accompanying consolidated statements of operations for the year ended December 31, 2021.</w:t>
      </w:r>
    </w:p>
    <w:p>
      <w:pPr>
        <w:spacing w:after="0" w:line="86"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7.</w:t>
        <w:tab/>
        <w:t>GOODWILL AND INTANGIBLE ASSETS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goodwill as of December 31, 2023 and December 31, 2022 was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60" w:type="dxa"/>
            <w:vAlign w:val="bottom"/>
          </w:tcPr>
          <w:p>
            <w:pPr>
              <w:jc w:val="right"/>
              <w:ind w:right="18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826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5"/>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4"/>
          </w:tcPr>
          <w:p>
            <w:pPr>
              <w:jc w:val="right"/>
              <w:ind w:right="964"/>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beginning of period</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213,559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181,254</w:t>
            </w:r>
          </w:p>
        </w:tc>
        <w:tc>
          <w:tcPr>
            <w:tcW w:w="0" w:type="dxa"/>
            <w:vAlign w:val="bottom"/>
          </w:tcPr>
          <w:p>
            <w:pPr>
              <w:spacing w:after="0"/>
              <w:rPr>
                <w:sz w:val="1"/>
                <w:szCs w:val="1"/>
                <w:color w:val="auto"/>
              </w:rPr>
            </w:pPr>
          </w:p>
        </w:tc>
      </w:tr>
      <w:tr>
        <w:trPr>
          <w:trHeight w:val="209"/>
        </w:trPr>
        <w:tc>
          <w:tcPr>
            <w:tcW w:w="8260" w:type="dxa"/>
            <w:vAlign w:val="bottom"/>
          </w:tcPr>
          <w:p>
            <w:pPr>
              <w:ind w:left="120"/>
              <w:spacing w:after="0"/>
              <w:rPr>
                <w:sz w:val="20"/>
                <w:szCs w:val="20"/>
                <w:color w:val="auto"/>
              </w:rPr>
            </w:pPr>
            <w:r>
              <w:rPr>
                <w:rFonts w:ascii="Arial" w:cs="Arial" w:eastAsia="Arial" w:hAnsi="Arial"/>
                <w:sz w:val="16"/>
                <w:szCs w:val="16"/>
                <w:color w:val="auto"/>
              </w:rPr>
              <w:t>Goodwill acquired</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33,354</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Currency translation adjustment</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1,003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02"/>
        </w:trPr>
        <w:tc>
          <w:tcPr>
            <w:tcW w:w="8260" w:type="dxa"/>
            <w:vAlign w:val="bottom"/>
          </w:tcPr>
          <w:p>
            <w:pPr>
              <w:ind w:left="20"/>
              <w:spacing w:after="0"/>
              <w:rPr>
                <w:sz w:val="20"/>
                <w:szCs w:val="20"/>
                <w:color w:val="auto"/>
              </w:rPr>
            </w:pPr>
            <w:r>
              <w:rPr>
                <w:rFonts w:ascii="Arial" w:cs="Arial" w:eastAsia="Arial" w:hAnsi="Arial"/>
                <w:sz w:val="16"/>
                <w:szCs w:val="16"/>
                <w:color w:val="auto"/>
              </w:rPr>
              <w:t>Goodwill, end of period</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214,562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213,559</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549275</wp:posOffset>
            </wp:positionV>
            <wp:extent cx="69361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2" w:name="page93"/>
    <w:bookmarkEnd w:id="9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purchased intangible assets as of December 31, 2023 and December 31, 2022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December 31, 2023</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restart"/>
          </w:tcPr>
          <w:p>
            <w:pPr>
              <w:jc w:val="right"/>
              <w:ind w:right="224"/>
              <w:spacing w:after="0"/>
              <w:rPr>
                <w:sz w:val="20"/>
                <w:szCs w:val="20"/>
                <w:color w:val="auto"/>
              </w:rPr>
            </w:pPr>
            <w:r>
              <w:rPr>
                <w:rFonts w:ascii="Arial" w:cs="Arial" w:eastAsia="Arial" w:hAnsi="Arial"/>
                <w:sz w:val="12"/>
                <w:szCs w:val="12"/>
                <w:b w:val="1"/>
                <w:bCs w:val="1"/>
                <w:color w:val="auto"/>
              </w:rPr>
              <w:t>Gross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Additions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Impairment</w:t>
            </w:r>
          </w:p>
        </w:tc>
        <w:tc>
          <w:tcPr>
            <w:tcW w:w="8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vMerge w:val="restart"/>
          </w:tcPr>
          <w:p>
            <w:pPr>
              <w:jc w:val="right"/>
              <w:ind w:right="304"/>
              <w:spacing w:after="0"/>
              <w:rPr>
                <w:sz w:val="20"/>
                <w:szCs w:val="20"/>
                <w:color w:val="auto"/>
              </w:rPr>
            </w:pPr>
            <w:r>
              <w:rPr>
                <w:rFonts w:ascii="Arial" w:cs="Arial" w:eastAsia="Arial" w:hAnsi="Arial"/>
                <w:sz w:val="12"/>
                <w:szCs w:val="12"/>
                <w:b w:val="1"/>
                <w:bCs w:val="1"/>
                <w:color w:val="auto"/>
              </w:rPr>
              <w:t>Net</w:t>
            </w:r>
          </w:p>
        </w:tc>
        <w:tc>
          <w:tcPr>
            <w:tcW w:w="1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restart"/>
          </w:tcPr>
          <w:p>
            <w:pPr>
              <w:jc w:val="right"/>
              <w:ind w:right="244"/>
              <w:spacing w:after="0"/>
              <w:rPr>
                <w:sz w:val="20"/>
                <w:szCs w:val="20"/>
                <w:color w:val="auto"/>
              </w:rPr>
            </w:pPr>
            <w:r>
              <w:rPr>
                <w:rFonts w:ascii="Arial" w:cs="Arial" w:eastAsia="Arial" w:hAnsi="Arial"/>
                <w:sz w:val="12"/>
                <w:szCs w:val="12"/>
                <w:b w:val="1"/>
                <w:bCs w:val="1"/>
                <w:color w:val="auto"/>
              </w:rPr>
              <w:t>Gross</w:t>
            </w:r>
          </w:p>
        </w:tc>
        <w:tc>
          <w:tcPr>
            <w:tcW w:w="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Additions</w:t>
            </w:r>
          </w:p>
        </w:tc>
        <w:tc>
          <w:tcPr>
            <w:tcW w:w="8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ind w:left="20"/>
              <w:spacing w:after="0" w:line="111" w:lineRule="exact"/>
              <w:rPr>
                <w:sz w:val="20"/>
                <w:szCs w:val="20"/>
                <w:color w:val="auto"/>
              </w:rPr>
            </w:pPr>
            <w:r>
              <w:rPr>
                <w:rFonts w:ascii="Arial" w:cs="Arial" w:eastAsia="Arial" w:hAnsi="Arial"/>
                <w:sz w:val="12"/>
                <w:szCs w:val="12"/>
                <w:b w:val="1"/>
                <w:bCs w:val="1"/>
                <w:color w:val="auto"/>
              </w:rPr>
              <w:t>Accumulated</w:t>
            </w:r>
          </w:p>
        </w:tc>
        <w:tc>
          <w:tcPr>
            <w:tcW w:w="260" w:type="dxa"/>
            <w:vAlign w:val="bottom"/>
          </w:tcPr>
          <w:p>
            <w:pPr>
              <w:spacing w:after="0"/>
              <w:rPr>
                <w:sz w:val="9"/>
                <w:szCs w:val="9"/>
                <w:color w:val="auto"/>
              </w:rPr>
            </w:pPr>
          </w:p>
        </w:tc>
        <w:tc>
          <w:tcPr>
            <w:tcW w:w="740" w:type="dxa"/>
            <w:vAlign w:val="bottom"/>
            <w:vMerge w:val="restart"/>
          </w:tcPr>
          <w:p>
            <w:pPr>
              <w:jc w:val="right"/>
              <w:ind w:right="324"/>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6"/>
              <w:spacing w:after="0"/>
              <w:rPr>
                <w:sz w:val="20"/>
                <w:szCs w:val="20"/>
                <w:color w:val="auto"/>
              </w:rPr>
            </w:pPr>
            <w:r>
              <w:rPr>
                <w:rFonts w:ascii="Arial" w:cs="Arial" w:eastAsia="Arial" w:hAnsi="Arial"/>
                <w:sz w:val="12"/>
                <w:szCs w:val="12"/>
                <w:b w:val="1"/>
                <w:bCs w:val="1"/>
                <w:color w:val="auto"/>
              </w:rPr>
              <w:t>Amortization</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Amortization</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20" w:type="dxa"/>
            <w:vAlign w:val="bottom"/>
          </w:tcPr>
          <w:p>
            <w:pPr>
              <w:ind w:left="220"/>
              <w:spacing w:after="0" w:line="158" w:lineRule="exact"/>
              <w:rPr>
                <w:sz w:val="20"/>
                <w:szCs w:val="20"/>
                <w:color w:val="auto"/>
              </w:rPr>
            </w:pPr>
            <w:r>
              <w:rPr>
                <w:rFonts w:ascii="Arial" w:cs="Arial" w:eastAsia="Arial" w:hAnsi="Arial"/>
                <w:sz w:val="16"/>
                <w:szCs w:val="16"/>
                <w:color w:val="auto"/>
              </w:rPr>
              <w:t>Other indefinite-</w:t>
            </w:r>
          </w:p>
        </w:tc>
        <w:tc>
          <w:tcPr>
            <w:tcW w:w="20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ind w:left="72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ind w:right="64"/>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4"/>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3"/>
                <w:szCs w:val="13"/>
                <w:color w:val="auto"/>
              </w:rPr>
            </w:pPr>
          </w:p>
        </w:tc>
        <w:tc>
          <w:tcPr>
            <w:tcW w:w="20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ind w:right="4"/>
              <w:spacing w:after="0"/>
              <w:rPr>
                <w:sz w:val="20"/>
                <w:szCs w:val="20"/>
                <w:color w:val="auto"/>
              </w:rPr>
            </w:pPr>
            <w:r>
              <w:rPr>
                <w:rFonts w:ascii="Arial" w:cs="Arial" w:eastAsia="Arial" w:hAnsi="Arial"/>
                <w:sz w:val="16"/>
                <w:szCs w:val="16"/>
                <w:color w:val="auto"/>
              </w:rPr>
              <w:t>286</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ind w:left="72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8"/>
        </w:trPr>
        <w:tc>
          <w:tcPr>
            <w:tcW w:w="1520" w:type="dxa"/>
            <w:vAlign w:val="bottom"/>
          </w:tcPr>
          <w:p>
            <w:pPr>
              <w:ind w:left="220"/>
              <w:spacing w:after="0"/>
              <w:rPr>
                <w:sz w:val="20"/>
                <w:szCs w:val="20"/>
                <w:color w:val="auto"/>
              </w:rPr>
            </w:pPr>
            <w:r>
              <w:rPr>
                <w:rFonts w:ascii="Arial" w:cs="Arial" w:eastAsia="Arial" w:hAnsi="Arial"/>
                <w:sz w:val="16"/>
                <w:szCs w:val="16"/>
                <w:color w:val="auto"/>
              </w:rPr>
              <w:t>lived intangibles</w:t>
            </w:r>
          </w:p>
        </w:tc>
        <w:tc>
          <w:tcPr>
            <w:tcW w:w="2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520" w:type="dxa"/>
            <w:vAlign w:val="bottom"/>
            <w:shd w:val="clear" w:color="auto" w:fill="CCEEFF"/>
          </w:tcPr>
          <w:p>
            <w:pPr>
              <w:ind w:left="220"/>
              <w:spacing w:after="0" w:line="160" w:lineRule="exact"/>
              <w:rPr>
                <w:sz w:val="20"/>
                <w:szCs w:val="20"/>
                <w:color w:val="auto"/>
              </w:rPr>
            </w:pPr>
            <w:r>
              <w:rPr>
                <w:rFonts w:ascii="Arial" w:cs="Arial" w:eastAsia="Arial" w:hAnsi="Arial"/>
                <w:sz w:val="16"/>
                <w:szCs w:val="16"/>
                <w:color w:val="auto"/>
              </w:rPr>
              <w:t>Intangible assets</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with finite lives: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20" w:type="dxa"/>
            <w:vAlign w:val="bottom"/>
          </w:tcPr>
          <w:p>
            <w:pPr>
              <w:ind w:left="260"/>
              <w:spacing w:after="0" w:line="158" w:lineRule="exact"/>
              <w:rPr>
                <w:sz w:val="20"/>
                <w:szCs w:val="20"/>
                <w:color w:val="auto"/>
              </w:rPr>
            </w:pPr>
            <w:r>
              <w:rPr>
                <w:rFonts w:ascii="Arial" w:cs="Arial" w:eastAsia="Arial" w:hAnsi="Arial"/>
                <w:sz w:val="16"/>
                <w:szCs w:val="16"/>
                <w:color w:val="auto"/>
              </w:rPr>
              <w:t>Developed</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51,044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(27,093)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6"/>
                <w:szCs w:val="16"/>
                <w:color w:val="auto"/>
              </w:rPr>
              <w:t>23,951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6"/>
                <w:szCs w:val="16"/>
                <w:color w:val="auto"/>
              </w:rPr>
              <w:t>38,650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5"/>
              <w:spacing w:after="0"/>
              <w:rPr>
                <w:sz w:val="20"/>
                <w:szCs w:val="20"/>
                <w:color w:val="auto"/>
              </w:rPr>
            </w:pPr>
            <w:r>
              <w:rPr>
                <w:rFonts w:ascii="Arial" w:cs="Arial" w:eastAsia="Arial" w:hAnsi="Arial"/>
                <w:sz w:val="16"/>
                <w:szCs w:val="16"/>
                <w:color w:val="auto"/>
              </w:rPr>
              <w:t>12,394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(17,260)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33,784</w:t>
            </w:r>
          </w:p>
        </w:tc>
        <w:tc>
          <w:tcPr>
            <w:tcW w:w="0" w:type="dxa"/>
            <w:vAlign w:val="bottom"/>
          </w:tcPr>
          <w:p>
            <w:pPr>
              <w:spacing w:after="0"/>
              <w:rPr>
                <w:sz w:val="1"/>
                <w:szCs w:val="1"/>
                <w:color w:val="auto"/>
              </w:rPr>
            </w:pPr>
          </w:p>
        </w:tc>
      </w:tr>
      <w:tr>
        <w:trPr>
          <w:trHeight w:val="208"/>
        </w:trPr>
        <w:tc>
          <w:tcPr>
            <w:tcW w:w="1520" w:type="dxa"/>
            <w:vAlign w:val="bottom"/>
          </w:tcPr>
          <w:p>
            <w:pPr>
              <w:ind w:left="220"/>
              <w:spacing w:after="0"/>
              <w:rPr>
                <w:sz w:val="20"/>
                <w:szCs w:val="20"/>
                <w:color w:val="auto"/>
              </w:rPr>
            </w:pPr>
            <w:r>
              <w:rPr>
                <w:rFonts w:ascii="Arial" w:cs="Arial" w:eastAsia="Arial" w:hAnsi="Arial"/>
                <w:sz w:val="16"/>
                <w:szCs w:val="16"/>
                <w:color w:val="auto"/>
              </w:rPr>
              <w:t>technology</w:t>
            </w: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520" w:type="dxa"/>
            <w:vAlign w:val="bottom"/>
            <w:shd w:val="clear" w:color="auto" w:fill="CCEEFF"/>
          </w:tcPr>
          <w:p>
            <w:pPr>
              <w:ind w:left="260"/>
              <w:spacing w:after="0" w:line="160" w:lineRule="exact"/>
              <w:rPr>
                <w:sz w:val="20"/>
                <w:szCs w:val="20"/>
                <w:color w:val="auto"/>
              </w:rPr>
            </w:pPr>
            <w:r>
              <w:rPr>
                <w:rFonts w:ascii="Arial" w:cs="Arial" w:eastAsia="Arial" w:hAnsi="Arial"/>
                <w:sz w:val="16"/>
                <w:szCs w:val="16"/>
                <w:color w:val="auto"/>
              </w:rPr>
              <w:t>Customer</w:t>
            </w: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55,106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(29,527)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w w:val="98"/>
              </w:rPr>
              <w:t>(3,807)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21,772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41,021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14,085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(19,702)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35,404</w:t>
            </w:r>
          </w:p>
        </w:tc>
        <w:tc>
          <w:tcPr>
            <w:tcW w:w="0" w:type="dxa"/>
            <w:vAlign w:val="bottom"/>
          </w:tcPr>
          <w:p>
            <w:pPr>
              <w:spacing w:after="0"/>
              <w:rPr>
                <w:sz w:val="1"/>
                <w:szCs w:val="1"/>
                <w:color w:val="auto"/>
              </w:rPr>
            </w:pPr>
          </w:p>
        </w:tc>
      </w:tr>
      <w:tr>
        <w:trPr>
          <w:trHeight w:val="209"/>
        </w:trPr>
        <w:tc>
          <w:tcPr>
            <w:tcW w:w="1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relationships</w:t>
            </w: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20" w:type="dxa"/>
            <w:vAlign w:val="bottom"/>
          </w:tcPr>
          <w:p>
            <w:pPr>
              <w:ind w:left="260"/>
              <w:spacing w:after="0"/>
              <w:rPr>
                <w:sz w:val="20"/>
                <w:szCs w:val="20"/>
                <w:color w:val="auto"/>
              </w:rPr>
            </w:pPr>
            <w:r>
              <w:rPr>
                <w:rFonts w:ascii="Arial" w:cs="Arial" w:eastAsia="Arial" w:hAnsi="Arial"/>
                <w:sz w:val="16"/>
                <w:szCs w:val="16"/>
                <w:color w:val="auto"/>
              </w:rPr>
              <w:t>Trade names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22,527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37,700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30,067</w:t>
            </w:r>
          </w:p>
        </w:tc>
        <w:tc>
          <w:tcPr>
            <w:tcW w:w="0" w:type="dxa"/>
            <w:vAlign w:val="bottom"/>
          </w:tcPr>
          <w:p>
            <w:pPr>
              <w:spacing w:after="0"/>
              <w:rPr>
                <w:sz w:val="1"/>
                <w:szCs w:val="1"/>
                <w:color w:val="auto"/>
              </w:rPr>
            </w:pPr>
          </w:p>
        </w:tc>
      </w:tr>
      <w:tr>
        <w:trPr>
          <w:trHeight w:val="211"/>
        </w:trPr>
        <w:tc>
          <w:tcPr>
            <w:tcW w:w="15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Order backlog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8"/>
        </w:trPr>
        <w:tc>
          <w:tcPr>
            <w:tcW w:w="1520" w:type="dxa"/>
            <w:vAlign w:val="bottom"/>
          </w:tcPr>
          <w:p>
            <w:pPr>
              <w:ind w:left="420"/>
              <w:spacing w:after="0" w:line="138" w:lineRule="exact"/>
              <w:rPr>
                <w:sz w:val="20"/>
                <w:szCs w:val="20"/>
                <w:color w:val="auto"/>
              </w:rPr>
            </w:pPr>
            <w:r>
              <w:rPr>
                <w:rFonts w:ascii="Arial" w:cs="Arial" w:eastAsia="Arial" w:hAnsi="Arial"/>
                <w:sz w:val="16"/>
                <w:szCs w:val="16"/>
                <w:color w:val="auto"/>
              </w:rPr>
              <w:t>Total</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20"/>
              <w:spacing w:after="0" w:line="158" w:lineRule="exact"/>
              <w:rPr>
                <w:sz w:val="20"/>
                <w:szCs w:val="20"/>
                <w:color w:val="auto"/>
              </w:rPr>
            </w:pPr>
            <w:r>
              <w:rPr>
                <w:rFonts w:ascii="Arial" w:cs="Arial" w:eastAsia="Arial" w:hAnsi="Arial"/>
                <w:sz w:val="16"/>
                <w:szCs w:val="16"/>
                <w:color w:val="auto"/>
              </w:rPr>
              <w:t>purchased</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20"/>
              <w:spacing w:after="0" w:line="158" w:lineRule="exact"/>
              <w:rPr>
                <w:sz w:val="20"/>
                <w:szCs w:val="20"/>
                <w:color w:val="auto"/>
              </w:rPr>
            </w:pPr>
            <w:r>
              <w:rPr>
                <w:rFonts w:ascii="Arial" w:cs="Arial" w:eastAsia="Arial" w:hAnsi="Arial"/>
                <w:sz w:val="16"/>
                <w:szCs w:val="16"/>
                <w:color w:val="auto"/>
              </w:rPr>
              <w:t>intangible</w:t>
            </w:r>
          </w:p>
        </w:tc>
        <w:tc>
          <w:tcPr>
            <w:tcW w:w="20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144,736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(72,393)</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ind w:left="320"/>
              <w:spacing w:after="0"/>
              <w:rPr>
                <w:sz w:val="20"/>
                <w:szCs w:val="20"/>
                <w:color w:val="auto"/>
              </w:rPr>
            </w:pPr>
            <w:r>
              <w:rPr>
                <w:rFonts w:ascii="Arial" w:cs="Arial" w:eastAsia="Arial" w:hAnsi="Arial"/>
                <w:sz w:val="16"/>
                <w:szCs w:val="16"/>
                <w:color w:val="auto"/>
                <w:w w:val="98"/>
              </w:rPr>
              <w:t>(3,807)</w:t>
            </w:r>
          </w:p>
        </w:tc>
        <w:tc>
          <w:tcPr>
            <w:tcW w:w="80" w:type="dxa"/>
            <w:vAlign w:val="bottom"/>
          </w:tcPr>
          <w:p>
            <w:pPr>
              <w:spacing w:after="0"/>
              <w:rPr>
                <w:sz w:val="13"/>
                <w:szCs w:val="13"/>
                <w:color w:val="auto"/>
              </w:rPr>
            </w:pPr>
          </w:p>
        </w:tc>
        <w:tc>
          <w:tcPr>
            <w:tcW w:w="260" w:type="dxa"/>
            <w:vAlign w:val="bottom"/>
            <w:vMerge w:val="restart"/>
          </w:tcPr>
          <w:p>
            <w:pPr>
              <w:jc w:val="right"/>
              <w:ind w:right="64"/>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4"/>
              <w:spacing w:after="0"/>
              <w:rPr>
                <w:sz w:val="20"/>
                <w:szCs w:val="20"/>
                <w:color w:val="auto"/>
              </w:rPr>
            </w:pPr>
            <w:r>
              <w:rPr>
                <w:rFonts w:ascii="Arial" w:cs="Arial" w:eastAsia="Arial" w:hAnsi="Arial"/>
                <w:sz w:val="16"/>
                <w:szCs w:val="16"/>
                <w:color w:val="auto"/>
              </w:rPr>
              <w:t>68,536</w:t>
            </w:r>
          </w:p>
        </w:tc>
        <w:tc>
          <w:tcPr>
            <w:tcW w:w="100" w:type="dxa"/>
            <w:vAlign w:val="bottom"/>
          </w:tcPr>
          <w:p>
            <w:pPr>
              <w:spacing w:after="0"/>
              <w:rPr>
                <w:sz w:val="13"/>
                <w:szCs w:val="13"/>
                <w:color w:val="auto"/>
              </w:rPr>
            </w:pPr>
          </w:p>
        </w:tc>
        <w:tc>
          <w:tcPr>
            <w:tcW w:w="20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ind w:right="4"/>
              <w:spacing w:after="0"/>
              <w:rPr>
                <w:sz w:val="20"/>
                <w:szCs w:val="20"/>
                <w:color w:val="auto"/>
              </w:rPr>
            </w:pPr>
            <w:r>
              <w:rPr>
                <w:rFonts w:ascii="Arial" w:cs="Arial" w:eastAsia="Arial" w:hAnsi="Arial"/>
                <w:sz w:val="16"/>
                <w:szCs w:val="16"/>
                <w:color w:val="auto"/>
              </w:rPr>
              <w:t>118,257</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5"/>
              <w:spacing w:after="0"/>
              <w:rPr>
                <w:sz w:val="20"/>
                <w:szCs w:val="20"/>
                <w:color w:val="auto"/>
              </w:rPr>
            </w:pPr>
            <w:r>
              <w:rPr>
                <w:rFonts w:ascii="Arial" w:cs="Arial" w:eastAsia="Arial" w:hAnsi="Arial"/>
                <w:sz w:val="16"/>
                <w:szCs w:val="16"/>
                <w:color w:val="auto"/>
              </w:rPr>
              <w:t>26,479</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(45,195)</w:t>
            </w:r>
          </w:p>
        </w:tc>
        <w:tc>
          <w:tcPr>
            <w:tcW w:w="80" w:type="dxa"/>
            <w:vAlign w:val="bottom"/>
          </w:tcPr>
          <w:p>
            <w:pPr>
              <w:spacing w:after="0"/>
              <w:rPr>
                <w:sz w:val="13"/>
                <w:szCs w:val="13"/>
                <w:color w:val="auto"/>
              </w:rPr>
            </w:pPr>
          </w:p>
        </w:tc>
        <w:tc>
          <w:tcPr>
            <w:tcW w:w="26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99,541</w:t>
            </w:r>
          </w:p>
        </w:tc>
        <w:tc>
          <w:tcPr>
            <w:tcW w:w="0" w:type="dxa"/>
            <w:vAlign w:val="bottom"/>
          </w:tcPr>
          <w:p>
            <w:pPr>
              <w:spacing w:after="0"/>
              <w:rPr>
                <w:sz w:val="1"/>
                <w:szCs w:val="1"/>
                <w:color w:val="auto"/>
              </w:rPr>
            </w:pPr>
          </w:p>
        </w:tc>
      </w:tr>
      <w:tr>
        <w:trPr>
          <w:trHeight w:val="183"/>
        </w:trPr>
        <w:tc>
          <w:tcPr>
            <w:tcW w:w="1520" w:type="dxa"/>
            <w:vAlign w:val="bottom"/>
          </w:tcPr>
          <w:p>
            <w:pPr>
              <w:ind w:left="420"/>
              <w:spacing w:after="0" w:line="183" w:lineRule="exact"/>
              <w:rPr>
                <w:sz w:val="20"/>
                <w:szCs w:val="20"/>
                <w:color w:val="auto"/>
              </w:rPr>
            </w:pPr>
            <w:r>
              <w:rPr>
                <w:rFonts w:ascii="Arial" w:cs="Arial" w:eastAsia="Arial" w:hAnsi="Arial"/>
                <w:sz w:val="16"/>
                <w:szCs w:val="16"/>
                <w:color w:val="auto"/>
              </w:rPr>
              <w:t>assets</w:t>
            </w:r>
          </w:p>
        </w:tc>
        <w:tc>
          <w:tcPr>
            <w:tcW w:w="2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40" w:firstLine="472"/>
        <w:spacing w:after="0" w:line="300" w:lineRule="auto"/>
        <w:rPr>
          <w:sz w:val="20"/>
          <w:szCs w:val="20"/>
          <w:color w:val="auto"/>
        </w:rPr>
      </w:pPr>
      <w:r>
        <w:rPr>
          <w:rFonts w:ascii="Arial" w:cs="Arial" w:eastAsia="Arial" w:hAnsi="Arial"/>
          <w:sz w:val="17"/>
          <w:szCs w:val="17"/>
          <w:color w:val="auto"/>
        </w:rPr>
        <w:t>During the year ended December 31, 2023, intangible assets acquired increased by less than $0.1 million due to the impact of foreign currency translation.</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Amortization expense related to finite-lived intangible assets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6"/>
                <w:szCs w:val="16"/>
                <w:color w:val="auto"/>
              </w:rPr>
            </w:pPr>
          </w:p>
        </w:tc>
      </w:tr>
      <w:tr>
        <w:trPr>
          <w:trHeight w:val="190"/>
        </w:trPr>
        <w:tc>
          <w:tcPr>
            <w:tcW w:w="82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r>
      <w:tr>
        <w:trPr>
          <w:trHeight w:val="225"/>
        </w:trPr>
        <w:tc>
          <w:tcPr>
            <w:tcW w:w="8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20" w:type="dxa"/>
            <w:vAlign w:val="bottom"/>
            <w:gridSpan w:val="3"/>
          </w:tcPr>
          <w:p>
            <w:pPr>
              <w:jc w:val="right"/>
              <w:ind w:right="404"/>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9"/>
                <w:szCs w:val="19"/>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900" w:type="dxa"/>
            <w:vAlign w:val="bottom"/>
            <w:shd w:val="clear" w:color="auto" w:fill="CCEEFF"/>
          </w:tcPr>
          <w:p>
            <w:pPr>
              <w:jc w:val="right"/>
              <w:ind w:right="706"/>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8,303</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9,826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8,253</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7,540</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Order backlog</w:t>
            </w:r>
          </w:p>
        </w:tc>
        <w:tc>
          <w:tcPr>
            <w:tcW w:w="9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29"/>
        </w:trPr>
        <w:tc>
          <w:tcPr>
            <w:tcW w:w="8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amortization expense</w:t>
            </w:r>
          </w:p>
        </w:tc>
        <w:tc>
          <w:tcPr>
            <w:tcW w:w="90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27,198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24,696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Amortization of developed technology is recorded to cost of revenues, amortization of customer relationships and trade names are recorded to sales and marketing expense, and amortization of certain customer relationships is recorded as a reduction to revenue.</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expected future amortization expense of intangible assets as of December 31, 2023 is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05"/>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9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rPr>
              <w:t>2023</w:t>
            </w:r>
          </w:p>
        </w:tc>
      </w:tr>
      <w:tr>
        <w:trPr>
          <w:trHeight w:val="186"/>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5"/>
              <w:spacing w:after="0"/>
              <w:rPr>
                <w:sz w:val="20"/>
                <w:szCs w:val="20"/>
                <w:color w:val="auto"/>
              </w:rPr>
            </w:pPr>
            <w:r>
              <w:rPr>
                <w:rFonts w:ascii="Arial" w:cs="Arial" w:eastAsia="Arial" w:hAnsi="Arial"/>
                <w:sz w:val="14"/>
                <w:szCs w:val="14"/>
                <w:i w:val="1"/>
                <w:iCs w:val="1"/>
                <w:color w:val="auto"/>
                <w:w w:val="98"/>
              </w:rPr>
              <w:t>(In thousands)</w:t>
            </w:r>
          </w:p>
        </w:tc>
      </w:tr>
      <w:tr>
        <w:trPr>
          <w:trHeight w:val="214"/>
        </w:trPr>
        <w:tc>
          <w:tcPr>
            <w:tcW w:w="9800" w:type="dxa"/>
            <w:vAlign w:val="bottom"/>
            <w:shd w:val="clear" w:color="auto" w:fill="CCEEFF"/>
          </w:tcPr>
          <w:p>
            <w:pPr>
              <w:jc w:val="right"/>
              <w:ind w:right="8901"/>
              <w:spacing w:after="0"/>
              <w:rPr>
                <w:sz w:val="20"/>
                <w:szCs w:val="20"/>
                <w:color w:val="auto"/>
              </w:rPr>
            </w:pPr>
            <w:r>
              <w:rPr>
                <w:rFonts w:ascii="Arial" w:cs="Arial" w:eastAsia="Arial" w:hAnsi="Arial"/>
                <w:sz w:val="16"/>
                <w:szCs w:val="16"/>
                <w:color w:val="auto"/>
                <w:w w:val="97"/>
              </w:rPr>
              <w:t>Fiscal year:</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9800" w:type="dxa"/>
            <w:vAlign w:val="bottom"/>
          </w:tcPr>
          <w:p>
            <w:pPr>
              <w:jc w:val="right"/>
              <w:ind w:right="9221"/>
              <w:spacing w:after="0"/>
              <w:rPr>
                <w:sz w:val="20"/>
                <w:szCs w:val="20"/>
                <w:color w:val="auto"/>
              </w:rPr>
            </w:pPr>
            <w:r>
              <w:rPr>
                <w:rFonts w:ascii="Arial" w:cs="Arial" w:eastAsia="Arial" w:hAnsi="Arial"/>
                <w:sz w:val="16"/>
                <w:szCs w:val="16"/>
                <w:color w:val="auto"/>
              </w:rPr>
              <w:t>2024</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22,745</w:t>
            </w:r>
          </w:p>
        </w:tc>
      </w:tr>
      <w:tr>
        <w:trPr>
          <w:trHeight w:val="211"/>
        </w:trPr>
        <w:tc>
          <w:tcPr>
            <w:tcW w:w="9800" w:type="dxa"/>
            <w:vAlign w:val="bottom"/>
            <w:shd w:val="clear" w:color="auto" w:fill="CCEEFF"/>
          </w:tcPr>
          <w:p>
            <w:pPr>
              <w:jc w:val="right"/>
              <w:ind w:right="9221"/>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21,420</w:t>
            </w:r>
          </w:p>
        </w:tc>
      </w:tr>
      <w:tr>
        <w:trPr>
          <w:trHeight w:val="209"/>
        </w:trPr>
        <w:tc>
          <w:tcPr>
            <w:tcW w:w="9800" w:type="dxa"/>
            <w:vAlign w:val="bottom"/>
          </w:tcPr>
          <w:p>
            <w:pPr>
              <w:jc w:val="right"/>
              <w:ind w:right="9221"/>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19,131</w:t>
            </w:r>
          </w:p>
        </w:tc>
      </w:tr>
      <w:tr>
        <w:trPr>
          <w:trHeight w:val="210"/>
        </w:trPr>
        <w:tc>
          <w:tcPr>
            <w:tcW w:w="9800" w:type="dxa"/>
            <w:vAlign w:val="bottom"/>
            <w:shd w:val="clear" w:color="auto" w:fill="CCEEFF"/>
          </w:tcPr>
          <w:p>
            <w:pPr>
              <w:jc w:val="right"/>
              <w:ind w:right="9221"/>
              <w:spacing w:after="0"/>
              <w:rPr>
                <w:sz w:val="20"/>
                <w:szCs w:val="20"/>
                <w:color w:val="auto"/>
              </w:rPr>
            </w:pPr>
            <w:r>
              <w:rPr>
                <w:rFonts w:ascii="Arial" w:cs="Arial" w:eastAsia="Arial" w:hAnsi="Arial"/>
                <w:sz w:val="16"/>
                <w:szCs w:val="16"/>
                <w:color w:val="auto"/>
              </w:rPr>
              <w:t>2027</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4,954</w:t>
            </w:r>
          </w:p>
        </w:tc>
      </w:tr>
      <w:tr>
        <w:trPr>
          <w:trHeight w:val="204"/>
        </w:trPr>
        <w:tc>
          <w:tcPr>
            <w:tcW w:w="9800" w:type="dxa"/>
            <w:vAlign w:val="bottom"/>
          </w:tcPr>
          <w:p>
            <w:pPr>
              <w:jc w:val="right"/>
              <w:ind w:right="9161"/>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68,250</w:t>
            </w:r>
          </w:p>
        </w:tc>
      </w:tr>
      <w:tr>
        <w:trPr>
          <w:trHeight w:val="20"/>
        </w:trPr>
        <w:tc>
          <w:tcPr>
            <w:tcW w:w="9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541020</wp:posOffset>
            </wp:positionV>
            <wp:extent cx="69361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3" w:name="page94"/>
    <w:bookmarkEnd w:id="9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During the year ended December 31, 2023, the Company determined that a triggering event had occurred as a result of changes to the Company’s long-term projections and performed additional analysis on the valuation of the acquired customer relationship asset and concluded that the fair value was below its carrying amount. Accordingly, the Company recorded an impairment charge for the customer relationship asset of $3.8 million in “Restructuring and asset impairment charges” in the consolidated statement of operations for the year ended December 31, 2023.</w:t>
      </w:r>
    </w:p>
    <w:p>
      <w:pPr>
        <w:spacing w:after="0" w:line="325" w:lineRule="exact"/>
        <w:rPr>
          <w:sz w:val="20"/>
          <w:szCs w:val="20"/>
          <w:color w:val="auto"/>
        </w:rPr>
      </w:pPr>
    </w:p>
    <w:p>
      <w:pPr>
        <w:ind w:left="340" w:hanging="335"/>
        <w:spacing w:after="0"/>
        <w:tabs>
          <w:tab w:leader="none" w:pos="34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CASH EQUIVALENTS AND MARKETABLE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cash equivalents and marketable securities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As of December 31, 2023</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8"/>
              </w:rPr>
              <w:t>Gross Unrealized</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8"/>
              </w:rPr>
              <w:t>Gross Unrealized</w:t>
            </w:r>
          </w:p>
        </w:tc>
        <w:tc>
          <w:tcPr>
            <w:tcW w:w="260" w:type="dxa"/>
            <w:vAlign w:val="bottom"/>
          </w:tcPr>
          <w:p>
            <w:pPr>
              <w:spacing w:after="0"/>
              <w:rPr>
                <w:sz w:val="12"/>
                <w:szCs w:val="12"/>
                <w:color w:val="auto"/>
              </w:rPr>
            </w:pPr>
          </w:p>
        </w:tc>
        <w:tc>
          <w:tcPr>
            <w:tcW w:w="1280" w:type="dxa"/>
            <w:vAlign w:val="bottom"/>
            <w:gridSpan w:val="2"/>
          </w:tcPr>
          <w:p>
            <w:pPr>
              <w:ind w:left="120"/>
              <w:spacing w:after="0" w:line="141"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42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Cash Equivalents</w:t>
            </w:r>
          </w:p>
        </w:tc>
        <w:tc>
          <w:tcPr>
            <w:tcW w:w="220" w:type="dxa"/>
            <w:vAlign w:val="bottom"/>
          </w:tcPr>
          <w:p>
            <w:pPr>
              <w:spacing w:after="0"/>
              <w:rPr>
                <w:sz w:val="12"/>
                <w:szCs w:val="12"/>
                <w:color w:val="auto"/>
              </w:rPr>
            </w:pPr>
          </w:p>
        </w:tc>
        <w:tc>
          <w:tcPr>
            <w:tcW w:w="1200" w:type="dxa"/>
            <w:vAlign w:val="bottom"/>
          </w:tcPr>
          <w:p>
            <w:pPr>
              <w:jc w:val="center"/>
              <w:ind w:right="143"/>
              <w:spacing w:after="0" w:line="141" w:lineRule="exact"/>
              <w:rPr>
                <w:sz w:val="20"/>
                <w:szCs w:val="20"/>
                <w:color w:val="auto"/>
              </w:rPr>
            </w:pPr>
            <w:r>
              <w:rPr>
                <w:rFonts w:ascii="Arial" w:cs="Arial" w:eastAsia="Arial" w:hAnsi="Arial"/>
                <w:sz w:val="14"/>
                <w:szCs w:val="14"/>
                <w:b w:val="1"/>
                <w:bCs w:val="1"/>
                <w:color w:val="auto"/>
              </w:rPr>
              <w:t>Marketable</w:t>
            </w: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7"/>
              </w:rPr>
              <w:t>Gains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8"/>
              </w:rPr>
              <w:t>Securities</w:t>
            </w: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5"/>
          </w:tcPr>
          <w:p>
            <w:pPr>
              <w:jc w:val="center"/>
              <w:ind w:right="20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132,037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132,037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180" w:type="dxa"/>
            <w:vAlign w:val="bottom"/>
          </w:tcPr>
          <w:p>
            <w:pPr>
              <w:ind w:left="20"/>
              <w:spacing w:after="0"/>
              <w:rPr>
                <w:sz w:val="20"/>
                <w:szCs w:val="20"/>
                <w:color w:val="auto"/>
              </w:rPr>
            </w:pPr>
            <w:r>
              <w:rPr>
                <w:rFonts w:ascii="Arial" w:cs="Arial" w:eastAsia="Arial" w:hAnsi="Arial"/>
                <w:sz w:val="16"/>
                <w:szCs w:val="16"/>
                <w:color w:val="auto"/>
              </w:rPr>
              <w:t>Certificates of deposit</w:t>
            </w:r>
          </w:p>
        </w:tc>
        <w:tc>
          <w:tcPr>
            <w:tcW w:w="1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55,863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55,912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55,162</w:t>
            </w:r>
          </w:p>
        </w:tc>
        <w:tc>
          <w:tcPr>
            <w:tcW w:w="0" w:type="dxa"/>
            <w:vAlign w:val="bottom"/>
          </w:tcPr>
          <w:p>
            <w:pPr>
              <w:spacing w:after="0"/>
              <w:rPr>
                <w:sz w:val="1"/>
                <w:szCs w:val="1"/>
                <w:color w:val="auto"/>
              </w:rPr>
            </w:pPr>
          </w:p>
        </w:tc>
      </w:tr>
      <w:tr>
        <w:trPr>
          <w:trHeight w:val="211"/>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71,427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71,437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69,743</w:t>
            </w:r>
          </w:p>
        </w:tc>
        <w:tc>
          <w:tcPr>
            <w:tcW w:w="0" w:type="dxa"/>
            <w:vAlign w:val="bottom"/>
          </w:tcPr>
          <w:p>
            <w:pPr>
              <w:spacing w:after="0"/>
              <w:rPr>
                <w:sz w:val="1"/>
                <w:szCs w:val="1"/>
                <w:color w:val="auto"/>
              </w:rPr>
            </w:pPr>
          </w:p>
        </w:tc>
      </w:tr>
      <w:tr>
        <w:trPr>
          <w:trHeight w:val="209"/>
        </w:trPr>
        <w:tc>
          <w:tcPr>
            <w:tcW w:w="2180" w:type="dxa"/>
            <w:vAlign w:val="bottom"/>
          </w:tcPr>
          <w:p>
            <w:pPr>
              <w:ind w:left="20"/>
              <w:spacing w:after="0"/>
              <w:rPr>
                <w:sz w:val="20"/>
                <w:szCs w:val="20"/>
                <w:color w:val="auto"/>
              </w:rPr>
            </w:pPr>
            <w:r>
              <w:rPr>
                <w:rFonts w:ascii="Arial" w:cs="Arial" w:eastAsia="Arial" w:hAnsi="Arial"/>
                <w:sz w:val="16"/>
                <w:szCs w:val="16"/>
                <w:color w:val="auto"/>
              </w:rPr>
              <w:t>Corporate notes and bonds</w:t>
            </w:r>
          </w:p>
        </w:tc>
        <w:tc>
          <w:tcPr>
            <w:tcW w:w="1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406,093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406,096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405,634</w:t>
            </w:r>
          </w:p>
        </w:tc>
        <w:tc>
          <w:tcPr>
            <w:tcW w:w="0" w:type="dxa"/>
            <w:vAlign w:val="bottom"/>
          </w:tcPr>
          <w:p>
            <w:pPr>
              <w:spacing w:after="0"/>
              <w:rPr>
                <w:sz w:val="1"/>
                <w:szCs w:val="1"/>
                <w:color w:val="auto"/>
              </w:rPr>
            </w:pPr>
          </w:p>
        </w:tc>
      </w:tr>
      <w:tr>
        <w:trPr>
          <w:trHeight w:val="211"/>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327,773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327,891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327,891</w:t>
            </w:r>
          </w:p>
        </w:tc>
        <w:tc>
          <w:tcPr>
            <w:tcW w:w="0" w:type="dxa"/>
            <w:vAlign w:val="bottom"/>
          </w:tcPr>
          <w:p>
            <w:pPr>
              <w:spacing w:after="0"/>
              <w:rPr>
                <w:sz w:val="1"/>
                <w:szCs w:val="1"/>
                <w:color w:val="auto"/>
              </w:rPr>
            </w:pPr>
          </w:p>
        </w:tc>
      </w:tr>
      <w:tr>
        <w:trPr>
          <w:trHeight w:val="158"/>
        </w:trPr>
        <w:tc>
          <w:tcPr>
            <w:tcW w:w="2180" w:type="dxa"/>
            <w:vAlign w:val="bottom"/>
          </w:tcPr>
          <w:p>
            <w:pPr>
              <w:ind w:left="20"/>
              <w:spacing w:after="0" w:line="158" w:lineRule="exact"/>
              <w:rPr>
                <w:sz w:val="20"/>
                <w:szCs w:val="20"/>
                <w:color w:val="auto"/>
              </w:rPr>
            </w:pPr>
            <w:r>
              <w:rPr>
                <w:rFonts w:ascii="Arial" w:cs="Arial" w:eastAsia="Arial" w:hAnsi="Arial"/>
                <w:sz w:val="16"/>
                <w:szCs w:val="16"/>
                <w:color w:val="auto"/>
              </w:rPr>
              <w:t>U.S. Government agency</w:t>
            </w:r>
          </w:p>
        </w:tc>
        <w:tc>
          <w:tcPr>
            <w:tcW w:w="160" w:type="dxa"/>
            <w:vAlign w:val="bottom"/>
          </w:tcPr>
          <w:p>
            <w:pPr>
              <w:spacing w:after="0"/>
              <w:rPr>
                <w:sz w:val="13"/>
                <w:szCs w:val="13"/>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16"/>
                <w:szCs w:val="16"/>
                <w:color w:val="auto"/>
              </w:rPr>
              <w:t>548,391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ind w:right="3"/>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2"/>
              <w:spacing w:after="0"/>
              <w:rPr>
                <w:sz w:val="20"/>
                <w:szCs w:val="20"/>
                <w:color w:val="auto"/>
              </w:rPr>
            </w:pPr>
            <w:r>
              <w:rPr>
                <w:rFonts w:ascii="Arial" w:cs="Arial" w:eastAsia="Arial" w:hAnsi="Arial"/>
                <w:sz w:val="16"/>
                <w:szCs w:val="16"/>
                <w:color w:val="auto"/>
              </w:rPr>
              <w:t>547,856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547,856</w:t>
            </w:r>
          </w:p>
        </w:tc>
        <w:tc>
          <w:tcPr>
            <w:tcW w:w="0" w:type="dxa"/>
            <w:vAlign w:val="bottom"/>
          </w:tcPr>
          <w:p>
            <w:pPr>
              <w:spacing w:after="0"/>
              <w:rPr>
                <w:sz w:val="1"/>
                <w:szCs w:val="1"/>
                <w:color w:val="auto"/>
              </w:rPr>
            </w:pPr>
          </w:p>
        </w:tc>
      </w:tr>
      <w:tr>
        <w:trPr>
          <w:trHeight w:val="208"/>
        </w:trPr>
        <w:tc>
          <w:tcPr>
            <w:tcW w:w="2180" w:type="dxa"/>
            <w:vAlign w:val="bottom"/>
          </w:tcPr>
          <w:p>
            <w:pPr>
              <w:ind w:left="20"/>
              <w:spacing w:after="0"/>
              <w:rPr>
                <w:sz w:val="20"/>
                <w:szCs w:val="20"/>
                <w:color w:val="auto"/>
              </w:rPr>
            </w:pPr>
            <w:r>
              <w:rPr>
                <w:rFonts w:ascii="Arial" w:cs="Arial" w:eastAsia="Arial" w:hAnsi="Arial"/>
                <w:sz w:val="16"/>
                <w:szCs w:val="16"/>
                <w:color w:val="auto"/>
              </w:rPr>
              <w:t>securities</w:t>
            </w: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1,541,584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1,541,229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1,406,286</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As of December 31, 2022</w:t>
            </w: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ind w:left="40"/>
              <w:spacing w:after="0" w:line="138" w:lineRule="exact"/>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8" w:lineRule="exact"/>
              <w:rPr>
                <w:sz w:val="20"/>
                <w:szCs w:val="20"/>
                <w:color w:val="auto"/>
              </w:rPr>
            </w:pPr>
            <w:r>
              <w:rPr>
                <w:rFonts w:ascii="Arial" w:cs="Arial" w:eastAsia="Arial" w:hAnsi="Arial"/>
                <w:sz w:val="14"/>
                <w:szCs w:val="14"/>
                <w:b w:val="1"/>
                <w:bCs w:val="1"/>
                <w:color w:val="auto"/>
                <w:w w:val="98"/>
              </w:rPr>
              <w:t>Gross Unrealized</w:t>
            </w: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8" w:lineRule="exact"/>
              <w:rPr>
                <w:sz w:val="20"/>
                <w:szCs w:val="20"/>
                <w:color w:val="auto"/>
              </w:rPr>
            </w:pPr>
            <w:r>
              <w:rPr>
                <w:rFonts w:ascii="Arial" w:cs="Arial" w:eastAsia="Arial" w:hAnsi="Arial"/>
                <w:sz w:val="14"/>
                <w:szCs w:val="14"/>
                <w:b w:val="1"/>
                <w:bCs w:val="1"/>
                <w:color w:val="auto"/>
                <w:w w:val="98"/>
              </w:rPr>
              <w:t>Gross Unrealized</w:t>
            </w:r>
          </w:p>
        </w:tc>
        <w:tc>
          <w:tcPr>
            <w:tcW w:w="260" w:type="dxa"/>
            <w:vAlign w:val="bottom"/>
          </w:tcPr>
          <w:p>
            <w:pPr>
              <w:spacing w:after="0"/>
              <w:rPr>
                <w:sz w:val="11"/>
                <w:szCs w:val="11"/>
                <w:color w:val="auto"/>
              </w:rPr>
            </w:pPr>
          </w:p>
        </w:tc>
        <w:tc>
          <w:tcPr>
            <w:tcW w:w="1280" w:type="dxa"/>
            <w:vAlign w:val="bottom"/>
            <w:gridSpan w:val="2"/>
          </w:tcPr>
          <w:p>
            <w:pPr>
              <w:ind w:left="120"/>
              <w:spacing w:after="0" w:line="138"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420" w:type="dxa"/>
            <w:vAlign w:val="bottom"/>
            <w:gridSpan w:val="2"/>
          </w:tcPr>
          <w:p>
            <w:pPr>
              <w:ind w:left="20"/>
              <w:spacing w:after="0" w:line="138" w:lineRule="exact"/>
              <w:rPr>
                <w:sz w:val="20"/>
                <w:szCs w:val="20"/>
                <w:color w:val="auto"/>
              </w:rPr>
            </w:pPr>
            <w:r>
              <w:rPr>
                <w:rFonts w:ascii="Arial" w:cs="Arial" w:eastAsia="Arial" w:hAnsi="Arial"/>
                <w:sz w:val="14"/>
                <w:szCs w:val="14"/>
                <w:b w:val="1"/>
                <w:bCs w:val="1"/>
                <w:color w:val="auto"/>
              </w:rPr>
              <w:t>Cash Equivalents</w:t>
            </w:r>
          </w:p>
        </w:tc>
        <w:tc>
          <w:tcPr>
            <w:tcW w:w="220" w:type="dxa"/>
            <w:vAlign w:val="bottom"/>
          </w:tcPr>
          <w:p>
            <w:pPr>
              <w:spacing w:after="0"/>
              <w:rPr>
                <w:sz w:val="11"/>
                <w:szCs w:val="11"/>
                <w:color w:val="auto"/>
              </w:rPr>
            </w:pPr>
          </w:p>
        </w:tc>
        <w:tc>
          <w:tcPr>
            <w:tcW w:w="1200" w:type="dxa"/>
            <w:vAlign w:val="bottom"/>
          </w:tcPr>
          <w:p>
            <w:pPr>
              <w:jc w:val="center"/>
              <w:ind w:right="143"/>
              <w:spacing w:after="0" w:line="138" w:lineRule="exact"/>
              <w:rPr>
                <w:sz w:val="20"/>
                <w:szCs w:val="20"/>
                <w:color w:val="auto"/>
              </w:rPr>
            </w:pPr>
            <w:r>
              <w:rPr>
                <w:rFonts w:ascii="Arial" w:cs="Arial" w:eastAsia="Arial" w:hAnsi="Arial"/>
                <w:sz w:val="14"/>
                <w:szCs w:val="14"/>
                <w:b w:val="1"/>
                <w:bCs w:val="1"/>
                <w:color w:val="auto"/>
              </w:rPr>
              <w:t>Marketable</w:t>
            </w:r>
          </w:p>
        </w:tc>
        <w:tc>
          <w:tcPr>
            <w:tcW w:w="0" w:type="dxa"/>
            <w:vAlign w:val="bottom"/>
          </w:tcPr>
          <w:p>
            <w:pPr>
              <w:spacing w:after="0"/>
              <w:rPr>
                <w:sz w:val="1"/>
                <w:szCs w:val="1"/>
                <w:color w:val="auto"/>
              </w:rPr>
            </w:pPr>
          </w:p>
        </w:tc>
      </w:tr>
      <w:tr>
        <w:trPr>
          <w:trHeight w:val="184"/>
        </w:trPr>
        <w:tc>
          <w:tcPr>
            <w:tcW w:w="2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7"/>
              </w:rPr>
              <w:t>Gains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8"/>
              </w:rPr>
              <w:t>Securities</w:t>
            </w: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5"/>
          </w:tcPr>
          <w:p>
            <w:pPr>
              <w:jc w:val="center"/>
              <w:ind w:right="20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165,407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165,407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180" w:type="dxa"/>
            <w:vAlign w:val="bottom"/>
          </w:tcPr>
          <w:p>
            <w:pPr>
              <w:ind w:left="20"/>
              <w:spacing w:after="0"/>
              <w:rPr>
                <w:sz w:val="20"/>
                <w:szCs w:val="20"/>
                <w:color w:val="auto"/>
              </w:rPr>
            </w:pPr>
            <w:r>
              <w:rPr>
                <w:rFonts w:ascii="Arial" w:cs="Arial" w:eastAsia="Arial" w:hAnsi="Arial"/>
                <w:sz w:val="16"/>
                <w:szCs w:val="16"/>
                <w:color w:val="auto"/>
              </w:rPr>
              <w:t>Certificates of deposit</w:t>
            </w:r>
          </w:p>
        </w:tc>
        <w:tc>
          <w:tcPr>
            <w:tcW w:w="1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31,874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31,757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31,757</w:t>
            </w:r>
          </w:p>
        </w:tc>
        <w:tc>
          <w:tcPr>
            <w:tcW w:w="0" w:type="dxa"/>
            <w:vAlign w:val="bottom"/>
          </w:tcPr>
          <w:p>
            <w:pPr>
              <w:spacing w:after="0"/>
              <w:rPr>
                <w:sz w:val="1"/>
                <w:szCs w:val="1"/>
                <w:color w:val="auto"/>
              </w:rPr>
            </w:pPr>
          </w:p>
        </w:tc>
      </w:tr>
      <w:tr>
        <w:trPr>
          <w:trHeight w:val="211"/>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148,832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148,671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97,907</w:t>
            </w:r>
          </w:p>
        </w:tc>
        <w:tc>
          <w:tcPr>
            <w:tcW w:w="0" w:type="dxa"/>
            <w:vAlign w:val="bottom"/>
          </w:tcPr>
          <w:p>
            <w:pPr>
              <w:spacing w:after="0"/>
              <w:rPr>
                <w:sz w:val="1"/>
                <w:szCs w:val="1"/>
                <w:color w:val="auto"/>
              </w:rPr>
            </w:pPr>
          </w:p>
        </w:tc>
      </w:tr>
      <w:tr>
        <w:trPr>
          <w:trHeight w:val="209"/>
        </w:trPr>
        <w:tc>
          <w:tcPr>
            <w:tcW w:w="2180" w:type="dxa"/>
            <w:vAlign w:val="bottom"/>
          </w:tcPr>
          <w:p>
            <w:pPr>
              <w:ind w:left="20"/>
              <w:spacing w:after="0"/>
              <w:rPr>
                <w:sz w:val="20"/>
                <w:szCs w:val="20"/>
                <w:color w:val="auto"/>
              </w:rPr>
            </w:pPr>
            <w:r>
              <w:rPr>
                <w:rFonts w:ascii="Arial" w:cs="Arial" w:eastAsia="Arial" w:hAnsi="Arial"/>
                <w:sz w:val="16"/>
                <w:szCs w:val="16"/>
                <w:color w:val="auto"/>
              </w:rPr>
              <w:t>Corporate notes and bonds</w:t>
            </w:r>
          </w:p>
        </w:tc>
        <w:tc>
          <w:tcPr>
            <w:tcW w:w="1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168,887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165,576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165,576</w:t>
            </w:r>
          </w:p>
        </w:tc>
        <w:tc>
          <w:tcPr>
            <w:tcW w:w="0" w:type="dxa"/>
            <w:vAlign w:val="bottom"/>
          </w:tcPr>
          <w:p>
            <w:pPr>
              <w:spacing w:after="0"/>
              <w:rPr>
                <w:sz w:val="1"/>
                <w:szCs w:val="1"/>
                <w:color w:val="auto"/>
              </w:rPr>
            </w:pPr>
          </w:p>
        </w:tc>
      </w:tr>
      <w:tr>
        <w:trPr>
          <w:trHeight w:val="211"/>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301,349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301,225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297,131</w:t>
            </w:r>
          </w:p>
        </w:tc>
        <w:tc>
          <w:tcPr>
            <w:tcW w:w="0" w:type="dxa"/>
            <w:vAlign w:val="bottom"/>
          </w:tcPr>
          <w:p>
            <w:pPr>
              <w:spacing w:after="0"/>
              <w:rPr>
                <w:sz w:val="1"/>
                <w:szCs w:val="1"/>
                <w:color w:val="auto"/>
              </w:rPr>
            </w:pPr>
          </w:p>
        </w:tc>
      </w:tr>
      <w:tr>
        <w:trPr>
          <w:trHeight w:val="158"/>
        </w:trPr>
        <w:tc>
          <w:tcPr>
            <w:tcW w:w="2180" w:type="dxa"/>
            <w:vAlign w:val="bottom"/>
          </w:tcPr>
          <w:p>
            <w:pPr>
              <w:ind w:left="20"/>
              <w:spacing w:after="0" w:line="158" w:lineRule="exact"/>
              <w:rPr>
                <w:sz w:val="20"/>
                <w:szCs w:val="20"/>
                <w:color w:val="auto"/>
              </w:rPr>
            </w:pPr>
            <w:r>
              <w:rPr>
                <w:rFonts w:ascii="Arial" w:cs="Arial" w:eastAsia="Arial" w:hAnsi="Arial"/>
                <w:sz w:val="16"/>
                <w:szCs w:val="16"/>
                <w:color w:val="auto"/>
              </w:rPr>
              <w:t>U.S. Government agency</w:t>
            </w:r>
          </w:p>
        </w:tc>
        <w:tc>
          <w:tcPr>
            <w:tcW w:w="160" w:type="dxa"/>
            <w:vAlign w:val="bottom"/>
          </w:tcPr>
          <w:p>
            <w:pPr>
              <w:spacing w:after="0"/>
              <w:rPr>
                <w:sz w:val="13"/>
                <w:szCs w:val="13"/>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16"/>
                <w:szCs w:val="16"/>
                <w:color w:val="auto"/>
              </w:rPr>
              <w:t>554,035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(6,807)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2"/>
              <w:spacing w:after="0"/>
              <w:rPr>
                <w:sz w:val="20"/>
                <w:szCs w:val="20"/>
                <w:color w:val="auto"/>
              </w:rPr>
            </w:pPr>
            <w:r>
              <w:rPr>
                <w:rFonts w:ascii="Arial" w:cs="Arial" w:eastAsia="Arial" w:hAnsi="Arial"/>
                <w:sz w:val="16"/>
                <w:szCs w:val="16"/>
                <w:color w:val="auto"/>
              </w:rPr>
              <w:t>547,228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547,228</w:t>
            </w:r>
          </w:p>
        </w:tc>
        <w:tc>
          <w:tcPr>
            <w:tcW w:w="0" w:type="dxa"/>
            <w:vAlign w:val="bottom"/>
          </w:tcPr>
          <w:p>
            <w:pPr>
              <w:spacing w:after="0"/>
              <w:rPr>
                <w:sz w:val="1"/>
                <w:szCs w:val="1"/>
                <w:color w:val="auto"/>
              </w:rPr>
            </w:pPr>
          </w:p>
        </w:tc>
      </w:tr>
      <w:tr>
        <w:trPr>
          <w:trHeight w:val="208"/>
        </w:trPr>
        <w:tc>
          <w:tcPr>
            <w:tcW w:w="2180" w:type="dxa"/>
            <w:vAlign w:val="bottom"/>
          </w:tcPr>
          <w:p>
            <w:pPr>
              <w:ind w:left="20"/>
              <w:spacing w:after="0"/>
              <w:rPr>
                <w:sz w:val="20"/>
                <w:szCs w:val="20"/>
                <w:color w:val="auto"/>
              </w:rPr>
            </w:pPr>
            <w:r>
              <w:rPr>
                <w:rFonts w:ascii="Arial" w:cs="Arial" w:eastAsia="Arial" w:hAnsi="Arial"/>
                <w:sz w:val="16"/>
                <w:szCs w:val="16"/>
                <w:color w:val="auto"/>
              </w:rPr>
              <w:t>securities</w:t>
            </w: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1,370,384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1,359,864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220,265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1,139,599</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contractual maturities of the Company’s cash equivalents and marketable securities as of</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Fair Value</w:t>
            </w:r>
          </w:p>
        </w:tc>
      </w:tr>
      <w:tr>
        <w:trPr>
          <w:trHeight w:val="225"/>
        </w:trPr>
        <w:tc>
          <w:tcPr>
            <w:tcW w:w="8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40" w:type="dxa"/>
            <w:vAlign w:val="bottom"/>
            <w:gridSpan w:val="4"/>
          </w:tcPr>
          <w:p>
            <w:pPr>
              <w:jc w:val="right"/>
              <w:ind w:right="964"/>
              <w:spacing w:after="0"/>
              <w:rPr>
                <w:sz w:val="20"/>
                <w:szCs w:val="20"/>
                <w:color w:val="auto"/>
              </w:rPr>
            </w:pPr>
            <w:r>
              <w:rPr>
                <w:rFonts w:ascii="Arial" w:cs="Arial" w:eastAsia="Arial" w:hAnsi="Arial"/>
                <w:sz w:val="14"/>
                <w:szCs w:val="14"/>
                <w:i w:val="1"/>
                <w:iCs w:val="1"/>
                <w:color w:val="auto"/>
              </w:rPr>
              <w:t>(In thousands)</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1,205,867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1,205,102</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within one to three years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335,717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336,127</w:t>
            </w:r>
          </w:p>
        </w:tc>
      </w:tr>
      <w:tr>
        <w:trPr>
          <w:trHeight w:val="22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1,541,584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1,541,229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All available-for-sale securities have been classified as current, based on management's intent and ability to use the funds in current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965835</wp:posOffset>
            </wp:positionV>
            <wp:extent cx="69361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4" w:name="page95"/>
    <w:bookmarkEnd w:id="9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60" w:type="dxa"/>
            <w:vAlign w:val="bottom"/>
          </w:tcPr>
          <w:p>
            <w:pPr>
              <w:spacing w:after="0"/>
              <w:rPr>
                <w:sz w:val="20"/>
                <w:szCs w:val="20"/>
                <w:color w:val="auto"/>
              </w:rPr>
            </w:pPr>
            <w:r>
              <w:rPr>
                <w:rFonts w:ascii="Arial" w:cs="Arial" w:eastAsia="Arial" w:hAnsi="Arial"/>
                <w:sz w:val="17"/>
                <w:szCs w:val="17"/>
                <w:b w:val="1"/>
                <w:bCs w:val="1"/>
                <w:color w:val="auto"/>
              </w:rPr>
              <w:t>9.   ACCRUED LIABILITIES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07"/>
        </w:trPr>
        <w:tc>
          <w:tcPr>
            <w:tcW w:w="8260" w:type="dxa"/>
            <w:vAlign w:val="bottom"/>
          </w:tcPr>
          <w:p>
            <w:pPr>
              <w:ind w:left="480"/>
              <w:spacing w:after="0"/>
              <w:rPr>
                <w:sz w:val="20"/>
                <w:szCs w:val="20"/>
                <w:color w:val="auto"/>
              </w:rPr>
            </w:pPr>
            <w:r>
              <w:rPr>
                <w:rFonts w:ascii="Arial" w:cs="Arial" w:eastAsia="Arial" w:hAnsi="Arial"/>
                <w:sz w:val="17"/>
                <w:szCs w:val="17"/>
                <w:color w:val="auto"/>
              </w:rPr>
              <w:t>Accrued liabilities consist of the following:</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9"/>
        </w:trPr>
        <w:tc>
          <w:tcPr>
            <w:tcW w:w="8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2"/>
                <w:szCs w:val="22"/>
                <w:color w:val="auto"/>
              </w:rPr>
            </w:pPr>
          </w:p>
        </w:tc>
        <w:tc>
          <w:tcPr>
            <w:tcW w:w="1260" w:type="dxa"/>
            <w:vAlign w:val="bottom"/>
          </w:tcPr>
          <w:p>
            <w:pPr>
              <w:jc w:val="right"/>
              <w:ind w:right="183"/>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8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r>
      <w:tr>
        <w:trPr>
          <w:trHeight w:val="225"/>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4"/>
          </w:tcPr>
          <w:p>
            <w:pPr>
              <w:jc w:val="right"/>
              <w:ind w:right="963"/>
              <w:spacing w:after="0"/>
              <w:rPr>
                <w:sz w:val="20"/>
                <w:szCs w:val="20"/>
                <w:color w:val="auto"/>
              </w:rPr>
            </w:pPr>
            <w:r>
              <w:rPr>
                <w:rFonts w:ascii="Arial" w:cs="Arial" w:eastAsia="Arial" w:hAnsi="Arial"/>
                <w:sz w:val="14"/>
                <w:szCs w:val="14"/>
                <w:i w:val="1"/>
                <w:iCs w:val="1"/>
                <w:color w:val="auto"/>
              </w:rPr>
              <w:t>(In thousands)</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rebates and sales incentives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158,338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153,916</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Liability due to supply agreements</w:t>
            </w: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32,973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17,341</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19,262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35,011</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Salaries, commissions, incentive compensation and benefits</w:t>
            </w: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10,316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18,009</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payable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8,531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16,146</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5,220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5,371</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VAT payable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19,852</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Post combination expense accrual</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9,138</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related to restructuring activities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3,104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20,932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20,441</w:t>
            </w:r>
          </w:p>
        </w:tc>
      </w:tr>
      <w:tr>
        <w:trPr>
          <w:trHeight w:val="229"/>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accrued liabilities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261,919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295,939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10.</w:t>
        <w:tab/>
        <w:t>WARRANTY OBLIGATIONS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warranty obligation activities were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703"/>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r>
      <w:tr>
        <w:trPr>
          <w:trHeight w:val="225"/>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8"/>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Warranty obligations, beginning of period</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131,446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45,913</w:t>
            </w:r>
          </w:p>
        </w:tc>
      </w:tr>
      <w:tr>
        <w:trPr>
          <w:trHeight w:val="209"/>
        </w:trPr>
        <w:tc>
          <w:tcPr>
            <w:tcW w:w="20" w:type="dxa"/>
            <w:vAlign w:val="bottom"/>
          </w:tcPr>
          <w:p>
            <w:pPr>
              <w:spacing w:after="0"/>
              <w:rPr>
                <w:sz w:val="18"/>
                <w:szCs w:val="18"/>
                <w:color w:val="auto"/>
              </w:rPr>
            </w:pPr>
          </w:p>
        </w:tc>
        <w:tc>
          <w:tcPr>
            <w:tcW w:w="6600" w:type="dxa"/>
            <w:vAlign w:val="bottom"/>
            <w:gridSpan w:val="2"/>
          </w:tcPr>
          <w:p>
            <w:pPr>
              <w:ind w:left="220"/>
              <w:spacing w:after="0"/>
              <w:rPr>
                <w:sz w:val="20"/>
                <w:szCs w:val="20"/>
                <w:color w:val="auto"/>
              </w:rPr>
            </w:pPr>
            <w:r>
              <w:rPr>
                <w:rFonts w:ascii="Arial" w:cs="Arial" w:eastAsia="Arial" w:hAnsi="Arial"/>
                <w:sz w:val="16"/>
                <w:szCs w:val="16"/>
                <w:color w:val="auto"/>
              </w:rPr>
              <w:t>Accruals for warranties issued during period</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51,866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48,703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18,098</w:t>
            </w:r>
          </w:p>
        </w:tc>
      </w:tr>
      <w:tr>
        <w:trPr>
          <w:trHeight w:val="211"/>
        </w:trPr>
        <w:tc>
          <w:tcPr>
            <w:tcW w:w="20" w:type="dxa"/>
            <w:vAlign w:val="bottom"/>
          </w:tcPr>
          <w:p>
            <w:pPr>
              <w:spacing w:after="0"/>
              <w:rPr>
                <w:sz w:val="18"/>
                <w:szCs w:val="18"/>
                <w:color w:val="auto"/>
              </w:rPr>
            </w:pPr>
          </w:p>
        </w:tc>
        <w:tc>
          <w:tcPr>
            <w:tcW w:w="6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Expense (benefit) from changes in estimates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19,414</w:t>
            </w:r>
          </w:p>
        </w:tc>
      </w:tr>
      <w:tr>
        <w:trPr>
          <w:trHeight w:val="209"/>
        </w:trPr>
        <w:tc>
          <w:tcPr>
            <w:tcW w:w="20" w:type="dxa"/>
            <w:vAlign w:val="bottom"/>
          </w:tcPr>
          <w:p>
            <w:pPr>
              <w:spacing w:after="0"/>
              <w:rPr>
                <w:sz w:val="18"/>
                <w:szCs w:val="18"/>
                <w:color w:val="auto"/>
              </w:rPr>
            </w:pPr>
          </w:p>
        </w:tc>
        <w:tc>
          <w:tcPr>
            <w:tcW w:w="6600" w:type="dxa"/>
            <w:vAlign w:val="bottom"/>
            <w:gridSpan w:val="2"/>
          </w:tcPr>
          <w:p>
            <w:pPr>
              <w:ind w:left="220"/>
              <w:spacing w:after="0"/>
              <w:rPr>
                <w:sz w:val="20"/>
                <w:szCs w:val="20"/>
                <w:color w:val="auto"/>
              </w:rPr>
            </w:pPr>
            <w:r>
              <w:rPr>
                <w:rFonts w:ascii="Arial" w:cs="Arial" w:eastAsia="Arial" w:hAnsi="Arial"/>
                <w:sz w:val="16"/>
                <w:szCs w:val="16"/>
                <w:color w:val="auto"/>
              </w:rPr>
              <w:t>Settlements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(27,216)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(26,257)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(15,073)</w:t>
            </w:r>
          </w:p>
        </w:tc>
      </w:tr>
      <w:tr>
        <w:trPr>
          <w:trHeight w:val="211"/>
        </w:trPr>
        <w:tc>
          <w:tcPr>
            <w:tcW w:w="20" w:type="dxa"/>
            <w:vAlign w:val="bottom"/>
          </w:tcPr>
          <w:p>
            <w:pPr>
              <w:spacing w:after="0"/>
              <w:rPr>
                <w:sz w:val="18"/>
                <w:szCs w:val="18"/>
                <w:color w:val="auto"/>
              </w:rPr>
            </w:pPr>
          </w:p>
        </w:tc>
        <w:tc>
          <w:tcPr>
            <w:tcW w:w="6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Increase due to accretion expense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13,821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4,654</w:t>
            </w:r>
          </w:p>
        </w:tc>
      </w:tr>
      <w:tr>
        <w:trPr>
          <w:trHeight w:val="210"/>
        </w:trPr>
        <w:tc>
          <w:tcPr>
            <w:tcW w:w="20" w:type="dxa"/>
            <w:vAlign w:val="bottom"/>
          </w:tcPr>
          <w:p>
            <w:pPr>
              <w:spacing w:after="0"/>
              <w:rPr>
                <w:sz w:val="18"/>
                <w:szCs w:val="18"/>
                <w:color w:val="auto"/>
              </w:rPr>
            </w:pPr>
          </w:p>
        </w:tc>
        <w:tc>
          <w:tcPr>
            <w:tcW w:w="6600" w:type="dxa"/>
            <w:vAlign w:val="bottom"/>
            <w:gridSpan w:val="2"/>
          </w:tcPr>
          <w:p>
            <w:pPr>
              <w:ind w:left="220"/>
              <w:spacing w:after="0" w:line="209" w:lineRule="exact"/>
              <w:rPr>
                <w:sz w:val="20"/>
                <w:szCs w:val="20"/>
                <w:color w:val="auto"/>
              </w:rPr>
            </w:pPr>
            <w:r>
              <w:rPr>
                <w:rFonts w:ascii="Arial" w:cs="Arial" w:eastAsia="Arial" w:hAnsi="Arial"/>
                <w:sz w:val="16"/>
                <w:szCs w:val="16"/>
                <w:color w:val="auto"/>
              </w:rPr>
              <w:t>Change in discount rate</w:t>
            </w:r>
            <w:r>
              <w:rPr>
                <w:rFonts w:ascii="Arial" w:cs="Arial" w:eastAsia="Arial" w:hAnsi="Arial"/>
                <w:sz w:val="20"/>
                <w:szCs w:val="20"/>
                <w:color w:val="auto"/>
                <w:vertAlign w:val="superscript"/>
              </w:rPr>
              <w:t>(1)</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44,422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2,512</w:t>
            </w:r>
          </w:p>
        </w:tc>
      </w:tr>
      <w:tr>
        <w:trPr>
          <w:trHeight w:val="210"/>
        </w:trPr>
        <w:tc>
          <w:tcPr>
            <w:tcW w:w="20" w:type="dxa"/>
            <w:vAlign w:val="bottom"/>
          </w:tcPr>
          <w:p>
            <w:pPr>
              <w:spacing w:after="0"/>
              <w:rPr>
                <w:sz w:val="18"/>
                <w:szCs w:val="18"/>
                <w:color w:val="auto"/>
              </w:rPr>
            </w:pPr>
          </w:p>
        </w:tc>
        <w:tc>
          <w:tcPr>
            <w:tcW w:w="6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(2,141)</w:t>
            </w:r>
          </w:p>
        </w:tc>
      </w:tr>
      <w:tr>
        <w:trPr>
          <w:trHeight w:val="202"/>
        </w:trPr>
        <w:tc>
          <w:tcPr>
            <w:tcW w:w="20" w:type="dxa"/>
            <w:vAlign w:val="bottom"/>
          </w:tcPr>
          <w:p>
            <w:pPr>
              <w:spacing w:after="0"/>
              <w:rPr>
                <w:sz w:val="17"/>
                <w:szCs w:val="17"/>
                <w:color w:val="auto"/>
              </w:rPr>
            </w:pPr>
          </w:p>
        </w:tc>
        <w:tc>
          <w:tcPr>
            <w:tcW w:w="6600" w:type="dxa"/>
            <w:vAlign w:val="bottom"/>
            <w:gridSpan w:val="2"/>
          </w:tcPr>
          <w:p>
            <w:pPr>
              <w:ind w:left="20"/>
              <w:spacing w:after="0"/>
              <w:rPr>
                <w:sz w:val="20"/>
                <w:szCs w:val="20"/>
                <w:color w:val="auto"/>
              </w:rPr>
            </w:pPr>
            <w:r>
              <w:rPr>
                <w:rFonts w:ascii="Arial" w:cs="Arial" w:eastAsia="Arial" w:hAnsi="Arial"/>
                <w:sz w:val="16"/>
                <w:szCs w:val="16"/>
                <w:color w:val="auto"/>
              </w:rPr>
              <w:t>Warranty obligations, end of period</w:t>
            </w: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189,087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131,446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73,377</w:t>
            </w:r>
          </w:p>
        </w:tc>
      </w:tr>
      <w:tr>
        <w:trPr>
          <w:trHeight w:val="211"/>
        </w:trPr>
        <w:tc>
          <w:tcPr>
            <w:tcW w:w="20" w:type="dxa"/>
            <w:vAlign w:val="bottom"/>
          </w:tcPr>
          <w:p>
            <w:pPr>
              <w:spacing w:after="0"/>
              <w:rPr>
                <w:sz w:val="18"/>
                <w:szCs w:val="18"/>
                <w:color w:val="auto"/>
              </w:rPr>
            </w:pPr>
          </w:p>
        </w:tc>
        <w:tc>
          <w:tcPr>
            <w:tcW w:w="6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Less: warranty obligations, current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(36,066)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(19,395)</w:t>
            </w:r>
          </w:p>
        </w:tc>
      </w:tr>
      <w:tr>
        <w:trPr>
          <w:trHeight w:val="202"/>
        </w:trPr>
        <w:tc>
          <w:tcPr>
            <w:tcW w:w="20" w:type="dxa"/>
            <w:vAlign w:val="bottom"/>
          </w:tcPr>
          <w:p>
            <w:pPr>
              <w:spacing w:after="0"/>
              <w:rPr>
                <w:sz w:val="17"/>
                <w:szCs w:val="17"/>
                <w:color w:val="auto"/>
              </w:rPr>
            </w:pPr>
          </w:p>
        </w:tc>
        <w:tc>
          <w:tcPr>
            <w:tcW w:w="6600" w:type="dxa"/>
            <w:vAlign w:val="bottom"/>
            <w:gridSpan w:val="2"/>
          </w:tcPr>
          <w:p>
            <w:pPr>
              <w:ind w:left="220"/>
              <w:spacing w:after="0"/>
              <w:rPr>
                <w:sz w:val="20"/>
                <w:szCs w:val="20"/>
                <w:color w:val="auto"/>
              </w:rPr>
            </w:pPr>
            <w:r>
              <w:rPr>
                <w:rFonts w:ascii="Arial" w:cs="Arial" w:eastAsia="Arial" w:hAnsi="Arial"/>
                <w:sz w:val="16"/>
                <w:szCs w:val="16"/>
                <w:color w:val="auto"/>
              </w:rPr>
              <w:t>Warranty obligations, non-current</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153,021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95,890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53,982</w:t>
            </w: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1"/>
        </w:trPr>
        <w:tc>
          <w:tcPr>
            <w:tcW w:w="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5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bl>
    <w:p>
      <w:pPr>
        <w:spacing w:after="0" w:line="211" w:lineRule="exact"/>
        <w:rPr>
          <w:sz w:val="20"/>
          <w:szCs w:val="20"/>
          <w:color w:val="auto"/>
        </w:rPr>
      </w:pPr>
    </w:p>
    <w:p>
      <w:pPr>
        <w:ind w:left="420" w:hanging="415"/>
        <w:spacing w:after="0"/>
        <w:tabs>
          <w:tab w:leader="none" w:pos="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Refer to Note 11, “Fair Value Measurements” for additional information about the monetary impact for change in the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723900</wp:posOffset>
            </wp:positionV>
            <wp:extent cx="69361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5" w:name="page96"/>
    <w:bookmarkEnd w:id="9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Estimates</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On a quarterly basis, the Company uses the best and most complete underlying information available, following a consistent, systematic and rational methodology to determine its warranty obligations. The Company considers all available evidence to assess the reasonableness of all key assumptions underlying its estimated warranty obligations for each generation of microinverter. The changes in estimates discussed below resulted from consideration of new or additional information becoming available and subsequent developments. Changes in estimates included in the table above were comprised of the following: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2023</w:t>
      </w:r>
    </w:p>
    <w:p>
      <w:pPr>
        <w:spacing w:after="0" w:line="11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2023, the Company recorded $19.2 million in warranty benefit from change in estimates, of which $27.3 million related to a decrease in product replacement costs related to Enphase IQ Battery storage systems and accessories and $8.8 million related to decrease in product replacement costs for all other products, partially offset by $8.3 million for increasing the warranty period for the Enphase IQ Battery from 10 years to 15 years, and by $8.6 million related to continuing analysis of field performance data and diagnostic root-cause failure analysis, primarily for Enphase IQ Battery storage systems and prior generation products.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2022, the Company recorded $29.3 million in warranty expense from changes in estimates, of which $18.3 million related to continuing analysis of field performance data and diagnostic root-cause failure analysis, primarily for Enphase IQ Battery storage systems and prior generation products, $7.0 million related to an increase in expedited freight costs and replacement costs, and $4.0 million was due to an increase in labor reimbursement rates.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2021, the Company recorded $19.4 million in warranty expense from changes in estimates, of which $11.6 million related to continuing analysis of field performance data and diagnostic root-cause failure analysis, primarily relating to its prior generation products, and $7.8 million related to the timing of cost reduction assumptions for replacement products as the Company prioritized servicing current sales demand and the increase in component costs due to global supply constraints.</w:t>
      </w:r>
    </w:p>
    <w:p>
      <w:pPr>
        <w:spacing w:after="0" w:line="112" w:lineRule="exact"/>
        <w:rPr>
          <w:sz w:val="20"/>
          <w:szCs w:val="20"/>
          <w:color w:val="auto"/>
        </w:rPr>
      </w:pPr>
    </w:p>
    <w:p>
      <w:pPr>
        <w:ind w:left="440" w:hanging="435"/>
        <w:spacing w:after="0"/>
        <w:tabs>
          <w:tab w:leader="none" w:pos="44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21"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27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55" w:lineRule="exact"/>
        <w:rPr>
          <w:sz w:val="20"/>
          <w:szCs w:val="20"/>
          <w:color w:val="auto"/>
        </w:rPr>
      </w:pPr>
    </w:p>
    <w:p>
      <w:pPr>
        <w:jc w:val="both"/>
        <w:ind w:left="800" w:hanging="323"/>
        <w:spacing w:after="0" w:line="278" w:lineRule="auto"/>
        <w:tabs>
          <w:tab w:leader="none" w:pos="795" w:val="left"/>
        </w:tabs>
        <w:numPr>
          <w:ilvl w:val="0"/>
          <w:numId w:val="46"/>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55"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46"/>
        </w:numPr>
        <w:rPr>
          <w:rFonts w:ascii="Arial" w:cs="Arial" w:eastAsia="Arial" w:hAnsi="Arial"/>
          <w:sz w:val="17"/>
          <w:szCs w:val="17"/>
          <w:color w:val="auto"/>
        </w:rPr>
      </w:pPr>
      <w:r>
        <w:rPr>
          <w:rFonts w:ascii="Arial" w:cs="Arial" w:eastAsia="Arial" w:hAnsi="Arial"/>
          <w:sz w:val="17"/>
          <w:szCs w:val="17"/>
          <w:color w:val="auto"/>
        </w:rPr>
        <w:t>Level 2 - Valuations based on one or more quoted prices in markets that are not active or for which all significant inputs are observable, either directly or indirectly.</w:t>
      </w:r>
    </w:p>
    <w:p>
      <w:pPr>
        <w:spacing w:after="0" w:line="35" w:lineRule="exact"/>
        <w:rPr>
          <w:rFonts w:ascii="Arial" w:cs="Arial" w:eastAsia="Arial" w:hAnsi="Arial"/>
          <w:sz w:val="17"/>
          <w:szCs w:val="17"/>
          <w:color w:val="auto"/>
        </w:rPr>
      </w:pPr>
    </w:p>
    <w:p>
      <w:pPr>
        <w:ind w:left="780" w:hanging="303"/>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6" w:name="page97"/>
    <w:bookmarkEnd w:id="9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assets and liabilities measured at fair value on a recurring basis using the above input categories: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7"/>
              </w:rPr>
              <w:t>December 31, 2023</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8"/>
              </w:rPr>
              <w:t>December 31, 2022</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gridSpan w:val="4"/>
          </w:tcPr>
          <w:p>
            <w:pPr>
              <w:jc w:val="right"/>
              <w:ind w:right="681"/>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41"/>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940" w:type="dxa"/>
            <w:vAlign w:val="bottom"/>
          </w:tcPr>
          <w:p>
            <w:pPr>
              <w:jc w:val="right"/>
              <w:ind w:right="221"/>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20" w:type="dxa"/>
            <w:vAlign w:val="bottom"/>
          </w:tcPr>
          <w:p>
            <w:pPr>
              <w:spacing w:after="0"/>
              <w:rPr>
                <w:sz w:val="18"/>
                <w:szCs w:val="18"/>
                <w:color w:val="auto"/>
              </w:rPr>
            </w:pPr>
          </w:p>
        </w:tc>
        <w:tc>
          <w:tcPr>
            <w:tcW w:w="980" w:type="dxa"/>
            <w:vAlign w:val="bottom"/>
          </w:tcPr>
          <w:p>
            <w:pPr>
              <w:jc w:val="right"/>
              <w:ind w:right="26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40"/>
              <w:spacing w:after="0"/>
              <w:rPr>
                <w:sz w:val="20"/>
                <w:szCs w:val="20"/>
                <w:color w:val="auto"/>
              </w:rPr>
            </w:pPr>
            <w:r>
              <w:rPr>
                <w:rFonts w:ascii="Arial" w:cs="Arial" w:eastAsia="Arial" w:hAnsi="Arial"/>
                <w:sz w:val="16"/>
                <w:szCs w:val="16"/>
                <w:i w:val="1"/>
                <w:iCs w:val="1"/>
                <w:color w:val="auto"/>
              </w:rPr>
              <w:t>Cash and cash equivalents: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Money market funds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132,037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165,407</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6"/>
                <w:szCs w:val="16"/>
                <w:color w:val="auto"/>
              </w:rPr>
              <w:t>Certificates of deposit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 paper</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50,764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6"/>
                <w:szCs w:val="16"/>
                <w:color w:val="auto"/>
              </w:rPr>
              <w:t>Corporate notes and bonds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Treasuries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Pr>
          <w:p>
            <w:pPr>
              <w:ind w:left="140"/>
              <w:spacing w:after="0"/>
              <w:rPr>
                <w:sz w:val="20"/>
                <w:szCs w:val="20"/>
                <w:color w:val="auto"/>
              </w:rPr>
            </w:pPr>
            <w:r>
              <w:rPr>
                <w:rFonts w:ascii="Arial" w:cs="Arial" w:eastAsia="Arial" w:hAnsi="Arial"/>
                <w:sz w:val="16"/>
                <w:szCs w:val="16"/>
                <w:i w:val="1"/>
                <w:iCs w:val="1"/>
                <w:color w:val="auto"/>
              </w:rPr>
              <w:t>Marketable securities: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Certificates of deposit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55,162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31,757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6"/>
                <w:szCs w:val="16"/>
                <w:color w:val="auto"/>
              </w:rPr>
              <w:t>Commercial paper</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69,743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97,907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 notes and bonds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405,634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165,576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6"/>
                <w:szCs w:val="16"/>
                <w:color w:val="auto"/>
              </w:rPr>
              <w:t>U.S. Treasuries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327,891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297,131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Government agency securities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547,856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547,228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Investments in debt securities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79,855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56,777</w:t>
            </w:r>
          </w:p>
        </w:tc>
        <w:tc>
          <w:tcPr>
            <w:tcW w:w="0" w:type="dxa"/>
            <w:vAlign w:val="bottom"/>
          </w:tcPr>
          <w:p>
            <w:pPr>
              <w:spacing w:after="0"/>
              <w:rPr>
                <w:sz w:val="1"/>
                <w:szCs w:val="1"/>
                <w:color w:val="auto"/>
              </w:rPr>
            </w:pPr>
          </w:p>
        </w:tc>
      </w:tr>
      <w:tr>
        <w:trPr>
          <w:trHeight w:val="204"/>
        </w:trPr>
        <w:tc>
          <w:tcPr>
            <w:tcW w:w="3500" w:type="dxa"/>
            <w:vAlign w:val="bottom"/>
          </w:tcPr>
          <w:p>
            <w:pPr>
              <w:ind w:left="20"/>
              <w:spacing w:after="0"/>
              <w:rPr>
                <w:sz w:val="20"/>
                <w:szCs w:val="20"/>
                <w:color w:val="auto"/>
              </w:rPr>
            </w:pPr>
            <w:r>
              <w:rPr>
                <w:rFonts w:ascii="Arial" w:cs="Arial" w:eastAsia="Arial" w:hAnsi="Arial"/>
                <w:sz w:val="16"/>
                <w:szCs w:val="16"/>
                <w:color w:val="auto"/>
              </w:rPr>
              <w:t>Total assets measured at fair value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132,037</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1,409,192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79,855</w:t>
            </w:r>
          </w:p>
        </w:tc>
        <w:tc>
          <w:tcPr>
            <w:tcW w:w="12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165,407</w:t>
            </w: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1,194,457</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56,777</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Warranty obligations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6"/>
                <w:szCs w:val="16"/>
                <w:color w:val="auto"/>
              </w:rPr>
              <w:t>Current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28,667</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30,740</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133,126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75,749</w:t>
            </w:r>
          </w:p>
        </w:tc>
        <w:tc>
          <w:tcPr>
            <w:tcW w:w="0" w:type="dxa"/>
            <w:vAlign w:val="bottom"/>
          </w:tcPr>
          <w:p>
            <w:pPr>
              <w:spacing w:after="0"/>
              <w:rPr>
                <w:sz w:val="1"/>
                <w:szCs w:val="1"/>
                <w:color w:val="auto"/>
              </w:rPr>
            </w:pPr>
          </w:p>
        </w:tc>
      </w:tr>
      <w:tr>
        <w:trPr>
          <w:trHeight w:val="138"/>
        </w:trPr>
        <w:tc>
          <w:tcPr>
            <w:tcW w:w="3500" w:type="dxa"/>
            <w:vAlign w:val="bottom"/>
          </w:tcPr>
          <w:p>
            <w:pPr>
              <w:ind w:left="460"/>
              <w:spacing w:after="0" w:line="138" w:lineRule="exact"/>
              <w:rPr>
                <w:sz w:val="20"/>
                <w:szCs w:val="20"/>
                <w:color w:val="auto"/>
              </w:rPr>
            </w:pPr>
            <w:r>
              <w:rPr>
                <w:rFonts w:ascii="Arial" w:cs="Arial" w:eastAsia="Arial" w:hAnsi="Arial"/>
                <w:sz w:val="16"/>
                <w:szCs w:val="16"/>
                <w:color w:val="auto"/>
                <w:w w:val="99"/>
              </w:rPr>
              <w:t>Total warranty obligations measured at fair</w:t>
            </w:r>
          </w:p>
        </w:tc>
        <w:tc>
          <w:tcPr>
            <w:tcW w:w="2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161,793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106,489</w:t>
            </w:r>
          </w:p>
        </w:tc>
        <w:tc>
          <w:tcPr>
            <w:tcW w:w="0" w:type="dxa"/>
            <w:vAlign w:val="bottom"/>
          </w:tcPr>
          <w:p>
            <w:pPr>
              <w:spacing w:after="0"/>
              <w:rPr>
                <w:sz w:val="1"/>
                <w:szCs w:val="1"/>
                <w:color w:val="auto"/>
              </w:rPr>
            </w:pPr>
          </w:p>
        </w:tc>
      </w:tr>
      <w:tr>
        <w:trPr>
          <w:trHeight w:val="208"/>
        </w:trPr>
        <w:tc>
          <w:tcPr>
            <w:tcW w:w="35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value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measured at fair value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106,489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Notes due 2028</w:t>
      </w:r>
      <w:r>
        <w:rPr>
          <w:rFonts w:ascii="Arial" w:cs="Arial" w:eastAsia="Arial" w:hAnsi="Arial"/>
          <w:sz w:val="17"/>
          <w:szCs w:val="17"/>
          <w:color w:val="auto"/>
        </w:rPr>
        <w:t>,</w:t>
      </w:r>
      <w:r>
        <w:rPr>
          <w:rFonts w:ascii="Arial" w:cs="Arial" w:eastAsia="Arial" w:hAnsi="Arial"/>
          <w:sz w:val="17"/>
          <w:szCs w:val="17"/>
          <w:i w:val="1"/>
          <w:iCs w:val="1"/>
          <w:color w:val="auto"/>
        </w:rPr>
        <w:t xml:space="preserve"> Notes due 2026 and Notes due 2025</w:t>
      </w:r>
    </w:p>
    <w:p>
      <w:pPr>
        <w:spacing w:after="0" w:line="11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Company carries the Notes due 2028 and Notes due 2026 at face value less unamortized debt issuance costs on its consolidated balance sheets. The Company carries the Notes due 2025 at face value less unamortized debt discount and issuance costs on its consolidated balance sheets. As of December 31, 2023, the fair value of the Notes due 2028, Notes due 2026 and Notes due 2025 was $511.8 million, $ 568.8 million and $147.7 million, respectively. The fair value as of December 31, 2023 was determined based on the closing trading price per $ 100 principal amount as of the last day of trading for the period. The Company considers the fair value of the Notes due 2028, Notes due 2026 and Notes due 2025 to be a Level 2 measurement as they are not actively traded.</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Investments in debt securities</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In January 2021, the Company invested approximately $25.0 million in a privately-held company. The Company concluded the investment qualifies as an investment in a debt security, as it accrues interest and principal plus accrued interest becomes payable back to the Company at certain dates unless it is converted to equity at a pre-determined price. As the investment includes a conversion option, the Company has elected to account for this investment under the fair value option and any change in fair value of the investment is recognized in “Other income (expense), net” in the Company’s consolidated statement of operations for that period. Further, the Company has concluded that the Company’s investment in a debt security is considered to be a Level 3 measurement due to the use of significant unobservable inputs in the valuation model. The fair value was determined using discounted cash flow methodology and assumptions include implied yield and change in estimated term of investment being held-to-maturity.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479425</wp:posOffset>
            </wp:positionV>
            <wp:extent cx="69361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7" w:name="page98"/>
    <w:bookmarkEnd w:id="9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In September 2021, the Company invested approximately $13.0 million in secured convertible promissory notes issued by the stockholders of a privately-held company. The investment qualifies as an investment in a debt security and will accrete interest and principal plus accrued interest that becomes payable at certain dates unless it is converted to equity at a pre-determined price. As the investment includes a conversion option, the Company has elected to account for this investment under the fair value option and any change in fair value of the investment is recognized in “Other income (expense), net” in the Company’s consolidated statement of operations for that period. Principal plus accrued interest receivable of the investment approximates the fair value.</w:t>
      </w:r>
    </w:p>
    <w:p>
      <w:pPr>
        <w:spacing w:after="0" w:line="64"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December 2022, the Company took a non-voting participating interest of approximately $15.0 million in a loan held by a privately-held company. The debt security qualifies as an investment in a debt security and interest will be payable on a monthly basis. The principal becomes repayable at a certain date when a qualified equity investment or a junior debt is raised, or as long as certain applicable payment conditions are satisfied. The accreted interest is recognized in “Other income (expense), net” in the Company’s consolidated statement of operations for that period. Principal plus unpaid accrued interest receivable of the investment approximates the fair value.</w:t>
      </w:r>
    </w:p>
    <w:p>
      <w:pPr>
        <w:spacing w:after="0" w:line="63"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In July 2023, the Company invested approximately $15.0 million in a secured convertible promissory note issued by the stockholders of a privately-held company. The investment qualified as an investment in a debt security and will accrete interest. The principal plus accrued interest is payable upon maturity unless it is converted to equity at a pre-determined price. As the investment includes a conversion option, the Company has elected to account for this investment under the fair value option and any changes in fair value of the investment is recognized in “Other income (expense), net” in the Company’s consolidated statement of operations for that period. Principal plus accrued interest receivable of the investment approximates the fair value.</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Investment in debt securities is recorded in “Other assets” on the accompanying consolidated balance sheet as of December 31, 2023 and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The changes in the balance in investments in debt securities during the period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6"/>
                <w:szCs w:val="16"/>
                <w:color w:val="auto"/>
              </w:rPr>
            </w:pPr>
          </w:p>
        </w:tc>
      </w:tr>
      <w:tr>
        <w:trPr>
          <w:trHeight w:val="190"/>
        </w:trPr>
        <w:tc>
          <w:tcPr>
            <w:tcW w:w="82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r>
      <w:tr>
        <w:trPr>
          <w:trHeight w:val="225"/>
        </w:trPr>
        <w:tc>
          <w:tcPr>
            <w:tcW w:w="8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20" w:type="dxa"/>
            <w:vAlign w:val="bottom"/>
            <w:gridSpan w:val="3"/>
          </w:tcPr>
          <w:p>
            <w:pPr>
              <w:jc w:val="right"/>
              <w:ind w:right="404"/>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9"/>
                <w:szCs w:val="19"/>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900" w:type="dxa"/>
            <w:vAlign w:val="bottom"/>
            <w:shd w:val="clear" w:color="auto" w:fill="CCEEFF"/>
          </w:tcPr>
          <w:p>
            <w:pPr>
              <w:jc w:val="right"/>
              <w:ind w:right="706"/>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56,777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41,042</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Investment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15,000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15,000</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Fair value adjustments included in other income (expense), net</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8,078</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r>
      <w:tr>
        <w:trPr>
          <w:trHeight w:val="204"/>
        </w:trPr>
        <w:tc>
          <w:tcPr>
            <w:tcW w:w="826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900" w:type="dxa"/>
            <w:vAlign w:val="bottom"/>
            <w:tcBorders>
              <w:bottom w:val="single" w:sz="8" w:color="auto"/>
            </w:tcBorders>
          </w:tcPr>
          <w:p>
            <w:pPr>
              <w:jc w:val="right"/>
              <w:ind w:right="706"/>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79,855</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56,777</w:t>
            </w:r>
          </w:p>
        </w:tc>
      </w:tr>
      <w:tr>
        <w:trPr>
          <w:trHeight w:val="20"/>
        </w:trPr>
        <w:tc>
          <w:tcPr>
            <w:tcW w:w="8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Warranty obligations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Fair Value Option for Warranty Obligations Related to Products Sold Since January 1, 2014</w:t>
      </w:r>
    </w:p>
    <w:p>
      <w:pPr>
        <w:spacing w:after="0" w:line="174"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return rates and replacement costs, the Company used certain Level 3 inputs which are unobservable and significant to the overall fair value measurement. Such additional assumptions are based on the Company’s credit-adjusted risk-free rate (“discount rate”) and compensation comprised of a profit element and risk premium required of a market participant to assume the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476250</wp:posOffset>
            </wp:positionV>
            <wp:extent cx="69361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8" w:name="page99"/>
    <w:bookmarkEnd w:id="9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provides information regarding changes in nonfinancial liabilities related to the Company’s warranty obligations measured at fair value on a recurring basis using significant unobservable inputs designated as Level 3 for the periods indicated:</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Years Ended December 31,</w:t>
            </w:r>
          </w:p>
        </w:tc>
      </w:tr>
      <w:tr>
        <w:trPr>
          <w:trHeight w:val="190"/>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r>
      <w:tr>
        <w:trPr>
          <w:trHeight w:val="225"/>
        </w:trPr>
        <w:tc>
          <w:tcPr>
            <w:tcW w:w="8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106,489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51,007</w:t>
            </w:r>
          </w:p>
        </w:tc>
      </w:tr>
      <w:tr>
        <w:trPr>
          <w:trHeight w:val="209"/>
        </w:trPr>
        <w:tc>
          <w:tcPr>
            <w:tcW w:w="8220" w:type="dxa"/>
            <w:vAlign w:val="bottom"/>
          </w:tcPr>
          <w:p>
            <w:pPr>
              <w:ind w:left="140"/>
              <w:spacing w:after="0"/>
              <w:rPr>
                <w:sz w:val="20"/>
                <w:szCs w:val="20"/>
                <w:color w:val="auto"/>
              </w:rPr>
            </w:pPr>
            <w:r>
              <w:rPr>
                <w:rFonts w:ascii="Arial" w:cs="Arial" w:eastAsia="Arial" w:hAnsi="Arial"/>
                <w:sz w:val="16"/>
                <w:szCs w:val="16"/>
                <w:color w:val="auto"/>
              </w:rPr>
              <w:t>Accruals for warranties issued during period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51,716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46,342</w:t>
            </w:r>
          </w:p>
        </w:tc>
      </w:tr>
      <w:tr>
        <w:trPr>
          <w:trHeight w:val="211"/>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estimates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23,910</w:t>
            </w:r>
          </w:p>
        </w:tc>
      </w:tr>
      <w:tr>
        <w:trPr>
          <w:trHeight w:val="209"/>
        </w:trPr>
        <w:tc>
          <w:tcPr>
            <w:tcW w:w="8220" w:type="dxa"/>
            <w:vAlign w:val="bottom"/>
          </w:tcPr>
          <w:p>
            <w:pPr>
              <w:ind w:left="140"/>
              <w:spacing w:after="0"/>
              <w:rPr>
                <w:sz w:val="20"/>
                <w:szCs w:val="20"/>
                <w:color w:val="auto"/>
              </w:rPr>
            </w:pPr>
            <w:r>
              <w:rPr>
                <w:rFonts w:ascii="Arial" w:cs="Arial" w:eastAsia="Arial" w:hAnsi="Arial"/>
                <w:sz w:val="16"/>
                <w:szCs w:val="16"/>
                <w:color w:val="auto"/>
              </w:rPr>
              <w:t>Settlements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(20,824)</w:t>
            </w:r>
          </w:p>
        </w:tc>
      </w:tr>
      <w:tr>
        <w:trPr>
          <w:trHeight w:val="211"/>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due to accretion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9,632</w:t>
            </w:r>
          </w:p>
        </w:tc>
      </w:tr>
      <w:tr>
        <w:trPr>
          <w:trHeight w:val="209"/>
        </w:trPr>
        <w:tc>
          <w:tcPr>
            <w:tcW w:w="8220" w:type="dxa"/>
            <w:vAlign w:val="bottom"/>
          </w:tcPr>
          <w:p>
            <w:pPr>
              <w:ind w:left="140"/>
              <w:spacing w:after="0"/>
              <w:rPr>
                <w:sz w:val="20"/>
                <w:szCs w:val="20"/>
                <w:color w:val="auto"/>
              </w:rPr>
            </w:pPr>
            <w:r>
              <w:rPr>
                <w:rFonts w:ascii="Arial" w:cs="Arial" w:eastAsia="Arial" w:hAnsi="Arial"/>
                <w:sz w:val="16"/>
                <w:szCs w:val="16"/>
                <w:color w:val="auto"/>
              </w:rPr>
              <w:t>Change in discount rate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44,422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(9,609)</w:t>
            </w:r>
          </w:p>
        </w:tc>
      </w:tr>
      <w:tr>
        <w:trPr>
          <w:trHeight w:val="210"/>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6,031</w:t>
            </w:r>
          </w:p>
        </w:tc>
      </w:tr>
      <w:tr>
        <w:trPr>
          <w:trHeight w:val="204"/>
        </w:trPr>
        <w:tc>
          <w:tcPr>
            <w:tcW w:w="822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161,793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106,489</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Quantitative and Qualitative Information about Level 3 Fair Value Measurements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As of December 31, 2023 and December 31, 2022, the significant unobservable inputs used in the fair value measurement of the Company’s liabilities designated as Level 3 were as follows, of which the monetary impact for change in discount rate is captured in “Change in discount rate” in the table above:</w:t>
      </w:r>
    </w:p>
    <w:p>
      <w:pPr>
        <w:spacing w:after="0" w:line="8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Percent Used</w:t>
      </w:r>
    </w:p>
    <w:p>
      <w:pPr>
        <w:jc w:val="center"/>
        <w:ind w:left="8260"/>
        <w:spacing w:after="0"/>
        <w:rPr>
          <w:sz w:val="20"/>
          <w:szCs w:val="20"/>
          <w:color w:val="auto"/>
        </w:rPr>
      </w:pPr>
      <w:r>
        <w:rPr>
          <w:rFonts w:ascii="Arial" w:cs="Arial" w:eastAsia="Arial" w:hAnsi="Arial"/>
          <w:sz w:val="14"/>
          <w:szCs w:val="14"/>
          <w:b w:val="1"/>
          <w:bCs w:val="1"/>
          <w:color w:val="auto"/>
        </w:rPr>
        <w:t>(Weighted Average)</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Item Measured at Fair Value</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Valuation Technique</w:t>
            </w:r>
          </w:p>
        </w:tc>
        <w:tc>
          <w:tcPr>
            <w:tcW w:w="120" w:type="dxa"/>
            <w:vAlign w:val="bottom"/>
            <w:vMerge w:val="restart"/>
          </w:tcPr>
          <w:p>
            <w:pPr>
              <w:spacing w:after="0"/>
              <w:rPr>
                <w:sz w:val="12"/>
                <w:szCs w:val="12"/>
                <w:color w:val="auto"/>
              </w:rPr>
            </w:pPr>
          </w:p>
        </w:tc>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Description of Significant Unobservable Input</w:t>
            </w:r>
          </w:p>
        </w:tc>
        <w:tc>
          <w:tcPr>
            <w:tcW w:w="100" w:type="dxa"/>
            <w:vAlign w:val="bottom"/>
            <w:vMerge w:val="restart"/>
          </w:tcPr>
          <w:p>
            <w:pPr>
              <w:spacing w:after="0"/>
              <w:rPr>
                <w:sz w:val="12"/>
                <w:szCs w:val="12"/>
                <w:color w:val="auto"/>
              </w:rPr>
            </w:pPr>
          </w:p>
        </w:tc>
        <w:tc>
          <w:tcPr>
            <w:tcW w:w="1540" w:type="dxa"/>
            <w:vAlign w:val="bottom"/>
            <w:tcBorders>
              <w:top w:val="single" w:sz="8" w:color="auto"/>
            </w:tcBorders>
            <w:gridSpan w:val="2"/>
          </w:tcPr>
          <w:p>
            <w:pPr>
              <w:ind w:left="260"/>
              <w:spacing w:after="0" w:line="141" w:lineRule="exact"/>
              <w:rPr>
                <w:sz w:val="20"/>
                <w:szCs w:val="20"/>
                <w:color w:val="auto"/>
              </w:rPr>
            </w:pPr>
            <w:r>
              <w:rPr>
                <w:rFonts w:ascii="Arial" w:cs="Arial" w:eastAsia="Arial" w:hAnsi="Arial"/>
                <w:sz w:val="14"/>
                <w:szCs w:val="14"/>
                <w:b w:val="1"/>
                <w:bCs w:val="1"/>
                <w:color w:val="auto"/>
              </w:rPr>
              <w:t>December 31,</w:t>
            </w:r>
          </w:p>
        </w:tc>
        <w:tc>
          <w:tcPr>
            <w:tcW w:w="14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0"/>
        </w:trPr>
        <w:tc>
          <w:tcPr>
            <w:tcW w:w="3180" w:type="dxa"/>
            <w:vAlign w:val="bottom"/>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47"/>
        </w:trPr>
        <w:tc>
          <w:tcPr>
            <w:tcW w:w="3180" w:type="dxa"/>
            <w:vAlign w:val="bottom"/>
          </w:tcPr>
          <w:p>
            <w:pPr>
              <w:spacing w:after="0"/>
              <w:rPr>
                <w:sz w:val="20"/>
                <w:szCs w:val="20"/>
                <w:color w:val="auto"/>
              </w:rPr>
            </w:pPr>
            <w:r>
              <w:rPr>
                <w:rFonts w:ascii="Arial" w:cs="Arial" w:eastAsia="Arial" w:hAnsi="Arial"/>
                <w:sz w:val="16"/>
                <w:szCs w:val="16"/>
                <w:color w:val="auto"/>
              </w:rPr>
              <w:t>Warranty obligations for products sold since</w:t>
            </w: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Discounted cash flows</w:t>
            </w:r>
          </w:p>
        </w:tc>
        <w:tc>
          <w:tcPr>
            <w:tcW w:w="3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Profit element and risk premium</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16%</w:t>
            </w:r>
          </w:p>
        </w:tc>
        <w:tc>
          <w:tcPr>
            <w:tcW w:w="0" w:type="dxa"/>
            <w:vAlign w:val="bottom"/>
          </w:tcPr>
          <w:p>
            <w:pPr>
              <w:spacing w:after="0"/>
              <w:rPr>
                <w:sz w:val="1"/>
                <w:szCs w:val="1"/>
                <w:color w:val="auto"/>
              </w:rPr>
            </w:pPr>
          </w:p>
        </w:tc>
      </w:tr>
      <w:tr>
        <w:trPr>
          <w:trHeight w:val="82"/>
        </w:trPr>
        <w:tc>
          <w:tcPr>
            <w:tcW w:w="3180" w:type="dxa"/>
            <w:vAlign w:val="bottom"/>
            <w:vMerge w:val="restart"/>
          </w:tcPr>
          <w:p>
            <w:pPr>
              <w:spacing w:after="0" w:line="161" w:lineRule="exact"/>
              <w:rPr>
                <w:sz w:val="20"/>
                <w:szCs w:val="20"/>
                <w:color w:val="auto"/>
              </w:rPr>
            </w:pPr>
            <w:r>
              <w:rPr>
                <w:rFonts w:ascii="Arial" w:cs="Arial" w:eastAsia="Arial" w:hAnsi="Arial"/>
                <w:sz w:val="16"/>
                <w:szCs w:val="16"/>
                <w:color w:val="auto"/>
              </w:rPr>
              <w:t>January 1, 2014</w:t>
            </w:r>
          </w:p>
        </w:tc>
        <w:tc>
          <w:tcPr>
            <w:tcW w:w="1820" w:type="dxa"/>
            <w:vAlign w:val="bottom"/>
            <w:gridSpan w:val="2"/>
            <w:vMerge w:val="continue"/>
          </w:tcPr>
          <w:p>
            <w:pPr>
              <w:spacing w:after="0"/>
              <w:rPr>
                <w:sz w:val="7"/>
                <w:szCs w:val="7"/>
                <w:color w:val="auto"/>
              </w:rPr>
            </w:pPr>
          </w:p>
        </w:tc>
        <w:tc>
          <w:tcPr>
            <w:tcW w:w="3260" w:type="dxa"/>
            <w:vAlign w:val="bottom"/>
            <w:tcBorders>
              <w:top w:val="single" w:sz="8" w:color="ACACAC"/>
            </w:tcBorders>
            <w:gridSpan w:val="2"/>
            <w:vMerge w:val="restart"/>
          </w:tcPr>
          <w:p>
            <w:pPr>
              <w:jc w:val="center"/>
              <w:ind w:right="100"/>
              <w:spacing w:after="0"/>
              <w:rPr>
                <w:sz w:val="20"/>
                <w:szCs w:val="20"/>
                <w:color w:val="auto"/>
              </w:rPr>
            </w:pPr>
            <w:r>
              <w:rPr>
                <w:rFonts w:ascii="Arial" w:cs="Arial" w:eastAsia="Arial" w:hAnsi="Arial"/>
                <w:sz w:val="16"/>
                <w:szCs w:val="16"/>
                <w:color w:val="auto"/>
                <w:w w:val="98"/>
              </w:rPr>
              <w:t>Credit-adjusted risk-free rate</w:t>
            </w:r>
          </w:p>
        </w:tc>
        <w:tc>
          <w:tcPr>
            <w:tcW w:w="1420" w:type="dxa"/>
            <w:vAlign w:val="bottom"/>
            <w:tcBorders>
              <w:top w:val="single" w:sz="8" w:color="ACACAC"/>
            </w:tcBorders>
            <w:vMerge w:val="restart"/>
          </w:tcPr>
          <w:p>
            <w:pPr>
              <w:jc w:val="center"/>
              <w:spacing w:after="0"/>
              <w:rPr>
                <w:sz w:val="20"/>
                <w:szCs w:val="20"/>
                <w:color w:val="auto"/>
              </w:rPr>
            </w:pPr>
            <w:r>
              <w:rPr>
                <w:rFonts w:ascii="Arial" w:cs="Arial" w:eastAsia="Arial" w:hAnsi="Arial"/>
                <w:sz w:val="16"/>
                <w:szCs w:val="16"/>
                <w:color w:val="auto"/>
                <w:w w:val="94"/>
              </w:rPr>
              <w:t>7%</w:t>
            </w:r>
          </w:p>
        </w:tc>
        <w:tc>
          <w:tcPr>
            <w:tcW w:w="120" w:type="dxa"/>
            <w:vAlign w:val="bottom"/>
            <w:tcBorders>
              <w:top w:val="single" w:sz="8" w:color="ACACAC"/>
            </w:tcBorders>
          </w:tcPr>
          <w:p>
            <w:pPr>
              <w:spacing w:after="0"/>
              <w:rPr>
                <w:sz w:val="7"/>
                <w:szCs w:val="7"/>
                <w:color w:val="auto"/>
              </w:rPr>
            </w:pPr>
          </w:p>
        </w:tc>
        <w:tc>
          <w:tcPr>
            <w:tcW w:w="1420" w:type="dxa"/>
            <w:vAlign w:val="bottom"/>
            <w:tcBorders>
              <w:top w:val="single" w:sz="8" w:color="ACACAC"/>
            </w:tcBorders>
            <w:vMerge w:val="restart"/>
          </w:tcPr>
          <w:p>
            <w:pPr>
              <w:jc w:val="center"/>
              <w:spacing w:after="0"/>
              <w:rPr>
                <w:sz w:val="20"/>
                <w:szCs w:val="20"/>
                <w:color w:val="auto"/>
              </w:rPr>
            </w:pPr>
            <w:r>
              <w:rPr>
                <w:rFonts w:ascii="Arial" w:cs="Arial" w:eastAsia="Arial" w:hAnsi="Arial"/>
                <w:sz w:val="16"/>
                <w:szCs w:val="16"/>
                <w:color w:val="auto"/>
                <w:w w:val="93"/>
              </w:rPr>
              <w:t>13%</w:t>
            </w:r>
          </w:p>
        </w:tc>
        <w:tc>
          <w:tcPr>
            <w:tcW w:w="0" w:type="dxa"/>
            <w:vAlign w:val="bottom"/>
          </w:tcPr>
          <w:p>
            <w:pPr>
              <w:spacing w:after="0"/>
              <w:rPr>
                <w:sz w:val="1"/>
                <w:szCs w:val="1"/>
                <w:color w:val="auto"/>
              </w:rPr>
            </w:pPr>
          </w:p>
        </w:tc>
      </w:tr>
      <w:tr>
        <w:trPr>
          <w:trHeight w:val="79"/>
        </w:trPr>
        <w:tc>
          <w:tcPr>
            <w:tcW w:w="3180" w:type="dxa"/>
            <w:vAlign w:val="bottom"/>
            <w:vMerge w:val="continue"/>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60" w:type="dxa"/>
            <w:vAlign w:val="bottom"/>
            <w:gridSpan w:val="2"/>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Sensitivity of Level 3 Inputs - Warranty Obligations</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Each of the significant unobservable inputs is independent of the other. The profit element and risk premium are estimated based on the requirements of a third-party participant willing to assume the Company’s warranty obligations. The discount rate is determined by reference to the Company’s own credit standing at the fair value measurement date, which improved in the year ended December 31, 2023 contributing to the change in warranty expense captured in “Change in discount rate” in the table above. Under the expected present value technique, increasing the profit element and risk premium input by 100 basis points would result in a $1.2 million increase to the liability. Decreasing the profit element and risk premium by 100 basis points would result in a $1.2 million reduction of the liability. Increasing the discount rate by 100 basis points would result in a $10.1 million reduction of the liability. Decreasing the discount rate by 100 basis points would result in a $10.9 million increase to the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2560320</wp:posOffset>
            </wp:positionV>
            <wp:extent cx="69361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type w:val="continuous"/>
        </w:sectPr>
      </w:pPr>
    </w:p>
    <w:bookmarkStart w:id="99" w:name="page100"/>
    <w:bookmarkEnd w:id="9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hanging="435"/>
        <w:spacing w:after="0"/>
        <w:tabs>
          <w:tab w:leader="none" w:pos="44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RESTRUCTURING AND ASSET IMPAIRMENT CHARGES</w:t>
      </w:r>
    </w:p>
    <w:p>
      <w:pPr>
        <w:spacing w:after="0" w:line="174"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7"/>
          <w:szCs w:val="17"/>
          <w:color w:val="auto"/>
        </w:rPr>
        <w:t>During the year ended December 31, 2022, the Company implemented restructuring actions to reorganize the global workforce, consolidate facilities and eliminate non-core projects, which was completed in the second quarter of 2023. The Company incurred $2.4 million and $0.8 million in the years ended December 31, 2022 and 2023,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Restructuring Plan</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the fourth quarter of 2023, the Company implemented a new restructuring plan (the “2023 Restructuring Plan”) designed to increase operational efficiencies and execution, reduce operating costs, and better align the Company’s workforce and cost structure with current market conditions, and the Company’s business needs, strategic priorities and ongoing commitment to profitable growth. The Company plans to complete its restructuring activities under the 2023 Restructuring Plan in 2024.</w:t>
      </w:r>
    </w:p>
    <w:p>
      <w:pPr>
        <w:spacing w:after="0" w:line="6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details of the Company’s restructuring and asset impairment charges and accrued balance under the 2023</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Restructuring Plan:</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Arial" w:cs="Arial" w:eastAsia="Arial" w:hAnsi="Arial"/>
                <w:sz w:val="14"/>
                <w:szCs w:val="14"/>
                <w:b w:val="1"/>
                <w:bCs w:val="1"/>
                <w:color w:val="auto"/>
              </w:rPr>
              <w:t>Employee Severance and</w:t>
            </w:r>
          </w:p>
        </w:tc>
        <w:tc>
          <w:tcPr>
            <w:tcW w:w="2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Contract</w:t>
            </w:r>
          </w:p>
        </w:tc>
        <w:tc>
          <w:tcPr>
            <w:tcW w:w="15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Asset Impairment</w:t>
            </w:r>
          </w:p>
        </w:tc>
        <w:tc>
          <w:tcPr>
            <w:tcW w:w="340" w:type="dxa"/>
            <w:vAlign w:val="bottom"/>
          </w:tcPr>
          <w:p>
            <w:pPr>
              <w:spacing w:after="0"/>
              <w:rPr>
                <w:sz w:val="14"/>
                <w:szCs w:val="14"/>
                <w:color w:val="auto"/>
              </w:rPr>
            </w:pPr>
          </w:p>
        </w:tc>
        <w:tc>
          <w:tcPr>
            <w:tcW w:w="1080" w:type="dxa"/>
            <w:vAlign w:val="bottom"/>
            <w:vMerge w:val="restart"/>
          </w:tcPr>
          <w:p>
            <w:pPr>
              <w:jc w:val="right"/>
              <w:ind w:right="4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4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00" w:type="dxa"/>
            <w:vAlign w:val="bottom"/>
            <w:vMerge w:val="restart"/>
          </w:tcPr>
          <w:p>
            <w:pPr>
              <w:jc w:val="right"/>
              <w:ind w:right="583"/>
              <w:spacing w:after="0"/>
              <w:rPr>
                <w:sz w:val="20"/>
                <w:szCs w:val="20"/>
                <w:color w:val="auto"/>
              </w:rPr>
            </w:pPr>
            <w:r>
              <w:rPr>
                <w:rFonts w:ascii="Arial" w:cs="Arial" w:eastAsia="Arial" w:hAnsi="Arial"/>
                <w:sz w:val="14"/>
                <w:szCs w:val="14"/>
                <w:b w:val="1"/>
                <w:bCs w:val="1"/>
                <w:color w:val="auto"/>
              </w:rPr>
              <w:t>Benefits</w:t>
            </w:r>
          </w:p>
        </w:tc>
        <w:tc>
          <w:tcPr>
            <w:tcW w:w="80" w:type="dxa"/>
            <w:vAlign w:val="bottom"/>
            <w:vMerge w:val="restart"/>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Termination Charges</w:t>
            </w:r>
          </w:p>
        </w:tc>
        <w:tc>
          <w:tcPr>
            <w:tcW w:w="80" w:type="dxa"/>
            <w:vAlign w:val="bottom"/>
            <w:vMerge w:val="restart"/>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48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440" w:type="dxa"/>
            <w:vAlign w:val="bottom"/>
            <w:tcBorders>
              <w:bottom w:val="single" w:sz="8" w:color="auto"/>
            </w:tcBorders>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right"/>
              <w:ind w:right="284"/>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w w:val="89"/>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44"/>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820" w:type="dxa"/>
            <w:vAlign w:val="bottom"/>
          </w:tcPr>
          <w:p>
            <w:pPr>
              <w:ind w:left="140"/>
              <w:spacing w:after="0"/>
              <w:rPr>
                <w:sz w:val="20"/>
                <w:szCs w:val="20"/>
                <w:color w:val="auto"/>
              </w:rPr>
            </w:pPr>
            <w:r>
              <w:rPr>
                <w:rFonts w:ascii="Arial" w:cs="Arial" w:eastAsia="Arial" w:hAnsi="Arial"/>
                <w:sz w:val="16"/>
                <w:szCs w:val="16"/>
                <w:color w:val="auto"/>
              </w:rPr>
              <w:t>Charges</w:t>
            </w:r>
          </w:p>
        </w:tc>
        <w:tc>
          <w:tcPr>
            <w:tcW w:w="380" w:type="dxa"/>
            <w:vAlign w:val="bottom"/>
          </w:tcPr>
          <w:p>
            <w:pPr>
              <w:spacing w:after="0"/>
              <w:rPr>
                <w:sz w:val="18"/>
                <w:szCs w:val="18"/>
                <w:color w:val="auto"/>
              </w:rPr>
            </w:pPr>
          </w:p>
        </w:tc>
        <w:tc>
          <w:tcPr>
            <w:tcW w:w="1500" w:type="dxa"/>
            <w:vAlign w:val="bottom"/>
          </w:tcPr>
          <w:p>
            <w:pPr>
              <w:jc w:val="right"/>
              <w:ind w:right="3"/>
              <w:spacing w:after="0"/>
              <w:rPr>
                <w:sz w:val="20"/>
                <w:szCs w:val="20"/>
                <w:color w:val="auto"/>
              </w:rPr>
            </w:pPr>
            <w:r>
              <w:rPr>
                <w:rFonts w:ascii="Arial" w:cs="Arial" w:eastAsia="Arial" w:hAnsi="Arial"/>
                <w:sz w:val="16"/>
                <w:szCs w:val="16"/>
                <w:color w:val="auto"/>
              </w:rPr>
              <w:t>1,374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3,700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9,829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14,903</w:t>
            </w: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Non-cash settlement and other</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(9,829)</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2023</w:t>
            </w: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4"/>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3030855</wp:posOffset>
            </wp:positionV>
            <wp:extent cx="69361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0" w:name="page101"/>
    <w:bookmarkEnd w:id="10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tab/>
        <w:t>DEBT</w:t>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regarding the Company’s debt:</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6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8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r>
      <w:tr>
        <w:trPr>
          <w:trHeight w:val="225"/>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4"/>
          </w:tcPr>
          <w:p>
            <w:pPr>
              <w:jc w:val="right"/>
              <w:ind w:right="962"/>
              <w:spacing w:after="0"/>
              <w:rPr>
                <w:sz w:val="20"/>
                <w:szCs w:val="20"/>
                <w:color w:val="auto"/>
              </w:rPr>
            </w:pPr>
            <w:r>
              <w:rPr>
                <w:rFonts w:ascii="Arial" w:cs="Arial" w:eastAsia="Arial" w:hAnsi="Arial"/>
                <w:sz w:val="14"/>
                <w:szCs w:val="14"/>
                <w:i w:val="1"/>
                <w:iCs w:val="1"/>
                <w:color w:val="auto"/>
              </w:rPr>
              <w:t>(In thousands)</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Notes due 2028</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575,000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575,000</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unamortized debt issuance costs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w:t>
            </w:r>
          </w:p>
        </w:tc>
      </w:tr>
      <w:tr>
        <w:trPr>
          <w:trHeight w:val="202"/>
        </w:trPr>
        <w:tc>
          <w:tcPr>
            <w:tcW w:w="8260" w:type="dxa"/>
            <w:vAlign w:val="bottom"/>
          </w:tcPr>
          <w:p>
            <w:pPr>
              <w:ind w:left="340"/>
              <w:spacing w:after="0"/>
              <w:rPr>
                <w:sz w:val="20"/>
                <w:szCs w:val="20"/>
                <w:color w:val="auto"/>
              </w:rPr>
            </w:pPr>
            <w:r>
              <w:rPr>
                <w:rFonts w:ascii="Arial" w:cs="Arial" w:eastAsia="Arial" w:hAnsi="Arial"/>
                <w:sz w:val="16"/>
                <w:szCs w:val="16"/>
                <w:color w:val="auto"/>
              </w:rPr>
              <w:t>Carrying amount of Notes due 2028</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569,592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568,295</w:t>
            </w:r>
          </w:p>
        </w:tc>
      </w:tr>
      <w:tr>
        <w:trPr>
          <w:trHeight w:val="250"/>
        </w:trPr>
        <w:tc>
          <w:tcPr>
            <w:tcW w:w="8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Notes due 2026</w:t>
            </w: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632,500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632,500</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unamortized debt issuance costs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(6,307)</w:t>
            </w:r>
          </w:p>
        </w:tc>
      </w:tr>
      <w:tr>
        <w:trPr>
          <w:trHeight w:val="202"/>
        </w:trPr>
        <w:tc>
          <w:tcPr>
            <w:tcW w:w="8260" w:type="dxa"/>
            <w:vAlign w:val="bottom"/>
          </w:tcPr>
          <w:p>
            <w:pPr>
              <w:ind w:left="340"/>
              <w:spacing w:after="0"/>
              <w:rPr>
                <w:sz w:val="20"/>
                <w:szCs w:val="20"/>
                <w:color w:val="auto"/>
              </w:rPr>
            </w:pPr>
            <w:r>
              <w:rPr>
                <w:rFonts w:ascii="Arial" w:cs="Arial" w:eastAsia="Arial" w:hAnsi="Arial"/>
                <w:sz w:val="16"/>
                <w:szCs w:val="16"/>
                <w:color w:val="auto"/>
              </w:rPr>
              <w:t>Carrying amount of Notes due 2026</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628,183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626,193</w:t>
            </w:r>
          </w:p>
        </w:tc>
      </w:tr>
      <w:tr>
        <w:trPr>
          <w:trHeight w:val="250"/>
        </w:trPr>
        <w:tc>
          <w:tcPr>
            <w:tcW w:w="8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Notes due 2025</w:t>
            </w: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102,175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102,175</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unamortized debt discount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(10,229)</w:t>
            </w:r>
          </w:p>
        </w:tc>
      </w:tr>
      <w:tr>
        <w:trPr>
          <w:trHeight w:val="20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unamortized debt issuance costs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r>
      <w:tr>
        <w:trPr>
          <w:trHeight w:val="20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Carrying amount of Notes due 2025</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95,963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90,892</w:t>
            </w:r>
          </w:p>
        </w:tc>
      </w:tr>
      <w:tr>
        <w:trPr>
          <w:trHeight w:val="249"/>
        </w:trPr>
        <w:tc>
          <w:tcPr>
            <w:tcW w:w="8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due 2023</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0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unamortized issuance costs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Carrying amount of Notes due 2023</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4,977</w:t>
            </w:r>
          </w:p>
        </w:tc>
      </w:tr>
      <w:tr>
        <w:trPr>
          <w:trHeight w:val="210"/>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carrying amount of debt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1,293,738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1,290,357</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Less: debt, current</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(90,892)</w:t>
            </w:r>
          </w:p>
        </w:tc>
      </w:tr>
      <w:tr>
        <w:trPr>
          <w:trHeight w:val="229"/>
        </w:trPr>
        <w:tc>
          <w:tcPr>
            <w:tcW w:w="8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Debt, non-current</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1,293,738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1,199,465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982345</wp:posOffset>
            </wp:positionV>
            <wp:extent cx="69361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1" w:name="page102"/>
    <w:bookmarkEnd w:id="10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total amount of interest cost recognized in the consolidated statement of operations relating to the Notes: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6"/>
                <w:szCs w:val="16"/>
                <w:color w:val="auto"/>
              </w:rPr>
            </w:pPr>
          </w:p>
        </w:tc>
      </w:tr>
      <w:tr>
        <w:trPr>
          <w:trHeight w:val="190"/>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r>
      <w:tr>
        <w:trPr>
          <w:trHeight w:val="225"/>
        </w:trPr>
        <w:tc>
          <w:tcPr>
            <w:tcW w:w="8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40" w:type="dxa"/>
            <w:vAlign w:val="bottom"/>
            <w:gridSpan w:val="3"/>
          </w:tcPr>
          <w:p>
            <w:pPr>
              <w:jc w:val="right"/>
              <w:ind w:right="442"/>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9"/>
                <w:szCs w:val="19"/>
                <w:color w:val="auto"/>
              </w:rPr>
            </w:pPr>
          </w:p>
        </w:tc>
      </w:tr>
      <w:tr>
        <w:trPr>
          <w:trHeight w:val="214"/>
        </w:trPr>
        <w:tc>
          <w:tcPr>
            <w:tcW w:w="8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Notes due 2028</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of debt issuance costs</w:t>
            </w: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1,297</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w:t>
            </w:r>
          </w:p>
        </w:tc>
      </w:tr>
      <w:tr>
        <w:trPr>
          <w:trHeight w:val="20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 cost recognized</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1,297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r>
      <w:tr>
        <w:trPr>
          <w:trHeight w:val="262"/>
        </w:trPr>
        <w:tc>
          <w:tcPr>
            <w:tcW w:w="8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due 2026</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of debt issuance costs</w:t>
            </w: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1,990</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w:t>
            </w:r>
          </w:p>
        </w:tc>
      </w:tr>
      <w:tr>
        <w:trPr>
          <w:trHeight w:val="204"/>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interest cost recognized</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w:t>
            </w:r>
          </w:p>
        </w:tc>
      </w:tr>
      <w:tr>
        <w:trPr>
          <w:trHeight w:val="249"/>
        </w:trPr>
        <w:tc>
          <w:tcPr>
            <w:tcW w:w="8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due 2025</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Contractual interest expense</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discount</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4,585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4,355</w:t>
            </w:r>
          </w:p>
        </w:tc>
      </w:tr>
      <w:tr>
        <w:trPr>
          <w:trHeight w:val="20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of debt issuance costs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204"/>
        </w:trPr>
        <w:tc>
          <w:tcPr>
            <w:tcW w:w="8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interest cost recognized</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5,327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w:t>
            </w:r>
          </w:p>
        </w:tc>
      </w:tr>
      <w:tr>
        <w:trPr>
          <w:trHeight w:val="249"/>
        </w:trPr>
        <w:tc>
          <w:tcPr>
            <w:tcW w:w="8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due 2023</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Contractual interest expense</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issuance costs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0"/>
        </w:trPr>
        <w:tc>
          <w:tcPr>
            <w:tcW w:w="8260" w:type="dxa"/>
            <w:vAlign w:val="bottom"/>
          </w:tcPr>
          <w:p>
            <w:pPr>
              <w:ind w:left="240"/>
              <w:spacing w:after="0"/>
              <w:rPr>
                <w:sz w:val="20"/>
                <w:szCs w:val="20"/>
                <w:color w:val="auto"/>
              </w:rPr>
            </w:pPr>
            <w:r>
              <w:rPr>
                <w:rFonts w:ascii="Arial" w:cs="Arial" w:eastAsia="Arial" w:hAnsi="Arial"/>
                <w:sz w:val="16"/>
                <w:szCs w:val="16"/>
                <w:color w:val="auto"/>
              </w:rPr>
              <w:t>Total interest costs recognized</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7"/>
                <w:szCs w:val="17"/>
                <w:color w:val="auto"/>
              </w:rPr>
            </w:pP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240</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Senior Notes due 2028</w:t>
      </w:r>
    </w:p>
    <w:p>
      <w:pPr>
        <w:spacing w:after="0" w:line="121"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On March 1, 2021, the Company issued $575.0 million aggregate principal amount of its 0.0% convertible senior notes due 2028 (the “Notes due 2028”). The Notes due 2028 will not bear regular interest, and the principal amount of the Notes due 2028 will not accrete. The Notes due 2028 are general unsecured obligations and are governed by an indenture between the Company and U.S. Bank National Association, as trustee. The Notes due 2028 will mature on March 1, 2028, unless earlier repurchased by the Company or converted at the option of the holders. The Company received approximately $566.4 million in net proceeds, after deducting the initial purchasers’ discount, from the issuance of the Notes due 2028.</w:t>
      </w:r>
    </w:p>
    <w:p>
      <w:pPr>
        <w:spacing w:after="0" w:line="276"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The initial conversion rate for the Notes due 2028 is 3.5104 shares of common stock per $1,000 principal amount of the Notes due 2028 (which represents an initial conversion price of approximately $284.87 per share). The conversion rate for the Notes due 2028 will be subject to adjustment upon the occurrence of certain specified events but will not be adjusted for any accrued and unpaid special interest, if any. In addition, if a make-whole fundamental change or a redemption with respect to the Notes due 2028 occurs prior to the maturity date, under certain circumstances as specified in the relevant indenture, the Company will increase the conversion rate for the Notes due 2028 by a number of additional shares of the Company’s common stock for a holder that elects to convert its notes in connection with such make-whole fundamental change or redemption. Upon conversion, the Company will settle conversions of the Notes due 2028 through payment or delivery, as the case may be, of cash, shares of its common stock or a combination of cash and shares of its common stock, at the Company’s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479425</wp:posOffset>
            </wp:positionV>
            <wp:extent cx="69361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2" w:name="page103"/>
    <w:bookmarkEnd w:id="10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The Company may not redeem the Notes due 2028 prior to September 6, 2024. The Company may redeem for cash all or any portion of the Notes due 2028, at the Company’s election, on or after September 6, 2024, if the last reported sale price of the Company’s common stock has been greater than or equal to 130% of the conversion price then in effect for the Notes due 2028 (</w:t>
      </w:r>
      <w:r>
        <w:rPr>
          <w:rFonts w:ascii="Arial" w:cs="Arial" w:eastAsia="Arial" w:hAnsi="Arial"/>
          <w:sz w:val="17"/>
          <w:szCs w:val="17"/>
          <w:i w:val="1"/>
          <w:iCs w:val="1"/>
          <w:color w:val="auto"/>
        </w:rPr>
        <w:t>i.e.,</w:t>
      </w:r>
      <w:r>
        <w:rPr>
          <w:rFonts w:ascii="Arial" w:cs="Arial" w:eastAsia="Arial" w:hAnsi="Arial"/>
          <w:sz w:val="17"/>
          <w:szCs w:val="17"/>
          <w:color w:val="auto"/>
        </w:rPr>
        <w:t xml:space="preserve"> $370.33, which is 130% of the current conversion price for the Notes due 2028) for at least 20 trading days (whether or not consecutive) during any 30 consecutive trading day period ending on, and including, the trading day immediately preceding the date on which the Company provides notice of redemption. The redemption price will equal 100% of the principal amount of the Notes due 2028 to be redeemed, plus accrued and unpaid special interest, if any to, but excluding, the relevant redemption date. No sinking fund is provided for the Notes due 2028.</w:t>
      </w:r>
    </w:p>
    <w:p>
      <w:pPr>
        <w:spacing w:after="0" w:line="68" w:lineRule="exact"/>
        <w:rPr>
          <w:sz w:val="20"/>
          <w:szCs w:val="20"/>
          <w:color w:val="auto"/>
        </w:rPr>
      </w:pPr>
    </w:p>
    <w:p>
      <w:pPr>
        <w:jc w:val="both"/>
        <w:ind w:firstLine="472"/>
        <w:spacing w:after="0" w:line="254" w:lineRule="auto"/>
        <w:rPr>
          <w:sz w:val="20"/>
          <w:szCs w:val="20"/>
          <w:color w:val="auto"/>
        </w:rPr>
      </w:pPr>
      <w:r>
        <w:rPr>
          <w:rFonts w:ascii="Arial" w:cs="Arial" w:eastAsia="Arial" w:hAnsi="Arial"/>
          <w:sz w:val="17"/>
          <w:szCs w:val="17"/>
          <w:color w:val="auto"/>
        </w:rPr>
        <w:t>The Notes due 2028 may be converted on any day prior to the close of business on the business day immediately preceding September 1, 2027, in multiples of $1,000 principal amount, at the option of the holder only under any of the following circumstances: (1) during any calendar quarter commencing after the calendar quarter ending on June 30,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due 2028 (</w:t>
      </w:r>
      <w:r>
        <w:rPr>
          <w:rFonts w:ascii="Arial" w:cs="Arial" w:eastAsia="Arial" w:hAnsi="Arial"/>
          <w:sz w:val="17"/>
          <w:szCs w:val="17"/>
          <w:i w:val="1"/>
          <w:iCs w:val="1"/>
          <w:color w:val="auto"/>
        </w:rPr>
        <w:t>i.e.</w:t>
      </w:r>
      <w:r>
        <w:rPr>
          <w:rFonts w:ascii="Arial" w:cs="Arial" w:eastAsia="Arial" w:hAnsi="Arial"/>
          <w:sz w:val="17"/>
          <w:szCs w:val="17"/>
          <w:color w:val="auto"/>
        </w:rPr>
        <w:t>, $370.33 which is 130% of the current conversion price for the Notes due 2028)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for the Notes due 2028 on each such trading day; (3) if the Company calls any or all of the Notes due 2028 for redemption, at any time prior to the close of business on the scheduled trading day immediately preceding the redemption date; or (4) upon the occurrence of specified corporate events. On and after September 1, 2027 until the close of business on the second scheduled trading day immediately preceding the maturity date of March 1, 2028, holders of the Notes due 2028 may convert their notes at any time, regardless of the foregoing circumstances. Upon the occurrence of a fundamental change (as defined in the relevant indenture), holders may require the Company to repurchase all or a portion of their Notes due 2028 for cash at a price equal to 100% of the principal amount of the notes to be repurchased plus any accrued and unpaid special interest, if any, to, but excluding, the fundamental change repurchase date.</w:t>
      </w:r>
    </w:p>
    <w:p>
      <w:pPr>
        <w:spacing w:after="0" w:line="280"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Following the adoption ASU 2020-06, “Debt - Debt with Conversion and Other Options (subtopic 470-20)” (“ASU 2020-06”) as of January 1, 2022, the Company no longer records the conversion feature of Notes due 2028 in equity. Instead, the Company combined the previously separated equity component with the liability component, which together is now classified as debt, thereby eliminating the subsequent amortization of the debt discount as interest expense. Similarly, the portion of issuance costs previously allocated to equity was reclassified to the carrying amount of Notes due 2028 and is amortized over the remaining term of the notes. Accordingly, the Company recorded a net decrease to additional paid-in capital by approximately $117.3 million, net of tax to remove the equity component separately recorded for the conversion features associated with the Notes due 2028 and equity component associated with the issuance costs, an increase of approximately $141.3 million in the carrying value of Notes due 2028 to reflect the full principal amount of the Notes due 2028, net of issuance costs, a decrease to deferred tax liability of approximately $36.0 million, and a decrease to accumulated deficit of approximately $12.0 million, net of tax in the Company’s consolidated balance sheet with no impact on the Company’s consolidated statements of operations. As of December 31, 2023, the unamortized deferred issuance cost for the Notes due 2028 was $5.4 million on the consolidated balance sheet.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2028 Hedge and Warrant Transactions</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In connection with the offering of the Notes due 2028, the Company entered into privately-negotiated convertible note hedge transactions (“Notes due 2028 Hedge”) pursuant to which the Company has the option to purchase a total of approximately 2.0 million shares of its common stock (subject to anti-dilution adjustments), which is the same number of shares initially issuable upon conversion of the Notes due 2028, at a price of $284.87 per share, which is the initial conversion price of the Notes due 2028. The total cost of the convertible note hedge transactions was approximately $ 161.6 million. The convertible note hedge transactions are expected generally to reduce potential dilution to the Company’s common stock upon any conversion of the Notes due 2028 and/or offset any cash payments the Company is required to make in excess of the principal amount of converted notes,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3" w:name="page104"/>
    <w:bookmarkEnd w:id="10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Additionally, the Company separately entered into privately-negotiated warrant transactions (the “2028 Warrants”) whereby the Company sold warrants to acquire approximately 2.0 million shares of the Company’s common stock (subject to anti-dilution adjustments) at an initial strike price of $397.91 per share. The Company received aggregate proceeds of approximately $123.4 million from the sale of the 2028 Warrants. If the market value per share of the Company’s common stock, as measured under the 2028 Warrants, exceeds the strike price of the 2028 Warrants, the 2028 Warrants will have a dilutive effect on the Company’s earnings per share, unless the Company elects, subject to certain conditions, to settle the 2028 Warrants in cash. Taken together, the purchase of the Notes due 2028 Hedge and the sale of the 2028 Warrants are intended to reduce potential dilution from the conversion of the Notes due 2028 and to effectively increase the overall conversion price from $284.87 to $397.91 per share. The 2028 Warrants are only exercisable on the applicable expiration dates in accordance with the Notes due 2028 Hedge. Subject to the other terms of the 2028 Warrants, the first expiration date applicable to the Notes due 2028 Hedge is June 1, 2028, and the final expiration date applicable to the Notes due 2028 Hedge is July 27, 2028.</w:t>
      </w:r>
    </w:p>
    <w:p>
      <w:pPr>
        <w:spacing w:after="0" w:line="6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Given that the transactions meet certain accounting criteria, the Notes due 2028 Hedge and the 2028 Warrants transactions are recorded in stockholders’ equity, and they are not accounted for as derivatives and are not remeasured each reporting period.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Senior Notes due 2026</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On March 1, 2021, the Company issued $ 575.0 million aggregate principal amount of 0.0% convertible senior notes due 2026 (the “Notes due 2026”). In addition, on March 12, 2021, the Company issued an additional $57.5 million aggregate principal amount of the Notes due 2026 pursuant to the initial purchasers’ full exercise of the over-allotment option for additional Notes due 2026. The Notes due 2026 will not bear regular interest, and the principal amount of the Notes due 2026 will not accrete. The Notes due 2026 are general unsecured obligations and are governed by an indenture between the Company and U.S. Bank National Association, as trustee. The Notes due 2026 will mature on March 1, 2026, unless repurchased earlier by the Company or converted at the option of the holders. The Company received approximately $623.0 million in net proceeds, after deducting the initial purchasers’ discount, from the issuance of the Notes due 2026.</w:t>
      </w:r>
    </w:p>
    <w:p>
      <w:pPr>
        <w:spacing w:after="0" w:line="68"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The initial conversion rate for the Notes due 2026 is 3.2523 shares of common stock per $1,000 principal amount of the Notes due 2026 (which represents an initial conversion price of approximately $ 307.47 per share). The conversion rate for the Notes due 2026 will be subject to adjustment upon the occurrence of certain specified events but will not be adjusted for accrued and unpaid interest. In addition, if a make-whole fundamental change or a redemption with respect to the Notes due 2026 occurs prior to the maturity date, under certain circumstances as specified in the relevant indenture, the Company will increase the conversion rate for the Notes due 2026 by a number of additional shares of the Company’s common stock for a holder that elects to convert its notes in connection with such make-whole fundamental change or redemption. Upon conversion, the Company will settle conversions of Notes due 2026 through payment or delivery, as the case may be, of cash, shares of its common stock or a combination of cash and shares of its common stock, at the Company’s election.</w:t>
      </w:r>
    </w:p>
    <w:p>
      <w:pPr>
        <w:spacing w:after="0" w:line="70"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The Company may not redeem the Notes due 2026 prior to the September 6, 2023. The Company may redeem for cash all or any portion of the Notes due 2026, at the Company’s election, on or after September 6, 2023, if the last reported sale price of the Company’s common stock has been greater than or equal to 130% of the conversion price then in effect for the Notes due 2026 (</w:t>
      </w:r>
      <w:r>
        <w:rPr>
          <w:rFonts w:ascii="Arial" w:cs="Arial" w:eastAsia="Arial" w:hAnsi="Arial"/>
          <w:sz w:val="17"/>
          <w:szCs w:val="17"/>
          <w:i w:val="1"/>
          <w:iCs w:val="1"/>
          <w:color w:val="auto"/>
        </w:rPr>
        <w:t>i.e</w:t>
      </w:r>
      <w:r>
        <w:rPr>
          <w:rFonts w:ascii="Arial" w:cs="Arial" w:eastAsia="Arial" w:hAnsi="Arial"/>
          <w:sz w:val="17"/>
          <w:szCs w:val="17"/>
          <w:color w:val="auto"/>
        </w:rPr>
        <w:t>., $399.71, which is 130% of the current conversion price for the Notes due 2026) for at least 20 trading days (whether or not consecutive) during a period of 30 consecutive trading day period ending on, and including, the trading day immediately preceding the date on which the Company provides notice of redemption. The redemption price will equal 100% of the principal amount of the Notes due 2026 to be redeemed, plus accrued and unpaid special interest, if any, to, but excluding, the relevant redemption date for the Notes due 2026. The redemption price will be increased as described in the relevant indentures by a number of additional shares of the Company in connection with such optional redemption by the Company. No sinking fund is provided for the Notes due 2026.</w:t>
      </w:r>
    </w:p>
    <w:p>
      <w:pPr>
        <w:spacing w:after="0" w:line="73"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Notes due 2026 may be converted on any day prior to the close of business on the business day immediately preceding September 1, 2025, in multiples of $1,000 principal amount, at the option of the holder only under any of the following circumstances: (1) during any calendar quarter commencing after the calendar quarter ending on June 30, 2021 (and only during such calendar quarter), if the last reported sale price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4" w:name="page105"/>
    <w:bookmarkEnd w:id="10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common stock for at least 20 trading days (whether or not consecutive) during a period of 30 consecutive trading days ending on, and including, the last trading day of the immediately preceding calendar quarter is greater than or equal to 130% of the conversion price of the Notes due 2026 (</w:t>
      </w:r>
      <w:r>
        <w:rPr>
          <w:rFonts w:ascii="Arial" w:cs="Arial" w:eastAsia="Arial" w:hAnsi="Arial"/>
          <w:sz w:val="17"/>
          <w:szCs w:val="17"/>
          <w:i w:val="1"/>
          <w:iCs w:val="1"/>
          <w:color w:val="auto"/>
        </w:rPr>
        <w:t>i.e</w:t>
      </w:r>
      <w:r>
        <w:rPr>
          <w:rFonts w:ascii="Arial" w:cs="Arial" w:eastAsia="Arial" w:hAnsi="Arial"/>
          <w:sz w:val="17"/>
          <w:szCs w:val="17"/>
          <w:color w:val="auto"/>
        </w:rPr>
        <w:t>., $399.71, which is 130% of the current conversion price for the Notes due 2026)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for Notes due 2026 on each such trading day; (3) if the Company calls any or all of the Notes due 2026 for redemption, at any time prior to the close of business on the scheduled trading day immediately preceding the redemption date; or (4) upon the occurrence of specified corporate events. On and after September 1, 2025 until the close of business on the second scheduled trading day immediately preceding the maturity date of March 1, 2026, holders of the Notes due 2026 may convert their notes at any time, regardless of the foregoing circumstances. Upon the occurrence of a fundamental change (as defined in the relevant indenture), holders may require the Company to repurchase all or a portion of their Notes due 2026 for cash at a price equal to 100% of the principal amount of the notes to be repurchased plus any accrued and unpaid special interest, if any, to, but excluding, the fundamental change repurchase date.</w:t>
      </w:r>
    </w:p>
    <w:p>
      <w:pPr>
        <w:spacing w:after="0" w:line="282"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Following the adoption of ASU 2020-06 as of January 1, 2022, the Company no longer records the conversion feature of Notes due 2026 in equity. Instead, the Company combined the previously separated equity component with the liability component, which together is now classified as debt, thereby eliminating the subsequent amortization of the debt discount. Similarly, the portion of issuance costs previously allocated to equity was reclassified to the carrying amount debt and is amortized over the remaining term of the notes. Accordingly, the Company recorded a net decrease to additional paid-in capital by approximately $ 90.6 million, net of tax to remove the equity component separately recorded for the conversion features associated with the Notes due 2026 and equity component associated with the issuance costs, an increase of approximately $103.2 million in the carrying value of its Notes due 2026 to reflect the full principal amount of the Notes due 2026 outstanding net of issuance costs, a decrease to deferred tax liability of approximately $26.3 million, and a decrease to accumulated deficit of approximately $13.7 million, net of tax in the Company’s consolidated balance sheet with no impact on the Company’s consolidated statements of operations. As of December 31, 2023, the unamortized deferred issuance cost for the Notes due 2026 was $4.3 million on the consolidated balance sheet.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2026 Hedge and Warrant Transactions</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In connection with the offering of the Notes due 2026 (including in connection with the issuance of additional Notes due 2026 upon the initial purchasers’ exercise of their over-allotment option), the Company entered into privately-negotiated convertible note hedge transactions (the “Notes due 2026 Hedge”) pursuant to which the Company has the option to purchase a total of approximately 2.1 million shares of its common stock (subject to anti-dilution adjustments), which is the same number of shares initially issuable upon conversion of the Notes due 2026, at a price of $307.47 per share, which is the initial conversion price of the Notes due 2026. The total cost of the Notes due 2026 Hedge was approximately $124.6 million. The Notes due 2026 Hedge are expected generally to reduce potential dilution to the Company’s common stock upon any conversion of the Notes due 2026 and/or offset any cash payments the Company is required to make in excess of the principal amount of converted notes,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620395</wp:posOffset>
            </wp:positionV>
            <wp:extent cx="69361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5" w:name="page106"/>
    <w:bookmarkEnd w:id="10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Additionally, the Company separately entered into privately-negotiated warrant transactions, including in connection with the issuance of additional Notes due 2026 upon the initial purchasers’ exercise of their over-allotment option (the “2026 Warrants”), whereby the Company sold warrants to acquire approximately 2.1 million shares of the Company’s common stock (subject to anti-dilution adjustments) at an initial strike price of $397.91 per share. The Company received aggregate proceeds of approximately $97.4 million from the sale of the 2026 Warrants. If the market value per share of the Company’s common stock, as measured under the 2026 Warrants, exceeds the strike price of the 2026 Warrants, the 2026 Warrants will have a dilutive effect on the Company’s earnings per share, unless the Company elects, subject to certain conditions, to settle the 2026 Warrants in cash. Taken together, the purchase of the Notes due 2026 Hedge and the sale of the 2026 Warrants are intended to reduce potential dilution from the conversion of the Notes due 2026 and to effectively increase the overall conversion price from $307.47 to $397.91 per share. The 2026 Warrants are only exercisable on the applicable expiration dates in accordance with the 2026 Warrants. Subject to the other terms of the 2026 Warrants, the first expiration date applicable to the Warrants is June 1, 2026, and the final expiration date applicable to the 2026 Warrants is July 27, 2026.</w:t>
      </w:r>
    </w:p>
    <w:p>
      <w:pPr>
        <w:spacing w:after="0" w:line="7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Given that the transactions meet certain accounting criteria, the Notes due 2026 Hedge and the 2026 Warrants transactions are recorded in stockholders’ equity, and they are not accounted for as derivatives and are not remeasured each reporting period.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Senior Notes due 2025</w:t>
      </w:r>
    </w:p>
    <w:p>
      <w:pPr>
        <w:spacing w:after="0" w:line="121"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On March 9, 2020, the Company issued $320.0 million aggregate principal amount of its 0.25% convertible senior notes due 2025 (the “Notes due 2025”). The Notes due 2025 are general unsecured obligations and bear interest at an annual rate of 0.25% per year, payable semi-annually on March 1 and September 1 of each year. The Notes due 2025 are governed by an indenture between the Company and U.S. Bank National Association, as trustee. The Notes due 2025 will mature on March 1, 2025, unless earlier repurchased by the Company or converted at the option of the holders. The Company may not redeem the notes prior to the maturity date, and no sinking fund is provided for the notes. The Notes due 2025 may be converted, under certain circumstances as described below, based on an initial conversion rate of 12.2637 shares of common stock per $1,000 principal amount (which represents an initial conversion price of $81.54 per share). The conversion rate for the Notes due 2025 will be subject to adjustment upon the occurrence of certain specified events but will not be adjusted for accrued and unpaid interest. In addition, upon the occurrence of a make-whole fundamental change (as defined in the relevant indenture), the Company will, in certain circumstances, increase the conversion rate by a number of additional shares for a holder that elects to convert its notes in connection with such make-whole fundamental change. The Company received approximately $313.0 million in net proceeds, after deducting the initial purchasers’ discount, from the issuance of the Notes due 2025.</w:t>
      </w:r>
    </w:p>
    <w:p>
      <w:pPr>
        <w:spacing w:after="0" w:line="72"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The Notes due 2025 may be converted prior to the close of business on the business day immediately preceding September 1, 2024, in multiples of $1,000 principal amount, at the option of the holder only under the following circumstances: (1) during any calendar quarter commencing after the calendar quarter ending on June 30, 2020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and after September 1, 2024 until the close of business on the second scheduled trading day immediately preceding the maturity date of March 1, 2025, holders may convert their notes at any time, regardless of the foregoing circumstances. Upon the occurrence of a fundamental change (as defined in the relevant indenture), holders may require the Company to repurchase all or a portion of their Notes due 2025 for cash at a price equal to 100% of the principal amount of the notes to be repurchased plus any accrued and unpaid interest to, but excluding, the fundamental change repurchase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487680</wp:posOffset>
            </wp:positionV>
            <wp:extent cx="69361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6" w:name="page107"/>
    <w:bookmarkEnd w:id="10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As of December 31, 2023 the sale price of the Company’s common stock was not greater than or equal to $106.00 (130% of the notes conversion price) for at least 20 trading days (whether consecutive or not) during a period of 30 consecutive trading days preceding the quarter-ended December 31, 2023. As a result, the Notes due 2025 are not convertible at the holders’ option through March 31, 2024. Accordingly, the Company classified the net carrying amount of the Notes due 2025 of $96.0 million as Debt, non -current on the consolidated balance sheet as of December 31, 2023. On December 29, 2023, the Company received a request for conversion of $2.0 thousand in the principal amount of the Notes due 2025, of which the Company has elected to settle the aggregate principal amount of the Notes due 2025 in a combination of cash and any excess in shares of the Company’s common stock in accordance with the applicable indenture. Such conversion will be settled in February 2024.</w:t>
      </w:r>
    </w:p>
    <w:p>
      <w:pPr>
        <w:spacing w:after="0" w:line="278"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As of December 31, 2022, the sale price of the Company’s common stock was greater than or equal to $106.00 (130% of the notes conversion price) for at least 20 trading days (whether consecutive or not) during a period of 30 consecutive trading days preceding the quarter-ended December 31, 2022. Accordingly, the Company classified the net carrying amount of the Notes due 2025 of $90.9 million as Debt, current on the consolidated balance sheet as of December 31, 2022.</w:t>
      </w:r>
    </w:p>
    <w:p>
      <w:pPr>
        <w:spacing w:after="0" w:line="6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Partial repurchase of Notes due 2025</w:t>
      </w:r>
    </w:p>
    <w:p>
      <w:pPr>
        <w:spacing w:after="0" w:line="119"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7"/>
          <w:szCs w:val="17"/>
          <w:color w:val="auto"/>
        </w:rPr>
        <w:t>Concurrently with the offering of the Notes due 2026 and Notes due 2028, the Company entered into separately- and privately-negotiated transactions to repurchase approximately $217.7 million aggregate principal amount of the Notes due 2025. The Company paid $217.7 million in cash and issued approximately 1.67 million shares of its common stock to the holders of the repurchased notes with an aggregate fair value of $302.7 million, representing the conversion value in excess of the principal amount of the Notes due 2025, which were fully offset by shares received from the Company’s settlement of the associated note hedging arrangements discussed below. The total amount of $217.7 million paid to partially settle the repurchases of the Notes due 2025 was allocated between the liability and equity components of the amount extinguished by determining the fair value of the liability component immediately prior to the note repurchases and allocating that portion of the conversion price to the liability component in the amount of $184.5 million. The residual of the conversion price of $4.3 million of the repurchased Notes due 2025, net of inducement loss of $ 37.5 million for additional shares issued, was allocated to the equity component of the repurchased Notes due 2025 as an increase of additional paid-in capital. The fair value of the note settlement for such repurchases was calculated using a discount rate of 4.35%, representing an estimate of the Company's borrowing rate at the date of repurchase with a remaining expected life of approximately 4.1 years. As part of the settlement of the repurchase of the Notes due 2025, the Company wrote-off the $38.5 million unamortized debt discount and $4.1 million debt issuance cost apportioned to the principal amount of Notes due 2025 repurchased. The Company recorded a loss on partial settlement of the repurchased Notes due 2025 of $9.4 million in Other income (expense), net in the year ended December 31, 2021, representing the difference between the consideration attributed to the liability component and the sum of the net carrying amount of the liability component and unamortized debt issuance costs. Further, the Company also recorded loss on inducement of $37.5 million in Other income (expense), net in the year ended December 31, 2021, representing the difference between the fair value of the shares that would have been issued under the original conversion terms with respect to the repurchased Notes due 2025.</w:t>
      </w:r>
    </w:p>
    <w:p>
      <w:pPr>
        <w:spacing w:after="0" w:line="70"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During the second quarter of 2021, $0.1 million in aggregate principal amount of the Notes due 2025 were converted, and the principal amount of the converted Notes due 2025 was repaid in cash. In connection with such conversions during the second quarter of 2021, the Company also issued 485 shares of its common stock to the holders of the converted Notes due 2025, with an aggregate fair value of $0.1 million, representing the conversion value in excess of the principal amount of the Notes due 2025, which were fully offset by shares received from the settlements of the associated note hedging arrangements. Following the repurchase transactions summarized above, as of December 31, 2023, $102.2 million aggregate principal amount of the Notes due 2025 remained outstanding.</w:t>
      </w:r>
    </w:p>
    <w:p>
      <w:pPr>
        <w:spacing w:after="0" w:line="6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derived effective interest rate on the Notes due 2025 host contract was determined to be 5.18%, which remains unchanged from the date of issuance. The remaining unamortized debt discount was $5.6 million as of December 31, 2023, and will be amortized over approximately 1.2 years from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7" w:name="page108"/>
    <w:bookmarkEnd w:id="10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2025 Hedge and Warrant Transactions</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In connection with the offering of the Notes due 2025, the Company entered into privately-negotiated convertible note hedge transactions (the “Notes due 2025 Hedge”) pursuant to which the Company has the option to purchase a total of approximately 3.9 million shares of its common stock (subject to anti-dilution adjustments), which is the same number of shares initially issuable upon conversion of the notes, at a price of $81.54 per share, which is the initial conversion price of the Notes due 2025. The total cost of the convertible note hedge transactions was approximately $ 89.1 million. The convertible note hedge transactions are expected generally to reduce potential dilution to the Company’s common stock upon any conversion of the Notes due 2025 and/or offset any cash payments the Company is required to make in excess of the principal amount of converted notes, as the case may be.</w:t>
      </w:r>
    </w:p>
    <w:p>
      <w:pPr>
        <w:spacing w:after="0" w:line="68"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Additionally, the Company separately entered into privately-negotiated warrant transactions in connection with the offering of the Notes due 2025 whereby the Company sold the 2025 Warrants to acquire approximately 3.9 million shares of the Company’s common stock (subject to anti-dilution adjustments) at an initial strike price of $106.94 per share. The Company received aggregate proceeds of approximately $71.6 million from the sale of the 2025 Warrants. If the market value per share of the Company’s common stock, as measured under the 2025 Warrants, exceeds the strike price of the 2025 Warrants, the 2025 Warrants will have a dilutive effect on the Company’s earnings per share, unless the Company elects, subject to certain conditions, to settle the 2025 Warrants in cash. Taken together, the purchase of the convertible note hedges in connection with the Notes due 2025 Hedge and the sale of the 2025 Warrants are intended to reduce potential dilution from the conversion of the Notes due 2025 and to effectively increase the overall conversion price from $ 81.54 to $ 106.94 per share. The 2025 Warrants are only exercisable on the applicable expiration dates in accordance with the agreements relating to each of the 2025 Warrants. Subject to the other terms of the 2025 Warrants, the first expiration date applicable to the 2025 Warrants is June 1, 2025, and the final expiration date applicable to the 2025 Warrants is September 23, 2025.</w:t>
      </w:r>
    </w:p>
    <w:p>
      <w:pPr>
        <w:spacing w:after="0" w:line="27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During the first quarter of 2021, in connection with the repurchase of $217.7 million aggregate principal amount of the Notes due 2025 summarized above, the Company entered into partial unwind agreements with respect to certain of the Notes due 2025 Hedge and the 2025 Warrants. In connection with these unwind transactions, the Company received shares of the Company’s common stock as a termination payment for the portion of the Notes due 2025 Hedge that were unwound, and the Company issued shares of its common stock as a termination payment for the portion of the 2025 Warrants that were unwound. As a result of the unwind agreements for the Notes due 2025 Hedge and the 2025 Warrants, the Company received 1.9 million of the Company’s common stock from the Notes due 2025 Hedge settlement and issued 1.8 million of the Company’s common stock from the 2025 Warrants that were unwound. Following the unwind transactions summarized above, as of December 31, 2023, options to purchase approximately 1.3 million shares of common stock remained outstanding under the Notes due 2025 Hedge, and 2025 Warrants exercisable to purchase approximately 1.3 million shares remained outstanding.</w:t>
      </w:r>
    </w:p>
    <w:p>
      <w:pPr>
        <w:spacing w:after="0" w:line="73"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For the period from March 9, 2020, the issuance date of the Notes due 2025 Hedge and 2025 Warrants, through May 19, 2020, the number of authorized and unissued shares of the Company’s common stock that are not reserved for other purposes was less than the maximum number of underlying shares that will be required to settle the Notes due 2025 through the delivery of shares of the Company’s common stock. Accordingly, the Notes due 2025 Hedge and 2025 Warrants could only be settled on net cash settlement basis. As a result, the Notes due 2025 Hedge and 2025 Warrants were classified as a convertible notes hedge asset and 2025 Warrants liability, respectively, in the consolidated balance sheet and the change in fair value of derivatives was included in other expense, net in the consolidated statement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Senior Notes due 2023</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August 2018, the Company sold $65.0 million aggregate principal amount of 4.0% convertible senior notes due 2023 (the “Notes due 2023”) in a private placement. On May 30, 2019, the Company entered into separately and privately-negotiated transactions with certain holders of the Notes due 2023 resulting in the repurchase and exchange, as of June 5, 2019, of $60.0 million aggregate principal amount of the notes in consideration for the issuance of 10,801,080 shares of common stock and separate cash payments totaling $6.0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8" w:name="page109"/>
    <w:bookmarkEnd w:id="10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On July 28, 2023, the holder of the Notes due 2023 converted the remaining outstanding $ 5.0 million in aggregate principal amount into 900,090 shares of common stock of the Company based on the conversion rate of 180.018 shares of common stock per $1,000 principal amount of notes (which is equivalent to a conversion price of approximately $5.56 per share). This was a non-cash transaction and following the conversion, as of December 31, 2023, the Notes due 2023 are no longer outstanding.</w:t>
      </w:r>
    </w:p>
    <w:p>
      <w:pPr>
        <w:spacing w:after="0" w:line="112" w:lineRule="exact"/>
        <w:rPr>
          <w:sz w:val="20"/>
          <w:szCs w:val="20"/>
          <w:color w:val="auto"/>
        </w:rPr>
      </w:pPr>
    </w:p>
    <w:p>
      <w:pPr>
        <w:ind w:left="440" w:hanging="435"/>
        <w:spacing w:after="0"/>
        <w:tabs>
          <w:tab w:leader="none" w:pos="44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Leases</w:t>
      </w:r>
    </w:p>
    <w:p>
      <w:pPr>
        <w:spacing w:after="0" w:line="121"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The Company leases office facilities under noncancellable operating leases that expire on various dates through 2033, some of which may include options to extend the leases for up to 12 years.</w:t>
      </w:r>
    </w:p>
    <w:p>
      <w:pPr>
        <w:spacing w:after="0" w:line="8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lease expense are presented as follows:</w:t>
      </w:r>
    </w:p>
    <w:p>
      <w:pPr>
        <w:spacing w:after="0" w:line="153"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20320</wp:posOffset>
            </wp:positionV>
            <wp:extent cx="18986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98650" cy="8255"/>
                    </a:xfrm>
                    <a:prstGeom prst="rect">
                      <a:avLst/>
                    </a:prstGeom>
                    <a:noFill/>
                  </pic:spPr>
                </pic:pic>
              </a:graphicData>
            </a:graphic>
          </wp:anchor>
        </w:drawing>
      </w:r>
    </w:p>
    <w:p>
      <w:pPr>
        <w:spacing w:after="0" w:line="29" w:lineRule="exact"/>
        <w:rPr>
          <w:sz w:val="20"/>
          <w:szCs w:val="20"/>
          <w:color w:val="auto"/>
        </w:rPr>
      </w:pPr>
    </w:p>
    <w:p>
      <w:pPr>
        <w:ind w:left="8820"/>
        <w:spacing w:after="0"/>
        <w:tabs>
          <w:tab w:leader="none" w:pos="1034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20320</wp:posOffset>
            </wp:positionV>
            <wp:extent cx="18986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98650" cy="825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720" w:type="dxa"/>
            <w:vAlign w:val="bottom"/>
            <w:gridSpan w:val="2"/>
          </w:tcPr>
          <w:p>
            <w:pPr>
              <w:jc w:val="right"/>
              <w:ind w:right="201"/>
              <w:spacing w:after="0"/>
              <w:rPr>
                <w:sz w:val="20"/>
                <w:szCs w:val="20"/>
                <w:color w:val="auto"/>
              </w:rPr>
            </w:pPr>
            <w:r>
              <w:rPr>
                <w:rFonts w:ascii="Arial" w:cs="Arial" w:eastAsia="Arial" w:hAnsi="Arial"/>
                <w:sz w:val="14"/>
                <w:szCs w:val="14"/>
                <w:i w:val="1"/>
                <w:iCs w:val="1"/>
                <w:color w:val="auto"/>
              </w:rPr>
              <w:t>(In thousands)</w:t>
            </w:r>
          </w:p>
        </w:tc>
        <w:tc>
          <w:tcPr>
            <w:tcW w:w="760" w:type="dxa"/>
            <w:vAlign w:val="bottom"/>
          </w:tcPr>
          <w:p>
            <w:pPr>
              <w:spacing w:after="0"/>
              <w:rPr>
                <w:sz w:val="16"/>
                <w:szCs w:val="16"/>
                <w:color w:val="auto"/>
              </w:rPr>
            </w:pPr>
          </w:p>
        </w:tc>
      </w:tr>
      <w:tr>
        <w:trPr>
          <w:trHeight w:val="214"/>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costs</w:t>
            </w:r>
          </w:p>
        </w:tc>
        <w:tc>
          <w:tcPr>
            <w:tcW w:w="386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10,406</w:t>
            </w:r>
          </w:p>
        </w:tc>
        <w:tc>
          <w:tcPr>
            <w:tcW w:w="76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8,222</w:t>
            </w:r>
          </w:p>
        </w:tc>
      </w:tr>
    </w:tbl>
    <w:p>
      <w:pPr>
        <w:spacing w:after="0" w:line="1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lease liabilities are presented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1260" w:type="dxa"/>
            <w:vAlign w:val="bottom"/>
          </w:tcPr>
          <w:p>
            <w:pPr>
              <w:jc w:val="right"/>
              <w:ind w:right="184"/>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8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2022</w:t>
            </w:r>
          </w:p>
        </w:tc>
      </w:tr>
      <w:tr>
        <w:trPr>
          <w:trHeight w:val="182"/>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4"/>
          </w:tcPr>
          <w:p>
            <w:pPr>
              <w:jc w:val="center"/>
              <w:ind w:right="44"/>
              <w:spacing w:after="0"/>
              <w:rPr>
                <w:sz w:val="20"/>
                <w:szCs w:val="20"/>
                <w:color w:val="auto"/>
              </w:rPr>
            </w:pPr>
            <w:r>
              <w:rPr>
                <w:rFonts w:ascii="Arial" w:cs="Arial" w:eastAsia="Arial" w:hAnsi="Arial"/>
                <w:sz w:val="14"/>
                <w:szCs w:val="14"/>
                <w:i w:val="1"/>
                <w:iCs w:val="1"/>
                <w:color w:val="auto"/>
              </w:rPr>
              <w:t>(In thousands except years and percentage</w:t>
            </w:r>
          </w:p>
        </w:tc>
      </w:tr>
      <w:tr>
        <w:trPr>
          <w:trHeight w:val="178"/>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data)</w:t>
            </w:r>
          </w:p>
        </w:tc>
        <w:tc>
          <w:tcPr>
            <w:tcW w:w="1260" w:type="dxa"/>
            <w:vAlign w:val="bottom"/>
          </w:tcPr>
          <w:p>
            <w:pPr>
              <w:spacing w:after="0"/>
              <w:rPr>
                <w:sz w:val="15"/>
                <w:szCs w:val="15"/>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5,220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5,371</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liabilities, non-current (Other liabilities)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18,802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19,077</w:t>
            </w:r>
          </w:p>
        </w:tc>
      </w:tr>
      <w:tr>
        <w:trPr>
          <w:trHeight w:val="229"/>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operating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24,022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24,448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8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lease information:</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Weighted average remaining lease term</w:t>
            </w: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color w:val="auto"/>
                <w:w w:val="97"/>
              </w:rPr>
              <w:t>5.8 years</w:t>
            </w:r>
          </w:p>
        </w:tc>
        <w:tc>
          <w:tcPr>
            <w:tcW w:w="180" w:type="dxa"/>
            <w:vAlign w:val="bottom"/>
          </w:tcPr>
          <w:p>
            <w:pPr>
              <w:spacing w:after="0"/>
              <w:rPr>
                <w:sz w:val="18"/>
                <w:szCs w:val="18"/>
                <w:color w:val="auto"/>
              </w:rPr>
            </w:pPr>
          </w:p>
        </w:tc>
        <w:tc>
          <w:tcPr>
            <w:tcW w:w="1260" w:type="dxa"/>
            <w:vAlign w:val="bottom"/>
          </w:tcPr>
          <w:p>
            <w:pPr>
              <w:jc w:val="right"/>
              <w:ind w:right="324"/>
              <w:spacing w:after="0"/>
              <w:rPr>
                <w:sz w:val="20"/>
                <w:szCs w:val="20"/>
                <w:color w:val="auto"/>
              </w:rPr>
            </w:pPr>
            <w:r>
              <w:rPr>
                <w:rFonts w:ascii="Arial" w:cs="Arial" w:eastAsia="Arial" w:hAnsi="Arial"/>
                <w:sz w:val="16"/>
                <w:szCs w:val="16"/>
                <w:color w:val="auto"/>
              </w:rPr>
              <w:t>5.3 years</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46"/>
              <w:spacing w:after="0"/>
              <w:rPr>
                <w:sz w:val="20"/>
                <w:szCs w:val="20"/>
                <w:color w:val="auto"/>
              </w:rPr>
            </w:pPr>
            <w:r>
              <w:rPr>
                <w:rFonts w:ascii="Arial" w:cs="Arial" w:eastAsia="Arial" w:hAnsi="Arial"/>
                <w:sz w:val="16"/>
                <w:szCs w:val="16"/>
                <w:color w:val="auto"/>
                <w:w w:val="98"/>
              </w:rPr>
              <w:t>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104"/>
              <w:spacing w:after="0"/>
              <w:rPr>
                <w:sz w:val="20"/>
                <w:szCs w:val="20"/>
                <w:color w:val="auto"/>
              </w:rPr>
            </w:pPr>
            <w:r>
              <w:rPr>
                <w:rFonts w:ascii="Arial" w:cs="Arial" w:eastAsia="Arial" w:hAnsi="Arial"/>
                <w:sz w:val="16"/>
                <w:szCs w:val="16"/>
                <w:color w:val="auto"/>
                <w:w w:val="98"/>
              </w:rPr>
              <w:t>6.5%</w:t>
            </w:r>
          </w:p>
        </w:tc>
      </w:tr>
      <w:tr>
        <w:trPr>
          <w:trHeight w:val="410"/>
        </w:trPr>
        <w:tc>
          <w:tcPr>
            <w:tcW w:w="8260" w:type="dxa"/>
            <w:vAlign w:val="bottom"/>
          </w:tcPr>
          <w:p>
            <w:pPr>
              <w:ind w:left="480"/>
              <w:spacing w:after="0"/>
              <w:rPr>
                <w:sz w:val="20"/>
                <w:szCs w:val="20"/>
                <w:color w:val="auto"/>
              </w:rPr>
            </w:pPr>
            <w:r>
              <w:rPr>
                <w:rFonts w:ascii="Arial" w:cs="Arial" w:eastAsia="Arial" w:hAnsi="Arial"/>
                <w:sz w:val="17"/>
                <w:szCs w:val="17"/>
                <w:color w:val="auto"/>
              </w:rPr>
              <w:t>Supplemental cash flow and other information related to operating leases were as follows: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8"/>
        </w:trPr>
        <w:tc>
          <w:tcPr>
            <w:tcW w:w="8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4"/>
                <w:szCs w:val="14"/>
                <w:b w:val="1"/>
                <w:bCs w:val="1"/>
                <w:color w:val="auto"/>
                <w:w w:val="99"/>
              </w:rPr>
              <w:t>Years Ended December 31,</w:t>
            </w:r>
          </w:p>
        </w:tc>
      </w:tr>
      <w:tr>
        <w:trPr>
          <w:trHeight w:val="190"/>
        </w:trPr>
        <w:tc>
          <w:tcPr>
            <w:tcW w:w="8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2022</w:t>
            </w:r>
          </w:p>
        </w:tc>
      </w:tr>
      <w:tr>
        <w:trPr>
          <w:trHeight w:val="221"/>
        </w:trPr>
        <w:tc>
          <w:tcPr>
            <w:tcW w:w="8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4"/>
          </w:tcPr>
          <w:p>
            <w:pPr>
              <w:jc w:val="center"/>
              <w:ind w:right="44"/>
              <w:spacing w:after="0"/>
              <w:rPr>
                <w:sz w:val="20"/>
                <w:szCs w:val="20"/>
                <w:color w:val="auto"/>
              </w:rPr>
            </w:pPr>
            <w:r>
              <w:rPr>
                <w:rFonts w:ascii="Arial" w:cs="Arial" w:eastAsia="Arial" w:hAnsi="Arial"/>
                <w:sz w:val="14"/>
                <w:szCs w:val="14"/>
                <w:i w:val="1"/>
                <w:iCs w:val="1"/>
                <w:color w:val="auto"/>
              </w:rPr>
              <w:t>(In thousands)</w:t>
            </w:r>
          </w:p>
        </w:tc>
      </w:tr>
      <w:tr>
        <w:trPr>
          <w:trHeight w:val="217"/>
        </w:trPr>
        <w:tc>
          <w:tcPr>
            <w:tcW w:w="826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1"/>
        </w:trPr>
        <w:tc>
          <w:tcPr>
            <w:tcW w:w="8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7,225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5,691</w:t>
            </w:r>
          </w:p>
        </w:tc>
      </w:tr>
      <w:tr>
        <w:trPr>
          <w:trHeight w:val="210"/>
        </w:trPr>
        <w:tc>
          <w:tcPr>
            <w:tcW w:w="8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activities: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7"/>
        </w:trPr>
        <w:tc>
          <w:tcPr>
            <w:tcW w:w="8260" w:type="dxa"/>
            <w:vAlign w:val="bottom"/>
          </w:tcPr>
          <w:p>
            <w:pPr>
              <w:ind w:left="140"/>
              <w:spacing w:after="0"/>
              <w:rPr>
                <w:sz w:val="20"/>
                <w:szCs w:val="20"/>
                <w:color w:val="auto"/>
              </w:rPr>
            </w:pPr>
            <w:r>
              <w:rPr>
                <w:rFonts w:ascii="Arial" w:cs="Arial" w:eastAsia="Arial" w:hAnsi="Arial"/>
                <w:sz w:val="16"/>
                <w:szCs w:val="16"/>
                <w:color w:val="auto"/>
              </w:rPr>
              <w:t>Lease liabilities arising from obtaining right-of-use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6"/>
              <w:spacing w:after="0"/>
              <w:rPr>
                <w:sz w:val="20"/>
                <w:szCs w:val="20"/>
                <w:color w:val="auto"/>
              </w:rPr>
            </w:pPr>
            <w:r>
              <w:rPr>
                <w:rFonts w:ascii="Arial" w:cs="Arial" w:eastAsia="Arial" w:hAnsi="Arial"/>
                <w:sz w:val="16"/>
                <w:szCs w:val="16"/>
                <w:color w:val="auto"/>
              </w:rPr>
              <w:t>5,005</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13,308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559435</wp:posOffset>
            </wp:positionV>
            <wp:extent cx="69361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9" w:name="page110"/>
    <w:bookmarkEnd w:id="10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800" w:type="dxa"/>
            <w:vAlign w:val="bottom"/>
          </w:tcPr>
          <w:p>
            <w:pPr>
              <w:ind w:left="4600"/>
              <w:spacing w:after="0"/>
              <w:rPr>
                <w:sz w:val="20"/>
                <w:szCs w:val="20"/>
                <w:color w:val="auto"/>
              </w:rPr>
            </w:pPr>
            <w:r>
              <w:rPr>
                <w:rFonts w:ascii="Arial" w:cs="Arial" w:eastAsia="Arial" w:hAnsi="Arial"/>
                <w:sz w:val="17"/>
                <w:szCs w:val="17"/>
                <w:b w:val="1"/>
                <w:bCs w:val="1"/>
                <w:color w:val="auto"/>
              </w:rPr>
              <w:t>ENPHASE ENERGY, INC.</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5"/>
        </w:trPr>
        <w:tc>
          <w:tcPr>
            <w:tcW w:w="9800" w:type="dxa"/>
            <w:vAlign w:val="bottom"/>
          </w:tcPr>
          <w:p>
            <w:pPr>
              <w:ind w:left="3360"/>
              <w:spacing w:after="0"/>
              <w:rPr>
                <w:sz w:val="20"/>
                <w:szCs w:val="20"/>
                <w:color w:val="auto"/>
              </w:rPr>
            </w:pPr>
            <w:r>
              <w:rPr>
                <w:rFonts w:ascii="Arial" w:cs="Arial" w:eastAsia="Arial" w:hAnsi="Arial"/>
                <w:sz w:val="17"/>
                <w:szCs w:val="17"/>
                <w:b w:val="1"/>
                <w:bCs w:val="1"/>
                <w:color w:val="auto"/>
              </w:rPr>
              <w:t>NOTES TO CONSOLIDATED FINANCIAL STATEMENTS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831"/>
        </w:trPr>
        <w:tc>
          <w:tcPr>
            <w:tcW w:w="9800" w:type="dxa"/>
            <w:vAlign w:val="bottom"/>
          </w:tcPr>
          <w:p>
            <w:pPr>
              <w:ind w:left="480"/>
              <w:spacing w:after="0"/>
              <w:rPr>
                <w:sz w:val="20"/>
                <w:szCs w:val="20"/>
                <w:color w:val="auto"/>
              </w:rPr>
            </w:pPr>
            <w:r>
              <w:rPr>
                <w:rFonts w:ascii="Arial" w:cs="Arial" w:eastAsia="Arial" w:hAnsi="Arial"/>
                <w:sz w:val="17"/>
                <w:szCs w:val="17"/>
                <w:color w:val="auto"/>
              </w:rPr>
              <w:t>Undiscounted cash flows of operating lease liabilities as of December 31, 2023 were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1"/>
        </w:trPr>
        <w:tc>
          <w:tcPr>
            <w:tcW w:w="9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Lease Amounts</w:t>
            </w:r>
          </w:p>
        </w:tc>
      </w:tr>
      <w:tr>
        <w:trPr>
          <w:trHeight w:val="186"/>
        </w:trPr>
        <w:tc>
          <w:tcPr>
            <w:tcW w:w="9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203"/>
              <w:spacing w:after="0"/>
              <w:rPr>
                <w:sz w:val="20"/>
                <w:szCs w:val="20"/>
                <w:color w:val="auto"/>
              </w:rPr>
            </w:pPr>
            <w:r>
              <w:rPr>
                <w:rFonts w:ascii="Arial" w:cs="Arial" w:eastAsia="Arial" w:hAnsi="Arial"/>
                <w:sz w:val="14"/>
                <w:szCs w:val="14"/>
                <w:i w:val="1"/>
                <w:iCs w:val="1"/>
                <w:color w:val="auto"/>
              </w:rPr>
              <w:t>(In thousands)</w:t>
            </w:r>
          </w:p>
        </w:tc>
      </w:tr>
      <w:tr>
        <w:trPr>
          <w:trHeight w:val="214"/>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9"/>
        </w:trPr>
        <w:tc>
          <w:tcPr>
            <w:tcW w:w="9800" w:type="dxa"/>
            <w:vAlign w:val="bottom"/>
          </w:tcPr>
          <w:p>
            <w:pPr>
              <w:ind w:left="200"/>
              <w:spacing w:after="0"/>
              <w:rPr>
                <w:sz w:val="20"/>
                <w:szCs w:val="20"/>
                <w:color w:val="auto"/>
              </w:rPr>
            </w:pPr>
            <w:r>
              <w:rPr>
                <w:rFonts w:ascii="Arial" w:cs="Arial" w:eastAsia="Arial" w:hAnsi="Arial"/>
                <w:sz w:val="16"/>
                <w:szCs w:val="16"/>
                <w:color w:val="auto"/>
              </w:rPr>
              <w:t>2024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6,702</w:t>
            </w:r>
          </w:p>
        </w:tc>
      </w:tr>
      <w:tr>
        <w:trPr>
          <w:trHeight w:val="211"/>
        </w:trPr>
        <w:tc>
          <w:tcPr>
            <w:tcW w:w="9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5,960</w:t>
            </w:r>
          </w:p>
        </w:tc>
      </w:tr>
      <w:tr>
        <w:trPr>
          <w:trHeight w:val="209"/>
        </w:trPr>
        <w:tc>
          <w:tcPr>
            <w:tcW w:w="9800" w:type="dxa"/>
            <w:vAlign w:val="bottom"/>
          </w:tcPr>
          <w:p>
            <w:pPr>
              <w:ind w:left="200"/>
              <w:spacing w:after="0"/>
              <w:rPr>
                <w:sz w:val="20"/>
                <w:szCs w:val="20"/>
                <w:color w:val="auto"/>
              </w:rPr>
            </w:pPr>
            <w:r>
              <w:rPr>
                <w:rFonts w:ascii="Arial" w:cs="Arial" w:eastAsia="Arial" w:hAnsi="Arial"/>
                <w:sz w:val="16"/>
                <w:szCs w:val="16"/>
                <w:color w:val="auto"/>
              </w:rPr>
              <w:t>2026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4,284</w:t>
            </w:r>
          </w:p>
        </w:tc>
      </w:tr>
      <w:tr>
        <w:trPr>
          <w:trHeight w:val="211"/>
        </w:trPr>
        <w:tc>
          <w:tcPr>
            <w:tcW w:w="9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2,915</w:t>
            </w:r>
          </w:p>
        </w:tc>
      </w:tr>
      <w:tr>
        <w:trPr>
          <w:trHeight w:val="209"/>
        </w:trPr>
        <w:tc>
          <w:tcPr>
            <w:tcW w:w="9800" w:type="dxa"/>
            <w:vAlign w:val="bottom"/>
          </w:tcPr>
          <w:p>
            <w:pPr>
              <w:ind w:left="200"/>
              <w:spacing w:after="0"/>
              <w:rPr>
                <w:sz w:val="20"/>
                <w:szCs w:val="20"/>
                <w:color w:val="auto"/>
              </w:rPr>
            </w:pPr>
            <w:r>
              <w:rPr>
                <w:rFonts w:ascii="Arial" w:cs="Arial" w:eastAsia="Arial" w:hAnsi="Arial"/>
                <w:sz w:val="16"/>
                <w:szCs w:val="16"/>
                <w:color w:val="auto"/>
              </w:rPr>
              <w:t>2028</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2,312</w:t>
            </w:r>
          </w:p>
        </w:tc>
      </w:tr>
      <w:tr>
        <w:trPr>
          <w:trHeight w:val="211"/>
        </w:trPr>
        <w:tc>
          <w:tcPr>
            <w:tcW w:w="9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7,372</w:t>
            </w:r>
          </w:p>
        </w:tc>
      </w:tr>
      <w:tr>
        <w:trPr>
          <w:trHeight w:val="202"/>
        </w:trPr>
        <w:tc>
          <w:tcPr>
            <w:tcW w:w="9800" w:type="dxa"/>
            <w:vAlign w:val="bottom"/>
          </w:tcPr>
          <w:p>
            <w:pPr>
              <w:ind w:left="220"/>
              <w:spacing w:after="0"/>
              <w:rPr>
                <w:sz w:val="20"/>
                <w:szCs w:val="20"/>
                <w:color w:val="auto"/>
              </w:rPr>
            </w:pPr>
            <w:r>
              <w:rPr>
                <w:rFonts w:ascii="Arial" w:cs="Arial" w:eastAsia="Arial" w:hAnsi="Arial"/>
                <w:sz w:val="16"/>
                <w:szCs w:val="16"/>
                <w:color w:val="auto"/>
              </w:rPr>
              <w:t>Total lease payments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29,545</w:t>
            </w:r>
          </w:p>
        </w:tc>
      </w:t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imputed lease interest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(5,523)</w:t>
            </w:r>
          </w:p>
        </w:tc>
      </w:tr>
      <w:tr>
        <w:trPr>
          <w:trHeight w:val="204"/>
        </w:trPr>
        <w:tc>
          <w:tcPr>
            <w:tcW w:w="9800" w:type="dxa"/>
            <w:vAlign w:val="bottom"/>
          </w:tcPr>
          <w:p>
            <w:pPr>
              <w:ind w:left="220"/>
              <w:spacing w:after="0"/>
              <w:rPr>
                <w:sz w:val="20"/>
                <w:szCs w:val="20"/>
                <w:color w:val="auto"/>
              </w:rPr>
            </w:pPr>
            <w:r>
              <w:rPr>
                <w:rFonts w:ascii="Arial" w:cs="Arial" w:eastAsia="Arial" w:hAnsi="Arial"/>
                <w:sz w:val="16"/>
                <w:szCs w:val="16"/>
                <w:color w:val="auto"/>
              </w:rPr>
              <w:t>Total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24,022</w:t>
            </w:r>
          </w:p>
        </w:tc>
      </w:tr>
      <w:tr>
        <w:trPr>
          <w:trHeight w:val="20"/>
        </w:trPr>
        <w:tc>
          <w:tcPr>
            <w:tcW w:w="9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Obligations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Company has contractual obligations related to component inventory that its contract manufacturers procure on its behalf in accordance with its production forecast as well as other inventory related purchase commitments. As of December 31, 2023, these purchase obligations totaled approximately $184.4 million.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21"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From time-to-time, the Company may be involved in litigation relating to claims arising out of its operations, the ultimate disposition of which could have a material adverse effect on its operations, financial condition or cash flows. The Company is not currently involved in any material legal proceedings; however, the Company may be involved in material legal proceedings in the future. Such matters are subject to uncertainty and there can be no assurance that such legal proceedings will not have a material effect on its business, results of operations, financial position or cash flows.</w:t>
      </w:r>
    </w:p>
    <w:p>
      <w:pPr>
        <w:spacing w:after="0" w:line="325" w:lineRule="exact"/>
        <w:rPr>
          <w:sz w:val="20"/>
          <w:szCs w:val="20"/>
          <w:color w:val="auto"/>
        </w:rPr>
      </w:pPr>
    </w:p>
    <w:p>
      <w:pPr>
        <w:ind w:left="440" w:hanging="435"/>
        <w:spacing w:after="0"/>
        <w:tabs>
          <w:tab w:leader="none" w:pos="44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On May 19, 2021, at the Company’s annual meeting of stockholders, the stockholders approved an amendment to the Amended and Restated Certificate of Incorporation to increase the number of authorized shares of the Company’s common stock, par value $0.00001 per share, from 200,000,000 shares to 300,000,000 shares (the “Amendment”). The Amendment became effective upon filing with the Secretary of State of Delaware on May 19, 2021.</w:t>
      </w:r>
    </w:p>
    <w:p>
      <w:pPr>
        <w:spacing w:after="0" w:line="6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In May 2021, the board of directors authorized a share repurchase program (the “2021 Repurchase Program”) pursuant to which the Company was authorized to repurchase up to $500.0 million of the Company’s common stock, from time to time in the open market or through structured repurchase agreements with third parties. During the year ended December 31, 2023 and December 31, 2021, the Company repurchased and subsequently retired 1,254,474 shares and 1,523,005 shares, respectively, of common stock from the open market at an average cost of $159.43 and $196.98 per share, respectively, for a total of $200.0 million and $300.0 million, respectively. As of December 31, 2023, no amount remains available for share repurchase under the 2021 Repurchase Program.</w:t>
      </w:r>
    </w:p>
    <w:p>
      <w:pPr>
        <w:spacing w:after="0" w:line="64"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In July 2023, the board of directors authorized a share repurchase program (the “2023 Repurchase Program”) pursuant to which the Company was authorized to repurchase up to $1.0 billion of the Company’s common stock. The Company may repurchase shares of common stock from time to time through solicited or unsolicited transactions in the open market, in privately negotiated transactions or pursuant to a Rule 10b5-1 plan. During the year ended December 31, 2023, the Company repurchased and subsequently retired 2,029,894 shares of common stock from the open market at an average cost of $103.45 per share for a total of $210.0 million. As of December 31, 2023, $790.0 million remains available for repurchase of shares under the 2023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701040</wp:posOffset>
            </wp:positionV>
            <wp:extent cx="69361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0" w:name="page111"/>
    <w:bookmarkEnd w:id="11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 w:hanging="435"/>
        <w:spacing w:after="0"/>
        <w:tabs>
          <w:tab w:leader="none" w:pos="44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2011 Plan</w:t>
      </w:r>
    </w:p>
    <w:p>
      <w:pPr>
        <w:spacing w:after="0" w:line="119"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Under the 2011 Equity Incentive Plan (the “2011 Plan”), the Company could initially issue up to 2,643,171 shares of its common stock pursuant to stock options, stock appreciation rights (“SARS”), restricted stock awards (“RSA”), RSUs, PSUs, and other forms of equity compensation, or collectively, stock awards, all of which may be granted to employees, including officers, and to non-employee directors and consultants. Options granted under the 2011 Plan before August 1, 2012 generally expire 10 years after the grant date and options granted thereafter generally expire seven years after the grant date. Equity awards granted under the 2011 Plan generally vest over a four year period from the date of grant based on continued employment. As of May 19, 2021, no further stock options or other stock awards may be granted under the 2011 Plan.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2021 Plan</w:t>
      </w:r>
    </w:p>
    <w:p>
      <w:pPr>
        <w:spacing w:after="0" w:line="119"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On May 19, 2021, at the 2021 annual meeting of stockholders of the Company, the stockholders approved the 2021 Equity Incentive Plan (the “2021 Plan”), as the successor to the 2011 Plan. The 2021 Plan provides for the grant of incentive stock options, SARS, RSAs, RSUs, PSUs other stock awards. Eligible participants under the 2021 Plan include Company’s employees, directors and consultants. The 2021 Plan provides, among other things, that the number of shares of the Company’s common stock, $0.00001 par value per share, reserved for issuance under the 2021 Plan (subject to adjustment for certain changes in the Company’s capitalization) is equal to: (A) the sum of (i) 9,100,456 newly reserved shares of the Company’s common stock and (ii) 5,256,517 Returning Shares (as defined below) as such shares become available from time to time as set forth in the 2021 Plan. “Returning Shares” means shares subject to any outstanding award granted under the 2011 Plan (“Prior Plan Award”) that are (i) not issued because such Prior Plan Award or any portion thereof expires or otherwise terminates without all of the shares covered by such Prior Plan Award having been issued, or is settled in cash; (ii) forfeited back to or repurchased by the Company because of a failure to vest; or (iii) reacquired or withheld (or not issued) by the Company to satisfy the purchase price of, or a tax withholding obligation in connection with, a Prior Plan Award that is a Full Value Award (as defined in the 2021 Plan). As a result of the approval of the 2021 Plan, no additional awards may be granted from the 2011 Plan. As of December 31, 2023, 6,059,212 shares remained available for issuance pursuant to future grants under the 2021 Plan.</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2011 Employee Stock Purchase Plan</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The 2011 Employee Stock Purchase Plan (“ESPP”) became effective immediately upon the execution and delivery of the underwriting agreement for the Company’s initial public offering on March 29, 2012. The ESPP authorized the issuance of 669,603 shares of the Company’s common stock pursuant to purchase rights granted to employees. The number of shares of common stock reserved for issuance will automatically increase, on each January 1, by a lesser of (i) 700,000 shares of the Company’s common stock or (ii) 1.0% of the total number of shares of the Company’s common stock outstanding on December 31 of the preceding calendar year, as determined by the Company’s board of directors. In 2022, the Company’s board of directors voted to decline the automatic increase of 700,000 shares that were to be added on January 1, 2023 for issuance under the 2011 ESPP plan. As of December 31, 2023, 1,533,742 shares remained available for future issuance under the ESPP. On January 1, 2024, the shares available for issuance under the ESPP automatically increased by 700,000 shares.</w:t>
      </w:r>
    </w:p>
    <w:p>
      <w:pPr>
        <w:spacing w:after="0" w:line="7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ESPP is implemented by concurrent offering periods and each offering period may contain up to four interim purchase periods. In general, offering periods consist of the 24-month periods commencing on each May 15 and November 15 of a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1" w:name="page112"/>
    <w:bookmarkEnd w:id="11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14" w:lineRule="exact"/>
        <w:rPr>
          <w:sz w:val="20"/>
          <w:szCs w:val="20"/>
          <w:color w:val="auto"/>
        </w:rPr>
      </w:pPr>
      <w:r>
        <w:rPr>
          <w:rFonts w:ascii="Arial" w:cs="Arial" w:eastAsia="Arial" w:hAnsi="Arial"/>
          <w:sz w:val="17"/>
          <w:szCs w:val="17"/>
          <w:color w:val="auto"/>
        </w:rPr>
        <w:t>Generally, all full-time employees in Australia, Brazil, Canada, China, France, Germany, India, Mexico, New Zealand, the Netherlands, and the United States, including executive officers, are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 85% of the fair market value of the Company’s common stock on either the date of purchase or the first day of an offering period, whichever is lower. A two</w:t>
      </w:r>
      <w:r>
        <w:rPr>
          <w:rFonts w:ascii="MS PGothic" w:cs="MS PGothic" w:eastAsia="MS PGothic" w:hAnsi="MS PGothic"/>
          <w:sz w:val="17"/>
          <w:szCs w:val="17"/>
          <w:color w:val="auto"/>
        </w:rPr>
        <w:t>‑</w:t>
      </w:r>
      <w:r>
        <w:rPr>
          <w:rFonts w:ascii="Arial" w:cs="Arial" w:eastAsia="Arial" w:hAnsi="Arial"/>
          <w:sz w:val="17"/>
          <w:szCs w:val="17"/>
          <w:color w:val="auto"/>
        </w:rPr>
        <w:t>year look-back feature in the Company’s ESPP causes an offering period to reset if the fair value of the Company’s common stock on a purchase date is less than that on the initial offering date for that offering period. The reset feature, when triggered, will be accounted for as a modification to the original offering, resulting in additional expense to be recognized over the 24-month period of the new offering. During any calendar year, participants may not purchase shares of the Company’s common stock having a value greater than $25,000, based on the fair market value per share of the Company’s common stock at the beginning of an offering period.</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Valuation of Equity Awards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11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fair value of each option granted was estimated on the date of grant using the Black-Scholes option-pricing model with the following assumptions:</w:t>
      </w:r>
    </w:p>
    <w:p>
      <w:pPr>
        <w:spacing w:after="0" w:line="36" w:lineRule="exact"/>
        <w:rPr>
          <w:sz w:val="20"/>
          <w:szCs w:val="20"/>
          <w:color w:val="auto"/>
        </w:rPr>
      </w:pPr>
    </w:p>
    <w:p>
      <w:pPr>
        <w:jc w:val="both"/>
        <w:ind w:left="800" w:hanging="323"/>
        <w:spacing w:after="0" w:line="271" w:lineRule="auto"/>
        <w:tabs>
          <w:tab w:leader="none" w:pos="795"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 </w:t>
      </w:r>
      <w:r>
        <w:rPr>
          <w:rFonts w:ascii="Arial" w:cs="Arial" w:eastAsia="Arial" w:hAnsi="Arial"/>
          <w:sz w:val="17"/>
          <w:szCs w:val="17"/>
          <w:color w:val="auto"/>
        </w:rPr>
        <w:t>The expected term of the option awards represents the period of time between the grant date of the option awards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the option awards are either exercised, converted or canceled, including an estimate for those option awards still outstanding. The Company used the simplified method, as permitted by the SEC for companies with a limited history of stock option exercise activity, to determine the expected term for its option grants.</w:t>
      </w:r>
    </w:p>
    <w:p>
      <w:pPr>
        <w:spacing w:after="0" w:line="61" w:lineRule="exact"/>
        <w:rPr>
          <w:rFonts w:ascii="Arial" w:cs="Arial" w:eastAsia="Arial" w:hAnsi="Arial"/>
          <w:sz w:val="17"/>
          <w:szCs w:val="17"/>
          <w:color w:val="auto"/>
        </w:rPr>
      </w:pPr>
    </w:p>
    <w:p>
      <w:pPr>
        <w:jc w:val="both"/>
        <w:ind w:left="800" w:hanging="323"/>
        <w:spacing w:after="0" w:line="300" w:lineRule="auto"/>
        <w:tabs>
          <w:tab w:leader="none" w:pos="795"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 </w:t>
      </w:r>
      <w:r>
        <w:rPr>
          <w:rFonts w:ascii="Arial" w:cs="Arial" w:eastAsia="Arial" w:hAnsi="Arial"/>
          <w:sz w:val="17"/>
          <w:szCs w:val="17"/>
          <w:color w:val="auto"/>
        </w:rPr>
        <w:t>The expected volatility was calculated based on the Company’s historical stock prices, supplemented as</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with historical volatility of the common stock of several peer companies with characteristics similar to those of the Company.</w:t>
      </w:r>
    </w:p>
    <w:p>
      <w:pPr>
        <w:spacing w:after="0" w:line="35"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 </w:t>
      </w:r>
      <w:r>
        <w:rPr>
          <w:rFonts w:ascii="Arial" w:cs="Arial" w:eastAsia="Arial" w:hAnsi="Arial"/>
          <w:sz w:val="17"/>
          <w:szCs w:val="17"/>
          <w:color w:val="auto"/>
        </w:rPr>
        <w:t>The risk-free interest rate was based on the U.S. Treasury yield curve in effect at the time of grant and with a</w:t>
      </w:r>
      <w:r>
        <w:rPr>
          <w:rFonts w:ascii="Arial" w:cs="Arial" w:eastAsia="Arial" w:hAnsi="Arial"/>
          <w:sz w:val="17"/>
          <w:szCs w:val="17"/>
          <w:i w:val="1"/>
          <w:iCs w:val="1"/>
          <w:color w:val="auto"/>
        </w:rPr>
        <w:t xml:space="preserve"> </w:t>
      </w:r>
      <w:r>
        <w:rPr>
          <w:rFonts w:ascii="Arial" w:cs="Arial" w:eastAsia="Arial" w:hAnsi="Arial"/>
          <w:sz w:val="17"/>
          <w:szCs w:val="17"/>
          <w:color w:val="auto"/>
        </w:rPr>
        <w:t>maturity that approximated the Company’s expected term.</w:t>
      </w:r>
    </w:p>
    <w:p>
      <w:pPr>
        <w:spacing w:after="0" w:line="35" w:lineRule="exact"/>
        <w:rPr>
          <w:rFonts w:ascii="Arial" w:cs="Arial" w:eastAsia="Arial" w:hAnsi="Arial"/>
          <w:sz w:val="17"/>
          <w:szCs w:val="17"/>
          <w:color w:val="auto"/>
        </w:rPr>
      </w:pPr>
    </w:p>
    <w:p>
      <w:pPr>
        <w:ind w:left="800" w:hanging="323"/>
        <w:spacing w:after="0" w:line="300" w:lineRule="auto"/>
        <w:tabs>
          <w:tab w:leader="none" w:pos="795"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Dividend yield - </w:t>
      </w:r>
      <w:r>
        <w:rPr>
          <w:rFonts w:ascii="Arial" w:cs="Arial" w:eastAsia="Arial" w:hAnsi="Arial"/>
          <w:sz w:val="17"/>
          <w:szCs w:val="17"/>
          <w:color w:val="auto"/>
        </w:rPr>
        <w:t>The dividend yield was based on the Company’s dividend history and the anticipated dividend payout over its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term.</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 stock options were granted during the years ended December 31, 2023, 2022, and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fair value of the Company’s RSU awards granted is based upon the closing price of the Company’s stock price on the date of grant.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Stock Units</w:t>
      </w:r>
    </w:p>
    <w:p>
      <w:pPr>
        <w:spacing w:after="0" w:line="11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fair value of the Company’s non-market PSU awards granted was based upon the closing price of the Company’s stock price on the date of grant. The fair value of awards of the Company’s PSU awards containing market conditions was determined using a Monte Carlo simulation model based upon the terms of the conditions, the expected volatility of the underlying security, and other relevant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2" w:name="page113"/>
    <w:bookmarkEnd w:id="11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 Expense</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Stock-based compensation expense for all stock-based awards, which includes shares purchased under the ESPP, RSUs and PSUs, expected to vest is measured at fair value on the date of grant and recognized ratably over the requisite service period.</w:t>
      </w:r>
    </w:p>
    <w:p>
      <w:pPr>
        <w:spacing w:after="0" w:line="3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In addition, as part of certain business acquisitions, the Company was obligated to issue shares of common stock of the Company as payment subject to achievement of certain targets. For such payments, the Company records stock-based compensation classified as post-combination expense recognized ratably over the measurement period presuming the targets will be met.</w:t>
      </w:r>
    </w:p>
    <w:p>
      <w:pPr>
        <w:spacing w:after="0" w:line="5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summarizes the components of total stock-based compensation expense included in the consolidated statements of operations for the periods presented:</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201"/>
              <w:spacing w:after="0"/>
              <w:rPr>
                <w:sz w:val="20"/>
                <w:szCs w:val="20"/>
                <w:color w:val="auto"/>
              </w:rPr>
            </w:pPr>
            <w:r>
              <w:rPr>
                <w:rFonts w:ascii="Arial" w:cs="Arial" w:eastAsia="Arial" w:hAnsi="Arial"/>
                <w:sz w:val="14"/>
                <w:szCs w:val="14"/>
                <w:b w:val="1"/>
                <w:bCs w:val="1"/>
                <w:color w:val="auto"/>
                <w:w w:val="99"/>
              </w:rPr>
              <w:t>Years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5"/>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13,357</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13,097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7,366</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88,367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69,082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33,927</w:t>
            </w:r>
          </w:p>
        </w:tc>
        <w:tc>
          <w:tcPr>
            <w:tcW w:w="0" w:type="dxa"/>
            <w:vAlign w:val="bottom"/>
          </w:tcPr>
          <w:p>
            <w:pPr>
              <w:spacing w:after="0"/>
              <w:rPr>
                <w:sz w:val="1"/>
                <w:szCs w:val="1"/>
                <w:color w:val="auto"/>
              </w:rPr>
            </w:pPr>
          </w:p>
        </w:tc>
      </w:tr>
      <w:tr>
        <w:trPr>
          <w:trHeight w:val="211"/>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78,819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37,434</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45,430</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55,804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35,559</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212,857</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216,802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114,286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Income tax benefit included in the provision for 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660" w:type="dxa"/>
            <w:vAlign w:val="bottom"/>
            <w:vMerge w:val="continue"/>
          </w:tcPr>
          <w:p>
            <w:pPr>
              <w:spacing w:after="0"/>
              <w:rPr>
                <w:sz w:val="15"/>
                <w:szCs w:val="15"/>
                <w:color w:val="auto"/>
              </w:rPr>
            </w:pPr>
          </w:p>
        </w:tc>
        <w:tc>
          <w:tcPr>
            <w:tcW w:w="320" w:type="dxa"/>
            <w:vAlign w:val="bottom"/>
          </w:tcPr>
          <w:p>
            <w:pPr>
              <w:jc w:val="right"/>
              <w:ind w:right="141"/>
              <w:spacing w:after="0" w:line="181"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20,558</w:t>
            </w:r>
          </w:p>
        </w:tc>
        <w:tc>
          <w:tcPr>
            <w:tcW w:w="360" w:type="dxa"/>
            <w:vAlign w:val="bottom"/>
            <w:gridSpan w:val="3"/>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
              <w:spacing w:after="0" w:line="181" w:lineRule="exact"/>
              <w:rPr>
                <w:sz w:val="20"/>
                <w:szCs w:val="20"/>
                <w:color w:val="auto"/>
              </w:rPr>
            </w:pPr>
            <w:r>
              <w:rPr>
                <w:rFonts w:ascii="Arial" w:cs="Arial" w:eastAsia="Arial" w:hAnsi="Arial"/>
                <w:sz w:val="16"/>
                <w:szCs w:val="16"/>
                <w:color w:val="auto"/>
              </w:rPr>
              <w:t>45,066</w:t>
            </w:r>
          </w:p>
        </w:tc>
        <w:tc>
          <w:tcPr>
            <w:tcW w:w="100" w:type="dxa"/>
            <w:vAlign w:val="bottom"/>
          </w:tcPr>
          <w:p>
            <w:pPr>
              <w:spacing w:after="0"/>
              <w:rPr>
                <w:sz w:val="15"/>
                <w:szCs w:val="15"/>
                <w:color w:val="auto"/>
              </w:rPr>
            </w:pPr>
          </w:p>
        </w:tc>
        <w:tc>
          <w:tcPr>
            <w:tcW w:w="340" w:type="dxa"/>
            <w:vAlign w:val="bottom"/>
          </w:tcPr>
          <w:p>
            <w:pPr>
              <w:jc w:val="right"/>
              <w:ind w:right="161"/>
              <w:spacing w:after="0" w:line="181"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81" w:lineRule="exact"/>
              <w:rPr>
                <w:sz w:val="20"/>
                <w:szCs w:val="20"/>
                <w:color w:val="auto"/>
              </w:rPr>
            </w:pPr>
            <w:r>
              <w:rPr>
                <w:rFonts w:ascii="Arial" w:cs="Arial" w:eastAsia="Arial" w:hAnsi="Arial"/>
                <w:sz w:val="16"/>
                <w:szCs w:val="16"/>
                <w:color w:val="auto"/>
              </w:rPr>
              <w:t>97,129</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various types of stock-based compensation expense for the periods presented:</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201"/>
              <w:spacing w:after="0"/>
              <w:rPr>
                <w:sz w:val="20"/>
                <w:szCs w:val="20"/>
                <w:color w:val="auto"/>
              </w:rPr>
            </w:pPr>
            <w:r>
              <w:rPr>
                <w:rFonts w:ascii="Arial" w:cs="Arial" w:eastAsia="Arial" w:hAnsi="Arial"/>
                <w:sz w:val="14"/>
                <w:szCs w:val="14"/>
                <w:b w:val="1"/>
                <w:bCs w:val="1"/>
                <w:color w:val="auto"/>
                <w:w w:val="99"/>
              </w:rPr>
              <w:t>Years Ended December 31,</w:t>
            </w:r>
          </w:p>
        </w:tc>
        <w:tc>
          <w:tcPr>
            <w:tcW w:w="1100" w:type="dxa"/>
            <w:vAlign w:val="bottom"/>
            <w:tcBorders>
              <w:bottom w:val="single" w:sz="8" w:color="auto"/>
            </w:tcBorders>
          </w:tcPr>
          <w:p>
            <w:pPr>
              <w:spacing w:after="0"/>
              <w:rPr>
                <w:sz w:val="16"/>
                <w:szCs w:val="16"/>
                <w:color w:val="auto"/>
              </w:rPr>
            </w:pPr>
          </w:p>
        </w:tc>
      </w:tr>
      <w:tr>
        <w:trPr>
          <w:trHeight w:val="190"/>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225"/>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4"/>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Stock options, RSUs and PSUs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204,238</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200,295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110,142</w:t>
            </w:r>
          </w:p>
        </w:tc>
      </w:tr>
      <w:tr>
        <w:trPr>
          <w:trHeight w:val="209"/>
        </w:trPr>
        <w:tc>
          <w:tcPr>
            <w:tcW w:w="6660" w:type="dxa"/>
            <w:vAlign w:val="bottom"/>
          </w:tcPr>
          <w:p>
            <w:pPr>
              <w:spacing w:after="0"/>
              <w:rPr>
                <w:sz w:val="20"/>
                <w:szCs w:val="20"/>
                <w:color w:val="auto"/>
              </w:rPr>
            </w:pPr>
            <w:r>
              <w:rPr>
                <w:rFonts w:ascii="Arial" w:cs="Arial" w:eastAsia="Arial" w:hAnsi="Arial"/>
                <w:sz w:val="16"/>
                <w:szCs w:val="16"/>
                <w:color w:val="auto"/>
              </w:rPr>
              <w:t>Employee stock purchase plan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5,475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4,144</w:t>
            </w:r>
          </w:p>
        </w:tc>
      </w:tr>
      <w:tr>
        <w:trPr>
          <w:trHeight w:val="211"/>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Post combination expense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11,032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6660" w:type="dxa"/>
            <w:vAlign w:val="bottom"/>
          </w:tcPr>
          <w:p>
            <w:pPr>
              <w:ind w:left="36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212,857</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216,802</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114,286</w:t>
            </w:r>
          </w:p>
        </w:tc>
      </w:tr>
      <w:tr>
        <w:trPr>
          <w:trHeight w:val="21"/>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As of December 31, 2023, there was approximately $384.3 million of total unrecognized stock-based compensation expense related to unvested equity awards, which are expected to be recognized over a weighted-average period of 2.6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616585</wp:posOffset>
            </wp:positionV>
            <wp:extent cx="69361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3" w:name="page114"/>
    <w:bookmarkEnd w:id="11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Awards Activity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stock option activity:</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Weighted-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Weighted-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2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7"/>
              </w:rPr>
              <w:t>Average</w:t>
            </w:r>
          </w:p>
        </w:tc>
        <w:tc>
          <w:tcPr>
            <w:tcW w:w="200" w:type="dxa"/>
            <w:vAlign w:val="bottom"/>
          </w:tcPr>
          <w:p>
            <w:pPr>
              <w:spacing w:after="0"/>
              <w:rPr>
                <w:sz w:val="12"/>
                <w:szCs w:val="12"/>
                <w:color w:val="auto"/>
              </w:rPr>
            </w:pPr>
          </w:p>
        </w:tc>
        <w:tc>
          <w:tcPr>
            <w:tcW w:w="124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7"/>
              </w:rPr>
              <w:t>Average</w:t>
            </w:r>
          </w:p>
        </w:tc>
        <w:tc>
          <w:tcPr>
            <w:tcW w:w="15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7"/>
              </w:rPr>
              <w:t>Remaining</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Exercise Price</w:t>
            </w:r>
          </w:p>
        </w:tc>
        <w:tc>
          <w:tcPr>
            <w:tcW w:w="15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2"/>
                <w:szCs w:val="12"/>
                <w:color w:val="auto"/>
              </w:rPr>
            </w:pPr>
          </w:p>
        </w:tc>
        <w:tc>
          <w:tcPr>
            <w:tcW w:w="1240" w:type="dxa"/>
            <w:vAlign w:val="bottom"/>
          </w:tcPr>
          <w:p>
            <w:pPr>
              <w:jc w:val="center"/>
              <w:ind w:right="105"/>
              <w:spacing w:after="0" w:line="14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9"/>
              </w:rPr>
              <w:t>per Share</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9"/>
                <w:szCs w:val="9"/>
                <w:b w:val="1"/>
                <w:bCs w:val="1"/>
                <w:color w:val="auto"/>
                <w:w w:val="95"/>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200" w:type="dxa"/>
            <w:vAlign w:val="bottom"/>
          </w:tcPr>
          <w:p>
            <w:pPr>
              <w:spacing w:after="0"/>
              <w:rPr>
                <w:sz w:val="16"/>
                <w:szCs w:val="16"/>
                <w:color w:val="auto"/>
              </w:rPr>
            </w:pPr>
          </w:p>
        </w:tc>
        <w:tc>
          <w:tcPr>
            <w:tcW w:w="1240" w:type="dxa"/>
            <w:vAlign w:val="bottom"/>
          </w:tcPr>
          <w:p>
            <w:pPr>
              <w:jc w:val="center"/>
              <w:ind w:right="105"/>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Exercised</w:t>
            </w:r>
          </w:p>
        </w:tc>
        <w:tc>
          <w:tcPr>
            <w:tcW w:w="142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42,091</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6"/>
                <w:szCs w:val="16"/>
                <w:color w:val="auto"/>
              </w:rPr>
              <w:t>Outstanding at December 31, 2021</w:t>
            </w:r>
          </w:p>
        </w:tc>
        <w:tc>
          <w:tcPr>
            <w:tcW w:w="1420" w:type="dxa"/>
            <w:vAlign w:val="bottom"/>
          </w:tcPr>
          <w:p>
            <w:pPr>
              <w:jc w:val="right"/>
              <w:spacing w:after="0"/>
              <w:rPr>
                <w:sz w:val="20"/>
                <w:szCs w:val="20"/>
                <w:color w:val="auto"/>
              </w:rPr>
            </w:pPr>
            <w:r>
              <w:rPr>
                <w:rFonts w:ascii="Arial" w:cs="Arial" w:eastAsia="Arial" w:hAnsi="Arial"/>
                <w:sz w:val="16"/>
                <w:szCs w:val="16"/>
                <w:color w:val="auto"/>
              </w:rPr>
              <w:t>2,264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197,334</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tcPr>
          <w:p>
            <w:pPr>
              <w:spacing w:after="0"/>
              <w:rPr>
                <w:sz w:val="20"/>
                <w:szCs w:val="20"/>
                <w:color w:val="auto"/>
              </w:rPr>
            </w:pPr>
          </w:p>
        </w:tc>
        <w:tc>
          <w:tcPr>
            <w:tcW w:w="5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8.82</w:t>
            </w: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at December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Exercised</w:t>
            </w:r>
          </w:p>
        </w:tc>
        <w:tc>
          <w:tcPr>
            <w:tcW w:w="1420" w:type="dxa"/>
            <w:vAlign w:val="bottom"/>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100,390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6"/>
                <w:szCs w:val="16"/>
                <w:color w:val="auto"/>
              </w:rPr>
              <w:t>Outstanding at December 31,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8"/>
              </w:rPr>
              <w:t>0.7</w:t>
            </w:r>
          </w:p>
        </w:tc>
        <w:tc>
          <w:tcPr>
            <w:tcW w:w="100" w:type="dxa"/>
            <w:vAlign w:val="bottom"/>
          </w:tcPr>
          <w:p>
            <w:pPr>
              <w:spacing w:after="0"/>
              <w:rPr>
                <w:sz w:val="17"/>
                <w:szCs w:val="17"/>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90,047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Vested and expected to vest at December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Exercisable at December 31, 2023</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gridSpan w:val="2"/>
            <w:vMerge w:val="continue"/>
          </w:tcPr>
          <w:p>
            <w:pPr>
              <w:spacing w:after="0"/>
              <w:rPr>
                <w:sz w:val="15"/>
                <w:szCs w:val="15"/>
                <w:color w:val="auto"/>
              </w:rPr>
            </w:pP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692</w:t>
            </w:r>
          </w:p>
        </w:tc>
        <w:tc>
          <w:tcPr>
            <w:tcW w:w="2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82" w:lineRule="exact"/>
              <w:rPr>
                <w:sz w:val="20"/>
                <w:szCs w:val="20"/>
                <w:color w:val="auto"/>
              </w:rPr>
            </w:pPr>
            <w:r>
              <w:rPr>
                <w:rFonts w:ascii="Arial" w:cs="Arial" w:eastAsia="Arial" w:hAnsi="Arial"/>
                <w:sz w:val="16"/>
                <w:szCs w:val="16"/>
                <w:color w:val="auto"/>
              </w:rPr>
              <w:t>2.01</w:t>
            </w:r>
          </w:p>
        </w:tc>
        <w:tc>
          <w:tcPr>
            <w:tcW w:w="120" w:type="dxa"/>
            <w:vAlign w:val="bottom"/>
          </w:tcPr>
          <w:p>
            <w:pPr>
              <w:spacing w:after="0"/>
              <w:rPr>
                <w:sz w:val="15"/>
                <w:szCs w:val="15"/>
                <w:color w:val="auto"/>
              </w:rPr>
            </w:pPr>
          </w:p>
        </w:tc>
        <w:tc>
          <w:tcPr>
            <w:tcW w:w="1420" w:type="dxa"/>
            <w:vAlign w:val="bottom"/>
          </w:tcPr>
          <w:p>
            <w:pPr>
              <w:jc w:val="center"/>
              <w:spacing w:after="0" w:line="182" w:lineRule="exact"/>
              <w:rPr>
                <w:sz w:val="20"/>
                <w:szCs w:val="20"/>
                <w:color w:val="auto"/>
              </w:rPr>
            </w:pPr>
            <w:r>
              <w:rPr>
                <w:rFonts w:ascii="Arial" w:cs="Arial" w:eastAsia="Arial" w:hAnsi="Arial"/>
                <w:sz w:val="16"/>
                <w:szCs w:val="16"/>
                <w:color w:val="auto"/>
                <w:w w:val="98"/>
              </w:rPr>
              <w:t>0.7</w:t>
            </w:r>
          </w:p>
        </w:tc>
        <w:tc>
          <w:tcPr>
            <w:tcW w:w="100" w:type="dxa"/>
            <w:vAlign w:val="bottom"/>
          </w:tcPr>
          <w:p>
            <w:pPr>
              <w:spacing w:after="0"/>
              <w:rPr>
                <w:sz w:val="15"/>
                <w:szCs w:val="15"/>
                <w:color w:val="auto"/>
              </w:rPr>
            </w:pPr>
          </w:p>
        </w:tc>
        <w:tc>
          <w:tcPr>
            <w:tcW w:w="200" w:type="dxa"/>
            <w:vAlign w:val="bottom"/>
          </w:tcPr>
          <w:p>
            <w:pPr>
              <w:jc w:val="right"/>
              <w:ind w:right="1"/>
              <w:spacing w:after="0" w:line="182"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82" w:lineRule="exact"/>
              <w:rPr>
                <w:sz w:val="20"/>
                <w:szCs w:val="20"/>
                <w:color w:val="auto"/>
              </w:rPr>
            </w:pPr>
            <w:r>
              <w:rPr>
                <w:rFonts w:ascii="Arial" w:cs="Arial" w:eastAsia="Arial" w:hAnsi="Arial"/>
                <w:sz w:val="16"/>
                <w:szCs w:val="16"/>
                <w:color w:val="auto"/>
              </w:rPr>
              <w:t>90,047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80" w:hanging="475"/>
        <w:spacing w:after="0" w:line="262" w:lineRule="auto"/>
        <w:tabs>
          <w:tab w:leader="none" w:pos="39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intrinsic value of options exercised is based upon the value of the Company’s stock at exercise. The intrinsic value of options outstanding, vested and expected to vest, and exercisable as of December 31, 2023 is based on the closing price of the last trading day during the period ended December 31, 2023. The Company’s stock fair value used in this computation was $132.14 per share.</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information about stock options outstanding at December 31,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Options Outstanding</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725"/>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41"/>
        </w:trPr>
        <w:tc>
          <w:tcPr>
            <w:tcW w:w="1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97"/>
              </w:rPr>
              <w:t>Weighted-</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65"/>
              <w:spacing w:after="0" w:line="141" w:lineRule="exact"/>
              <w:rPr>
                <w:sz w:val="20"/>
                <w:szCs w:val="20"/>
                <w:color w:val="auto"/>
              </w:rPr>
            </w:pPr>
            <w:r>
              <w:rPr>
                <w:rFonts w:ascii="Arial" w:cs="Arial" w:eastAsia="Arial" w:hAnsi="Arial"/>
                <w:sz w:val="14"/>
                <w:szCs w:val="14"/>
                <w:b w:val="1"/>
                <w:bCs w:val="1"/>
                <w:color w:val="auto"/>
                <w:w w:val="97"/>
              </w:rPr>
              <w:t>Weighted-</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7"/>
              </w:rPr>
              <w:t>Average</w:t>
            </w: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7"/>
              </w:rPr>
              <w:t>Average</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65"/>
              <w:spacing w:after="0" w:line="145"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1"/>
        </w:trPr>
        <w:tc>
          <w:tcPr>
            <w:tcW w:w="362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Range of Exercise Prices</w:t>
            </w:r>
          </w:p>
        </w:tc>
        <w:tc>
          <w:tcPr>
            <w:tcW w:w="100" w:type="dxa"/>
            <w:vAlign w:val="bottom"/>
            <w:vMerge w:val="restart"/>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rPr>
              <w:t>Exercise</w:t>
            </w: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65"/>
              <w:spacing w:after="0" w:line="141"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84"/>
        </w:trPr>
        <w:tc>
          <w:tcPr>
            <w:tcW w:w="362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9"/>
              </w:rPr>
              <w:t>Price</w:t>
            </w: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i w:val="1"/>
                <w:iCs w:val="1"/>
                <w:color w:val="auto"/>
                <w:w w:val="98"/>
              </w:rPr>
              <w:t>(In thousands)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$0.84</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79</w:t>
            </w:r>
          </w:p>
        </w:tc>
        <w:tc>
          <w:tcPr>
            <w:tcW w:w="152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98"/>
              </w:rPr>
              <w:t>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209"/>
        </w:trPr>
        <w:tc>
          <w:tcPr>
            <w:tcW w:w="1660" w:type="dxa"/>
            <w:vAlign w:val="bottom"/>
          </w:tcPr>
          <w:p>
            <w:pPr>
              <w:jc w:val="right"/>
              <w:spacing w:after="0"/>
              <w:rPr>
                <w:sz w:val="20"/>
                <w:szCs w:val="20"/>
                <w:color w:val="auto"/>
              </w:rPr>
            </w:pPr>
            <w:r>
              <w:rPr>
                <w:rFonts w:ascii="Arial" w:cs="Arial" w:eastAsia="Arial" w:hAnsi="Arial"/>
                <w:sz w:val="16"/>
                <w:szCs w:val="16"/>
                <w:color w:val="auto"/>
              </w:rPr>
              <w:t>$1.29</w:t>
            </w:r>
          </w:p>
        </w:tc>
        <w:tc>
          <w:tcPr>
            <w:tcW w:w="2060" w:type="dxa"/>
            <w:vAlign w:val="bottom"/>
            <w:gridSpan w:val="2"/>
          </w:tcPr>
          <w:p>
            <w:pPr>
              <w:ind w:left="20"/>
              <w:spacing w:after="0"/>
              <w:rPr>
                <w:sz w:val="20"/>
                <w:szCs w:val="20"/>
                <w:color w:val="auto"/>
              </w:rPr>
            </w:pPr>
            <w:r>
              <w:rPr>
                <w:rFonts w:ascii="Arial" w:cs="Arial" w:eastAsia="Arial" w:hAnsi="Arial"/>
                <w:sz w:val="16"/>
                <w:szCs w:val="16"/>
                <w:color w:val="auto"/>
              </w:rPr>
              <w:t>—– $1.29</w:t>
            </w: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558</w:t>
            </w:r>
          </w:p>
        </w:tc>
        <w:tc>
          <w:tcPr>
            <w:tcW w:w="152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1"/>
        </w:trPr>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$5.53</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40</w:t>
            </w:r>
          </w:p>
        </w:tc>
        <w:tc>
          <w:tcPr>
            <w:tcW w:w="152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98"/>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9"/>
        </w:trPr>
        <w:tc>
          <w:tcPr>
            <w:tcW w:w="1660" w:type="dxa"/>
            <w:vAlign w:val="bottom"/>
          </w:tcPr>
          <w:p>
            <w:pPr>
              <w:jc w:val="right"/>
              <w:spacing w:after="0"/>
              <w:rPr>
                <w:sz w:val="20"/>
                <w:szCs w:val="20"/>
                <w:color w:val="auto"/>
              </w:rPr>
            </w:pPr>
            <w:r>
              <w:rPr>
                <w:rFonts w:ascii="Arial" w:cs="Arial" w:eastAsia="Arial" w:hAnsi="Arial"/>
                <w:sz w:val="16"/>
                <w:szCs w:val="16"/>
                <w:color w:val="auto"/>
              </w:rPr>
              <w:t>$14.58</w:t>
            </w:r>
          </w:p>
        </w:tc>
        <w:tc>
          <w:tcPr>
            <w:tcW w:w="2060" w:type="dxa"/>
            <w:vAlign w:val="bottom"/>
            <w:gridSpan w:val="2"/>
          </w:tcPr>
          <w:p>
            <w:pPr>
              <w:ind w:left="20"/>
              <w:spacing w:after="0"/>
              <w:rPr>
                <w:sz w:val="20"/>
                <w:szCs w:val="20"/>
                <w:color w:val="auto"/>
              </w:rPr>
            </w:pPr>
            <w:r>
              <w:rPr>
                <w:rFonts w:ascii="Arial" w:cs="Arial" w:eastAsia="Arial" w:hAnsi="Arial"/>
                <w:sz w:val="16"/>
                <w:szCs w:val="16"/>
                <w:color w:val="auto"/>
              </w:rPr>
              <w:t>—– $14.58</w:t>
            </w: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10</w:t>
            </w:r>
          </w:p>
        </w:tc>
        <w:tc>
          <w:tcPr>
            <w:tcW w:w="152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14.58</w:t>
            </w: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$64.17</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$64.17</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w:t>
            </w:r>
          </w:p>
        </w:tc>
        <w:tc>
          <w:tcPr>
            <w:tcW w:w="152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98"/>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64.17</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64.17</w:t>
            </w:r>
          </w:p>
        </w:tc>
        <w:tc>
          <w:tcPr>
            <w:tcW w:w="0" w:type="dxa"/>
            <w:vAlign w:val="bottom"/>
          </w:tcPr>
          <w:p>
            <w:pPr>
              <w:spacing w:after="0"/>
              <w:rPr>
                <w:sz w:val="1"/>
                <w:szCs w:val="1"/>
                <w:color w:val="auto"/>
              </w:rPr>
            </w:pPr>
          </w:p>
        </w:tc>
      </w:tr>
      <w:tr>
        <w:trPr>
          <w:trHeight w:val="204"/>
        </w:trPr>
        <w:tc>
          <w:tcPr>
            <w:tcW w:w="1660" w:type="dxa"/>
            <w:vAlign w:val="bottom"/>
          </w:tcPr>
          <w:p>
            <w:pPr>
              <w:jc w:val="right"/>
              <w:ind w:right="883"/>
              <w:spacing w:after="0"/>
              <w:rPr>
                <w:sz w:val="20"/>
                <w:szCs w:val="20"/>
                <w:color w:val="auto"/>
              </w:rPr>
            </w:pPr>
            <w:r>
              <w:rPr>
                <w:rFonts w:ascii="Arial" w:cs="Arial" w:eastAsia="Arial" w:hAnsi="Arial"/>
                <w:sz w:val="16"/>
                <w:szCs w:val="16"/>
                <w:b w:val="1"/>
                <w:bCs w:val="1"/>
                <w:color w:val="auto"/>
              </w:rPr>
              <w:t>Total</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692</w:t>
            </w:r>
          </w:p>
        </w:tc>
        <w:tc>
          <w:tcPr>
            <w:tcW w:w="152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0.7</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558165</wp:posOffset>
            </wp:positionV>
            <wp:extent cx="69361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4" w:name="page115"/>
    <w:bookmarkEnd w:id="11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Units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RSU activity:</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Weighted-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Weighted-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7"/>
              </w:rPr>
              <w:t>Average</w:t>
            </w:r>
          </w:p>
        </w:tc>
        <w:tc>
          <w:tcPr>
            <w:tcW w:w="152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7"/>
              </w:rPr>
              <w:t>Average</w:t>
            </w:r>
          </w:p>
        </w:tc>
        <w:tc>
          <w:tcPr>
            <w:tcW w:w="200" w:type="dxa"/>
            <w:vAlign w:val="bottom"/>
          </w:tcPr>
          <w:p>
            <w:pPr>
              <w:spacing w:after="0"/>
              <w:rPr>
                <w:sz w:val="12"/>
                <w:szCs w:val="12"/>
                <w:color w:val="auto"/>
              </w:rPr>
            </w:pPr>
          </w:p>
        </w:tc>
        <w:tc>
          <w:tcPr>
            <w:tcW w:w="124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8"/>
              </w:rPr>
              <w:t>Fair Value</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Remaining</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rPr>
              <w:t>per Share at</w:t>
            </w:r>
          </w:p>
        </w:tc>
        <w:tc>
          <w:tcPr>
            <w:tcW w:w="152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2"/>
                <w:szCs w:val="12"/>
                <w:color w:val="auto"/>
              </w:rPr>
            </w:pPr>
          </w:p>
        </w:tc>
        <w:tc>
          <w:tcPr>
            <w:tcW w:w="1240" w:type="dxa"/>
            <w:vAlign w:val="bottom"/>
          </w:tcPr>
          <w:p>
            <w:pPr>
              <w:jc w:val="center"/>
              <w:ind w:right="105"/>
              <w:spacing w:after="0" w:line="141"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7"/>
              </w:rPr>
              <w:t>Grant Date</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9"/>
                <w:szCs w:val="9"/>
                <w:b w:val="1"/>
                <w:bCs w:val="1"/>
                <w:color w:val="auto"/>
                <w:w w:val="95"/>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200" w:type="dxa"/>
            <w:vAlign w:val="bottom"/>
          </w:tcPr>
          <w:p>
            <w:pPr>
              <w:spacing w:after="0"/>
              <w:rPr>
                <w:sz w:val="16"/>
                <w:szCs w:val="16"/>
                <w:color w:val="auto"/>
              </w:rPr>
            </w:pPr>
          </w:p>
        </w:tc>
        <w:tc>
          <w:tcPr>
            <w:tcW w:w="1240" w:type="dxa"/>
            <w:vAlign w:val="bottom"/>
          </w:tcPr>
          <w:p>
            <w:pPr>
              <w:jc w:val="center"/>
              <w:ind w:right="105"/>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14"/>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Outstanding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179.88</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364,665</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5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88.50</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Outstanding at December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100.73</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1,159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228.88</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321,274</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5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150.02</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Outstanding at December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181.01</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154.63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185,078</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5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184.66</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Outstanding at December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177.64</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308,135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gridSpan w:val="3"/>
          </w:tcPr>
          <w:p>
            <w:pPr>
              <w:ind w:left="20"/>
              <w:spacing w:after="0" w:line="182" w:lineRule="exact"/>
              <w:rPr>
                <w:sz w:val="20"/>
                <w:szCs w:val="20"/>
                <w:color w:val="auto"/>
              </w:rPr>
            </w:pPr>
            <w:r>
              <w:rPr>
                <w:rFonts w:ascii="Arial" w:cs="Arial" w:eastAsia="Arial" w:hAnsi="Arial"/>
                <w:sz w:val="16"/>
                <w:szCs w:val="16"/>
                <w:color w:val="auto"/>
              </w:rPr>
              <w:t>Expected to vest at December 31, 2023</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2,331</w:t>
            </w:r>
          </w:p>
        </w:tc>
        <w:tc>
          <w:tcPr>
            <w:tcW w:w="320" w:type="dxa"/>
            <w:vAlign w:val="bottom"/>
            <w:gridSpan w:val="2"/>
          </w:tcPr>
          <w:p>
            <w:pPr>
              <w:jc w:val="right"/>
              <w:ind w:right="100"/>
              <w:spacing w:after="0" w:line="182"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6"/>
                <w:szCs w:val="16"/>
                <w:color w:val="auto"/>
              </w:rPr>
              <w:t>177.64</w:t>
            </w:r>
          </w:p>
        </w:tc>
        <w:tc>
          <w:tcPr>
            <w:tcW w:w="120" w:type="dxa"/>
            <w:vAlign w:val="bottom"/>
          </w:tcPr>
          <w:p>
            <w:pPr>
              <w:spacing w:after="0"/>
              <w:rPr>
                <w:sz w:val="15"/>
                <w:szCs w:val="15"/>
                <w:color w:val="auto"/>
              </w:rPr>
            </w:pPr>
          </w:p>
        </w:tc>
        <w:tc>
          <w:tcPr>
            <w:tcW w:w="1420" w:type="dxa"/>
            <w:vAlign w:val="bottom"/>
          </w:tcPr>
          <w:p>
            <w:pPr>
              <w:jc w:val="center"/>
              <w:spacing w:after="0" w:line="182" w:lineRule="exact"/>
              <w:rPr>
                <w:sz w:val="20"/>
                <w:szCs w:val="20"/>
                <w:color w:val="auto"/>
              </w:rPr>
            </w:pPr>
            <w:r>
              <w:rPr>
                <w:rFonts w:ascii="Arial" w:cs="Arial" w:eastAsia="Arial" w:hAnsi="Arial"/>
                <w:sz w:val="16"/>
                <w:szCs w:val="16"/>
                <w:color w:val="auto"/>
                <w:w w:val="98"/>
              </w:rPr>
              <w:t>1.4</w:t>
            </w:r>
          </w:p>
        </w:tc>
        <w:tc>
          <w:tcPr>
            <w:tcW w:w="100" w:type="dxa"/>
            <w:vAlign w:val="bottom"/>
          </w:tcPr>
          <w:p>
            <w:pPr>
              <w:spacing w:after="0"/>
              <w:rPr>
                <w:sz w:val="15"/>
                <w:szCs w:val="15"/>
                <w:color w:val="auto"/>
              </w:rPr>
            </w:pPr>
          </w:p>
        </w:tc>
        <w:tc>
          <w:tcPr>
            <w:tcW w:w="200" w:type="dxa"/>
            <w:vAlign w:val="bottom"/>
          </w:tcPr>
          <w:p>
            <w:pPr>
              <w:jc w:val="right"/>
              <w:ind w:right="1"/>
              <w:spacing w:after="0" w:line="182"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82" w:lineRule="exact"/>
              <w:rPr>
                <w:sz w:val="20"/>
                <w:szCs w:val="20"/>
                <w:color w:val="auto"/>
              </w:rPr>
            </w:pPr>
            <w:r>
              <w:rPr>
                <w:rFonts w:ascii="Arial" w:cs="Arial" w:eastAsia="Arial" w:hAnsi="Arial"/>
                <w:sz w:val="16"/>
                <w:szCs w:val="16"/>
                <w:color w:val="auto"/>
              </w:rPr>
              <w:t>308,126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80" w:hanging="475"/>
        <w:spacing w:after="0" w:line="262" w:lineRule="auto"/>
        <w:tabs>
          <w:tab w:leader="none" w:pos="39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intrinsic value of RSUs vested is based upon the value of the Company’s stock when vested. The intrinsic value of RSUs outstanding and expected to vest as of December 31, 2023 is based on the closing price of the last trading day during the period ended December 31, 2023. The Company’s stock fair value used in this computation was $132.14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2023 Form 10-K |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5" w:name="page116"/>
    <w:bookmarkEnd w:id="11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Stock Units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summarizes PSU activity: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7"/>
              </w:rPr>
              <w:t>Average</w:t>
            </w:r>
          </w:p>
        </w:tc>
        <w:tc>
          <w:tcPr>
            <w:tcW w:w="154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7"/>
              </w:rPr>
              <w:t>Average</w:t>
            </w:r>
          </w:p>
        </w:tc>
        <w:tc>
          <w:tcPr>
            <w:tcW w:w="180" w:type="dxa"/>
            <w:vAlign w:val="bottom"/>
          </w:tcPr>
          <w:p>
            <w:pPr>
              <w:spacing w:after="0"/>
              <w:rPr>
                <w:sz w:val="12"/>
                <w:szCs w:val="12"/>
                <w:color w:val="auto"/>
              </w:rPr>
            </w:pPr>
          </w:p>
        </w:tc>
        <w:tc>
          <w:tcPr>
            <w:tcW w:w="126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8"/>
              </w:rPr>
              <w:t>Fair Value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8"/>
              </w:rPr>
              <w:t>per Share at</w:t>
            </w:r>
          </w:p>
        </w:tc>
        <w:tc>
          <w:tcPr>
            <w:tcW w:w="154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2"/>
                <w:szCs w:val="12"/>
                <w:color w:val="auto"/>
              </w:rPr>
            </w:pPr>
          </w:p>
        </w:tc>
        <w:tc>
          <w:tcPr>
            <w:tcW w:w="1260" w:type="dxa"/>
            <w:vAlign w:val="bottom"/>
          </w:tcPr>
          <w:p>
            <w:pPr>
              <w:jc w:val="center"/>
              <w:ind w:right="125"/>
              <w:spacing w:after="0" w:line="141"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9"/>
              </w:rPr>
              <w:t xml:space="preserve">Value </w:t>
            </w:r>
            <w:r>
              <w:rPr>
                <w:rFonts w:ascii="Arial" w:cs="Arial" w:eastAsia="Arial" w:hAnsi="Arial"/>
                <w:sz w:val="9"/>
                <w:szCs w:val="9"/>
                <w:b w:val="1"/>
                <w:bCs w:val="1"/>
                <w:color w:val="auto"/>
                <w:w w:val="99"/>
              </w:rPr>
              <w:t>(1)</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rPr>
              <w:t>(Years)</w:t>
            </w:r>
          </w:p>
        </w:tc>
        <w:tc>
          <w:tcPr>
            <w:tcW w:w="180" w:type="dxa"/>
            <w:vAlign w:val="bottom"/>
          </w:tcPr>
          <w:p>
            <w:pPr>
              <w:spacing w:after="0"/>
              <w:rPr>
                <w:sz w:val="16"/>
                <w:szCs w:val="16"/>
                <w:color w:val="auto"/>
              </w:rPr>
            </w:pPr>
          </w:p>
        </w:tc>
        <w:tc>
          <w:tcPr>
            <w:tcW w:w="1260" w:type="dxa"/>
            <w:vAlign w:val="bottom"/>
          </w:tcPr>
          <w:p>
            <w:pPr>
              <w:jc w:val="center"/>
              <w:ind w:right="125"/>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14"/>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Outstanding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51.10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120" w:type="dxa"/>
            <w:vAlign w:val="bottom"/>
            <w:gridSpan w:val="2"/>
          </w:tcPr>
          <w:p>
            <w:pPr>
              <w:ind w:left="18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131.60</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59.19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91,803</w:t>
            </w: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5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color w:val="auto"/>
              </w:rPr>
              <w:t>52.75</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Outstanding at December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169.82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120" w:type="dxa"/>
            <w:vAlign w:val="bottom"/>
            <w:gridSpan w:val="2"/>
          </w:tcPr>
          <w:p>
            <w:pPr>
              <w:ind w:left="18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195.29</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168.88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51,393</w:t>
            </w: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5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color w:val="auto"/>
              </w:rPr>
              <w:t>171.32</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Outstanding at December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197.82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120" w:type="dxa"/>
            <w:vAlign w:val="bottom"/>
            <w:gridSpan w:val="2"/>
          </w:tcPr>
          <w:p>
            <w:pPr>
              <w:ind w:left="18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233.90</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196.24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80,113</w:t>
            </w: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5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color w:val="auto"/>
              </w:rPr>
              <w:t>229.11</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Outstanding at December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235.99</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52,322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gridSpan w:val="3"/>
          </w:tcPr>
          <w:p>
            <w:pPr>
              <w:ind w:left="20"/>
              <w:spacing w:after="0" w:line="182" w:lineRule="exact"/>
              <w:rPr>
                <w:sz w:val="20"/>
                <w:szCs w:val="20"/>
                <w:color w:val="auto"/>
              </w:rPr>
            </w:pPr>
            <w:r>
              <w:rPr>
                <w:rFonts w:ascii="Arial" w:cs="Arial" w:eastAsia="Arial" w:hAnsi="Arial"/>
                <w:sz w:val="16"/>
                <w:szCs w:val="16"/>
                <w:color w:val="auto"/>
              </w:rPr>
              <w:t>Expected to vest at December 31, 2023</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396</w:t>
            </w:r>
          </w:p>
        </w:tc>
        <w:tc>
          <w:tcPr>
            <w:tcW w:w="320" w:type="dxa"/>
            <w:vAlign w:val="bottom"/>
            <w:gridSpan w:val="2"/>
          </w:tcPr>
          <w:p>
            <w:pPr>
              <w:jc w:val="right"/>
              <w:ind w:right="100"/>
              <w:spacing w:after="0" w:line="182"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4"/>
              <w:spacing w:after="0" w:line="182" w:lineRule="exact"/>
              <w:rPr>
                <w:sz w:val="20"/>
                <w:szCs w:val="20"/>
                <w:color w:val="auto"/>
              </w:rPr>
            </w:pPr>
            <w:r>
              <w:rPr>
                <w:rFonts w:ascii="Arial" w:cs="Arial" w:eastAsia="Arial" w:hAnsi="Arial"/>
                <w:sz w:val="16"/>
                <w:szCs w:val="16"/>
                <w:color w:val="auto"/>
              </w:rPr>
              <w:t>235.99</w:t>
            </w:r>
          </w:p>
        </w:tc>
        <w:tc>
          <w:tcPr>
            <w:tcW w:w="100" w:type="dxa"/>
            <w:vAlign w:val="bottom"/>
          </w:tcPr>
          <w:p>
            <w:pPr>
              <w:spacing w:after="0"/>
              <w:rPr>
                <w:sz w:val="15"/>
                <w:szCs w:val="15"/>
                <w:color w:val="auto"/>
              </w:rPr>
            </w:pPr>
          </w:p>
        </w:tc>
        <w:tc>
          <w:tcPr>
            <w:tcW w:w="1420" w:type="dxa"/>
            <w:vAlign w:val="bottom"/>
          </w:tcPr>
          <w:p>
            <w:pPr>
              <w:jc w:val="center"/>
              <w:spacing w:after="0" w:line="182" w:lineRule="exact"/>
              <w:rPr>
                <w:sz w:val="20"/>
                <w:szCs w:val="20"/>
                <w:color w:val="auto"/>
              </w:rPr>
            </w:pPr>
            <w:r>
              <w:rPr>
                <w:rFonts w:ascii="Arial" w:cs="Arial" w:eastAsia="Arial" w:hAnsi="Arial"/>
                <w:sz w:val="16"/>
                <w:szCs w:val="16"/>
                <w:color w:val="auto"/>
                <w:w w:val="98"/>
              </w:rPr>
              <w:t>1.2</w:t>
            </w:r>
          </w:p>
        </w:tc>
        <w:tc>
          <w:tcPr>
            <w:tcW w:w="120" w:type="dxa"/>
            <w:vAlign w:val="bottom"/>
          </w:tcPr>
          <w:p>
            <w:pPr>
              <w:spacing w:after="0"/>
              <w:rPr>
                <w:sz w:val="15"/>
                <w:szCs w:val="15"/>
                <w:color w:val="auto"/>
              </w:rPr>
            </w:pPr>
          </w:p>
        </w:tc>
        <w:tc>
          <w:tcPr>
            <w:tcW w:w="180" w:type="dxa"/>
            <w:vAlign w:val="bottom"/>
          </w:tcPr>
          <w:p>
            <w:pPr>
              <w:jc w:val="right"/>
              <w:ind w:right="1"/>
              <w:spacing w:after="0" w:line="182"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
              <w:spacing w:after="0" w:line="182" w:lineRule="exact"/>
              <w:rPr>
                <w:sz w:val="20"/>
                <w:szCs w:val="20"/>
                <w:color w:val="auto"/>
              </w:rPr>
            </w:pPr>
            <w:r>
              <w:rPr>
                <w:rFonts w:ascii="Arial" w:cs="Arial" w:eastAsia="Arial" w:hAnsi="Arial"/>
                <w:sz w:val="16"/>
                <w:szCs w:val="16"/>
                <w:color w:val="auto"/>
              </w:rPr>
              <w:t>52,322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80" w:hanging="475"/>
        <w:spacing w:after="0" w:line="262" w:lineRule="auto"/>
        <w:tabs>
          <w:tab w:leader="none" w:pos="39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intrinsic value of PSUs vested is based upon the value of the Company’s stock when vested. The intrinsic value of PSUs outstanding and expected to vest as of December 31, 2023 is based on the closing price of the last trading day during the period ended December 31, 2023. The Company’s stock fair value used in this computation was $132.14 per share.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Stock Purchase Plan</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summary of ESPP activity for the years presented is as follows: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201"/>
              <w:spacing w:after="0"/>
              <w:rPr>
                <w:sz w:val="20"/>
                <w:szCs w:val="20"/>
                <w:color w:val="auto"/>
              </w:rPr>
            </w:pPr>
            <w:r>
              <w:rPr>
                <w:rFonts w:ascii="Arial" w:cs="Arial" w:eastAsia="Arial" w:hAnsi="Arial"/>
                <w:sz w:val="14"/>
                <w:szCs w:val="14"/>
                <w:b w:val="1"/>
                <w:bCs w:val="1"/>
                <w:color w:val="auto"/>
                <w:w w:val="97"/>
              </w:rPr>
              <w:t>Years Ended December 31,</w:t>
            </w:r>
          </w:p>
        </w:tc>
        <w:tc>
          <w:tcPr>
            <w:tcW w:w="1100" w:type="dxa"/>
            <w:vAlign w:val="bottom"/>
            <w:tcBorders>
              <w:bottom w:val="single" w:sz="8" w:color="auto"/>
            </w:tcBorders>
          </w:tcPr>
          <w:p>
            <w:pPr>
              <w:spacing w:after="0"/>
              <w:rPr>
                <w:sz w:val="16"/>
                <w:szCs w:val="16"/>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common stock issued under ESPP</w:t>
            </w:r>
          </w:p>
        </w:tc>
        <w:tc>
          <w:tcPr>
            <w:tcW w:w="88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12,897</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9,570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6,832</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Shares of common stock issued</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price per share</w:t>
            </w:r>
          </w:p>
        </w:tc>
        <w:tc>
          <w:tcPr>
            <w:tcW w:w="88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97.05</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106.32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w:t>
            </w:r>
          </w:p>
        </w:tc>
      </w:tr>
    </w:tbl>
    <w:p>
      <w:pPr>
        <w:spacing w:after="0" w:line="230" w:lineRule="exact"/>
        <w:rPr>
          <w:sz w:val="20"/>
          <w:szCs w:val="20"/>
          <w:color w:val="auto"/>
        </w:rPr>
      </w:pPr>
    </w:p>
    <w:p>
      <w:pPr>
        <w:ind w:left="440" w:hanging="435"/>
        <w:spacing w:after="0"/>
        <w:tabs>
          <w:tab w:leader="none" w:pos="44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domestic and foreign components of income before income taxes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201"/>
              <w:spacing w:after="0"/>
              <w:rPr>
                <w:sz w:val="20"/>
                <w:szCs w:val="20"/>
                <w:color w:val="auto"/>
              </w:rPr>
            </w:pPr>
            <w:r>
              <w:rPr>
                <w:rFonts w:ascii="Arial" w:cs="Arial" w:eastAsia="Arial" w:hAnsi="Arial"/>
                <w:sz w:val="14"/>
                <w:szCs w:val="14"/>
                <w:b w:val="1"/>
                <w:bCs w:val="1"/>
                <w:color w:val="auto"/>
                <w:w w:val="99"/>
              </w:rPr>
              <w:t>Years Ended December 31,</w:t>
            </w:r>
          </w:p>
        </w:tc>
        <w:tc>
          <w:tcPr>
            <w:tcW w:w="1100" w:type="dxa"/>
            <w:vAlign w:val="bottom"/>
            <w:tcBorders>
              <w:bottom w:val="single" w:sz="8" w:color="auto"/>
            </w:tcBorders>
          </w:tcPr>
          <w:p>
            <w:pPr>
              <w:spacing w:after="0"/>
              <w:rPr>
                <w:sz w:val="16"/>
                <w:szCs w:val="16"/>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r>
      <w:tr>
        <w:trPr>
          <w:trHeight w:val="225"/>
        </w:trPr>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465,463</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417,636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102,886</w:t>
            </w:r>
          </w:p>
        </w:tc>
      </w:tr>
      <w:tr>
        <w:trPr>
          <w:trHeight w:val="20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47,676</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34,412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18,042</w:t>
            </w:r>
          </w:p>
        </w:tc>
      </w:tr>
      <w:tr>
        <w:trPr>
          <w:trHeight w:val="224"/>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513,139</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452,048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120,928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549275</wp:posOffset>
            </wp:positionV>
            <wp:extent cx="69361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6" w:name="page117"/>
    <w:bookmarkEnd w:id="11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income taxes provision for (benefit from) the years presented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703"/>
              <w:spacing w:after="0"/>
              <w:rPr>
                <w:sz w:val="20"/>
                <w:szCs w:val="20"/>
                <w:color w:val="auto"/>
              </w:rPr>
            </w:pPr>
            <w:r>
              <w:rPr>
                <w:rFonts w:ascii="Arial" w:cs="Arial" w:eastAsia="Arial" w:hAnsi="Arial"/>
                <w:sz w:val="14"/>
                <w:szCs w:val="14"/>
                <w:b w:val="1"/>
                <w:bCs w:val="1"/>
                <w:color w:val="auto"/>
                <w:w w:val="99"/>
              </w:rPr>
              <w:t>Years Ended December 31,</w:t>
            </w:r>
          </w:p>
        </w:tc>
        <w:tc>
          <w:tcPr>
            <w:tcW w:w="1120" w:type="dxa"/>
            <w:vAlign w:val="bottom"/>
            <w:tcBorders>
              <w:bottom w:val="single" w:sz="8" w:color="auto"/>
            </w:tcBorders>
          </w:tcPr>
          <w:p>
            <w:pPr>
              <w:spacing w:after="0"/>
              <w:rPr>
                <w:sz w:val="16"/>
                <w:szCs w:val="16"/>
                <w:color w:val="auto"/>
              </w:rPr>
            </w:pPr>
          </w:p>
        </w:tc>
      </w:tr>
      <w:tr>
        <w:trPr>
          <w:trHeight w:val="190"/>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r>
      <w:tr>
        <w:trPr>
          <w:trHeight w:val="225"/>
        </w:trPr>
        <w:tc>
          <w:tcPr>
            <w:tcW w:w="6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4"/>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9"/>
        </w:trPr>
        <w:tc>
          <w:tcPr>
            <w:tcW w:w="6680" w:type="dxa"/>
            <w:vAlign w:val="bottom"/>
          </w:tcPr>
          <w:p>
            <w:pPr>
              <w:ind w:left="140"/>
              <w:spacing w:after="0"/>
              <w:rPr>
                <w:sz w:val="20"/>
                <w:szCs w:val="20"/>
                <w:color w:val="auto"/>
              </w:rPr>
            </w:pPr>
            <w:r>
              <w:rPr>
                <w:rFonts w:ascii="Arial" w:cs="Arial" w:eastAsia="Arial" w:hAnsi="Arial"/>
                <w:sz w:val="16"/>
                <w:szCs w:val="16"/>
                <w:color w:val="auto"/>
              </w:rPr>
              <w:t>Federal</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96,151</w:t>
            </w:r>
          </w:p>
        </w:tc>
        <w:tc>
          <w:tcPr>
            <w:tcW w:w="10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34,499</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1"/>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488</w:t>
            </w:r>
          </w:p>
        </w:tc>
      </w:tr>
      <w:tr>
        <w:trPr>
          <w:trHeight w:val="209"/>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6,232</w:t>
            </w:r>
          </w:p>
        </w:tc>
      </w:tr>
      <w:tr>
        <w:trPr>
          <w:trHeight w:val="204"/>
        </w:trPr>
        <w:tc>
          <w:tcPr>
            <w:tcW w:w="66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54,823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6,720</w:t>
            </w:r>
          </w:p>
        </w:tc>
      </w:tr>
      <w:tr>
        <w:trPr>
          <w:trHeight w:val="189"/>
        </w:trPr>
        <w:tc>
          <w:tcPr>
            <w:tcW w:w="6680" w:type="dxa"/>
            <w:vAlign w:val="bottom"/>
          </w:tcPr>
          <w:p>
            <w:pPr>
              <w:ind w:left="20"/>
              <w:spacing w:after="0"/>
              <w:rPr>
                <w:sz w:val="20"/>
                <w:szCs w:val="20"/>
                <w:color w:val="auto"/>
              </w:rPr>
            </w:pPr>
            <w:r>
              <w:rPr>
                <w:rFonts w:ascii="Arial" w:cs="Arial" w:eastAsia="Arial" w:hAnsi="Arial"/>
                <w:sz w:val="16"/>
                <w:szCs w:val="16"/>
                <w:color w:val="auto"/>
              </w:rPr>
              <w:t>Deferred: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1"/>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(28,398)</w:t>
            </w:r>
          </w:p>
        </w:tc>
      </w:tr>
      <w:tr>
        <w:trPr>
          <w:trHeight w:val="209"/>
        </w:trPr>
        <w:tc>
          <w:tcPr>
            <w:tcW w:w="6680" w:type="dxa"/>
            <w:vAlign w:val="bottom"/>
          </w:tcPr>
          <w:p>
            <w:pPr>
              <w:ind w:left="140"/>
              <w:spacing w:after="0"/>
              <w:rPr>
                <w:sz w:val="20"/>
                <w:szCs w:val="20"/>
                <w:color w:val="auto"/>
              </w:rPr>
            </w:pPr>
            <w:r>
              <w:rPr>
                <w:rFonts w:ascii="Arial" w:cs="Arial" w:eastAsia="Arial" w:hAnsi="Arial"/>
                <w:sz w:val="16"/>
                <w:szCs w:val="16"/>
                <w:color w:val="auto"/>
              </w:rPr>
              <w:t>State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(4,380)</w:t>
            </w:r>
          </w:p>
        </w:tc>
      </w:tr>
      <w:tr>
        <w:trPr>
          <w:trHeight w:val="210"/>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1,537</w:t>
            </w:r>
          </w:p>
        </w:tc>
      </w:tr>
      <w:tr>
        <w:trPr>
          <w:trHeight w:val="203"/>
        </w:trPr>
        <w:tc>
          <w:tcPr>
            <w:tcW w:w="66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(47,188)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(31,241)</w:t>
            </w:r>
          </w:p>
        </w:tc>
      </w:tr>
      <w:tr>
        <w:trPr>
          <w:trHeight w:val="229"/>
        </w:trPr>
        <w:tc>
          <w:tcPr>
            <w:tcW w:w="6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Income taxes provision for (benefit from)</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54,686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(24,521)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 reconciliation of the income taxes provision (benefit) and the amount computed by applying the statutory federal income tax rate of 21% to income before income taxes for the years presented is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702"/>
              <w:spacing w:after="0"/>
              <w:rPr>
                <w:sz w:val="20"/>
                <w:szCs w:val="20"/>
                <w:color w:val="auto"/>
              </w:rPr>
            </w:pPr>
            <w:r>
              <w:rPr>
                <w:rFonts w:ascii="Arial" w:cs="Arial" w:eastAsia="Arial" w:hAnsi="Arial"/>
                <w:sz w:val="14"/>
                <w:szCs w:val="14"/>
                <w:b w:val="1"/>
                <w:bCs w:val="1"/>
                <w:color w:val="auto"/>
                <w:w w:val="99"/>
              </w:rPr>
              <w:t>Years Ended December 31,</w:t>
            </w:r>
          </w:p>
        </w:tc>
        <w:tc>
          <w:tcPr>
            <w:tcW w:w="1120" w:type="dxa"/>
            <w:vAlign w:val="bottom"/>
            <w:tcBorders>
              <w:bottom w:val="single" w:sz="8" w:color="auto"/>
            </w:tcBorders>
          </w:tcPr>
          <w:p>
            <w:pPr>
              <w:spacing w:after="0"/>
              <w:rPr>
                <w:sz w:val="16"/>
                <w:szCs w:val="16"/>
                <w:color w:val="auto"/>
              </w:rPr>
            </w:pPr>
          </w:p>
        </w:tc>
      </w:tr>
      <w:tr>
        <w:trPr>
          <w:trHeight w:val="190"/>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r>
      <w:tr>
        <w:trPr>
          <w:trHeight w:val="225"/>
        </w:trPr>
        <w:tc>
          <w:tcPr>
            <w:tcW w:w="6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4"/>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at statutory federal rate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27,681</w:t>
            </w:r>
          </w:p>
        </w:tc>
      </w:tr>
      <w:tr>
        <w:trPr>
          <w:trHeight w:val="209"/>
        </w:trPr>
        <w:tc>
          <w:tcPr>
            <w:tcW w:w="6680" w:type="dxa"/>
            <w:vAlign w:val="bottom"/>
          </w:tcPr>
          <w:p>
            <w:pPr>
              <w:ind w:left="20"/>
              <w:spacing w:after="0"/>
              <w:rPr>
                <w:sz w:val="20"/>
                <w:szCs w:val="20"/>
                <w:color w:val="auto"/>
              </w:rPr>
            </w:pPr>
            <w:r>
              <w:rPr>
                <w:rFonts w:ascii="Arial" w:cs="Arial" w:eastAsia="Arial" w:hAnsi="Arial"/>
                <w:sz w:val="16"/>
                <w:szCs w:val="16"/>
                <w:color w:val="auto"/>
              </w:rPr>
              <w:t>State taxes, net of federal benefit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18,107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489</w:t>
            </w:r>
          </w:p>
        </w:tc>
      </w:tr>
      <w:tr>
        <w:trPr>
          <w:trHeight w:val="211"/>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tax rate and tax law differential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1,073</w:t>
            </w:r>
          </w:p>
        </w:tc>
      </w:tr>
      <w:tr>
        <w:trPr>
          <w:trHeight w:val="209"/>
        </w:trPr>
        <w:tc>
          <w:tcPr>
            <w:tcW w:w="6680" w:type="dxa"/>
            <w:vAlign w:val="bottom"/>
          </w:tcPr>
          <w:p>
            <w:pPr>
              <w:ind w:left="20"/>
              <w:spacing w:after="0"/>
              <w:rPr>
                <w:sz w:val="20"/>
                <w:szCs w:val="20"/>
                <w:color w:val="auto"/>
              </w:rPr>
            </w:pPr>
            <w:r>
              <w:rPr>
                <w:rFonts w:ascii="Arial" w:cs="Arial" w:eastAsia="Arial" w:hAnsi="Arial"/>
                <w:sz w:val="16"/>
                <w:szCs w:val="16"/>
                <w:color w:val="auto"/>
              </w:rPr>
              <w:t>Tax credits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(29,229)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(15,632)</w:t>
            </w:r>
          </w:p>
        </w:tc>
      </w:tr>
      <w:tr>
        <w:trPr>
          <w:trHeight w:val="211"/>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Non-taxable income related to Section 45X tax credits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9"/>
        </w:trPr>
        <w:tc>
          <w:tcPr>
            <w:tcW w:w="66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(45,551)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(80,950)</w:t>
            </w:r>
          </w:p>
        </w:tc>
      </w:tr>
      <w:tr>
        <w:trPr>
          <w:trHeight w:val="211"/>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permanent items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178</w:t>
            </w:r>
          </w:p>
        </w:tc>
      </w:tr>
      <w:tr>
        <w:trPr>
          <w:trHeight w:val="209"/>
        </w:trPr>
        <w:tc>
          <w:tcPr>
            <w:tcW w:w="6680" w:type="dxa"/>
            <w:vAlign w:val="bottom"/>
          </w:tcPr>
          <w:p>
            <w:pPr>
              <w:ind w:left="20"/>
              <w:spacing w:after="0"/>
              <w:rPr>
                <w:sz w:val="20"/>
                <w:szCs w:val="20"/>
                <w:color w:val="auto"/>
              </w:rPr>
            </w:pPr>
            <w:r>
              <w:rPr>
                <w:rFonts w:ascii="Arial" w:cs="Arial" w:eastAsia="Arial" w:hAnsi="Arial"/>
                <w:sz w:val="16"/>
                <w:szCs w:val="16"/>
                <w:color w:val="auto"/>
              </w:rPr>
              <w:t>Other nondeductible/nontaxable items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2,316</w:t>
            </w:r>
          </w:p>
        </w:tc>
      </w:tr>
      <w:tr>
        <w:trPr>
          <w:trHeight w:val="211"/>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Uncertain tax positions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6,911</w:t>
            </w:r>
          </w:p>
        </w:tc>
      </w:tr>
      <w:tr>
        <w:trPr>
          <w:trHeight w:val="209"/>
        </w:trPr>
        <w:tc>
          <w:tcPr>
            <w:tcW w:w="6680" w:type="dxa"/>
            <w:vAlign w:val="bottom"/>
          </w:tcPr>
          <w:p>
            <w:pPr>
              <w:ind w:left="20"/>
              <w:spacing w:after="0"/>
              <w:rPr>
                <w:sz w:val="20"/>
                <w:szCs w:val="20"/>
                <w:color w:val="auto"/>
              </w:rPr>
            </w:pPr>
            <w:r>
              <w:rPr>
                <w:rFonts w:ascii="Arial" w:cs="Arial" w:eastAsia="Arial" w:hAnsi="Arial"/>
                <w:sz w:val="16"/>
                <w:szCs w:val="16"/>
                <w:color w:val="auto"/>
              </w:rPr>
              <w:t>Foreign-derived intangible income deduction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(15,391)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1"/>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Section 162(m)</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25,812</w:t>
            </w:r>
          </w:p>
        </w:tc>
      </w:tr>
      <w:tr>
        <w:trPr>
          <w:trHeight w:val="209"/>
        </w:trPr>
        <w:tc>
          <w:tcPr>
            <w:tcW w:w="6680" w:type="dxa"/>
            <w:vAlign w:val="bottom"/>
          </w:tcPr>
          <w:p>
            <w:pPr>
              <w:ind w:left="20"/>
              <w:spacing w:after="0"/>
              <w:rPr>
                <w:sz w:val="20"/>
                <w:szCs w:val="20"/>
                <w:color w:val="auto"/>
              </w:rPr>
            </w:pPr>
            <w:r>
              <w:rPr>
                <w:rFonts w:ascii="Arial" w:cs="Arial" w:eastAsia="Arial" w:hAnsi="Arial"/>
                <w:sz w:val="16"/>
                <w:szCs w:val="16"/>
                <w:color w:val="auto"/>
              </w:rPr>
              <w:t>Convertible notes settlements</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8,223</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 mark-to-mark adjustment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r>
      <w:tr>
        <w:trPr>
          <w:trHeight w:val="204"/>
        </w:trPr>
        <w:tc>
          <w:tcPr>
            <w:tcW w:w="6680" w:type="dxa"/>
            <w:vAlign w:val="bottom"/>
          </w:tcPr>
          <w:p>
            <w:pPr>
              <w:ind w:left="140"/>
              <w:spacing w:after="0"/>
              <w:rPr>
                <w:sz w:val="20"/>
                <w:szCs w:val="20"/>
                <w:color w:val="auto"/>
              </w:rPr>
            </w:pPr>
            <w:r>
              <w:rPr>
                <w:rFonts w:ascii="Arial" w:cs="Arial" w:eastAsia="Arial" w:hAnsi="Arial"/>
                <w:sz w:val="16"/>
                <w:szCs w:val="16"/>
                <w:color w:val="auto"/>
              </w:rPr>
              <w:t>Income tax provision (benefit)</w:t>
            </w: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74,203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54,686</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(24,521)</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549275</wp:posOffset>
            </wp:positionV>
            <wp:extent cx="69361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2023 Form 10-K |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7" w:name="page118"/>
    <w:bookmarkEnd w:id="11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summary of significant components of the Company’s deferred tax assets and liabilities as of December 31, 2023 and 2022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0"/>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r>
      <w:tr>
        <w:trPr>
          <w:trHeight w:val="225"/>
        </w:trPr>
        <w:tc>
          <w:tcPr>
            <w:tcW w:w="8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3"/>
          </w:tcPr>
          <w:p>
            <w:pPr>
              <w:jc w:val="right"/>
              <w:ind w:right="21"/>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8220" w:type="dxa"/>
            <w:vAlign w:val="bottom"/>
          </w:tcPr>
          <w:p>
            <w:pPr>
              <w:ind w:left="140"/>
              <w:spacing w:after="0"/>
              <w:rPr>
                <w:sz w:val="20"/>
                <w:szCs w:val="20"/>
                <w:color w:val="auto"/>
              </w:rPr>
            </w:pPr>
            <w:r>
              <w:rPr>
                <w:rFonts w:ascii="Arial" w:cs="Arial" w:eastAsia="Arial" w:hAnsi="Arial"/>
                <w:sz w:val="16"/>
                <w:szCs w:val="16"/>
                <w:color w:val="auto"/>
              </w:rPr>
              <w:t>Allowances and reserves</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53,191</w:t>
            </w:r>
          </w:p>
        </w:tc>
        <w:tc>
          <w:tcPr>
            <w:tcW w:w="12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40,166</w:t>
            </w:r>
          </w:p>
        </w:tc>
      </w:tr>
      <w:tr>
        <w:trPr>
          <w:trHeight w:val="211"/>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operating loss and tax credit carryforwards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26,748</w:t>
            </w:r>
          </w:p>
        </w:tc>
      </w:tr>
      <w:tr>
        <w:trPr>
          <w:trHeight w:val="209"/>
        </w:trPr>
        <w:tc>
          <w:tcPr>
            <w:tcW w:w="82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15,811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20,230</w:t>
            </w:r>
          </w:p>
        </w:tc>
      </w:tr>
      <w:tr>
        <w:trPr>
          <w:trHeight w:val="211"/>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53,656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40,120</w:t>
            </w:r>
          </w:p>
        </w:tc>
      </w:tr>
      <w:tr>
        <w:trPr>
          <w:trHeight w:val="209"/>
        </w:trPr>
        <w:tc>
          <w:tcPr>
            <w:tcW w:w="8220" w:type="dxa"/>
            <w:vAlign w:val="bottom"/>
          </w:tcPr>
          <w:p>
            <w:pPr>
              <w:ind w:left="140"/>
              <w:spacing w:after="0"/>
              <w:rPr>
                <w:sz w:val="20"/>
                <w:szCs w:val="20"/>
                <w:color w:val="auto"/>
              </w:rPr>
            </w:pPr>
            <w:r>
              <w:rPr>
                <w:rFonts w:ascii="Arial" w:cs="Arial" w:eastAsia="Arial" w:hAnsi="Arial"/>
                <w:sz w:val="16"/>
                <w:szCs w:val="16"/>
                <w:color w:val="auto"/>
              </w:rPr>
              <w:t>Fixed assets, goodwill and intangibles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609</w:t>
            </w:r>
          </w:p>
        </w:tc>
      </w:tr>
      <w:tr>
        <w:trPr>
          <w:trHeight w:val="211"/>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Convertible notes and related hedges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49,405</w:t>
            </w:r>
          </w:p>
        </w:tc>
      </w:tr>
      <w:tr>
        <w:trPr>
          <w:trHeight w:val="209"/>
        </w:trPr>
        <w:tc>
          <w:tcPr>
            <w:tcW w:w="8220" w:type="dxa"/>
            <w:vAlign w:val="bottom"/>
          </w:tcPr>
          <w:p>
            <w:pPr>
              <w:ind w:left="140"/>
              <w:spacing w:after="0"/>
              <w:rPr>
                <w:sz w:val="20"/>
                <w:szCs w:val="20"/>
                <w:color w:val="auto"/>
              </w:rPr>
            </w:pPr>
            <w:r>
              <w:rPr>
                <w:rFonts w:ascii="Arial" w:cs="Arial" w:eastAsia="Arial" w:hAnsi="Arial"/>
                <w:sz w:val="16"/>
                <w:szCs w:val="16"/>
                <w:color w:val="auto"/>
              </w:rPr>
              <w:t>Capitalized research and development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83,098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47,870</w:t>
            </w:r>
          </w:p>
        </w:tc>
      </w:tr>
      <w:tr>
        <w:trPr>
          <w:trHeight w:val="211"/>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15,189</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11,099</w:t>
            </w:r>
          </w:p>
        </w:tc>
      </w:tr>
      <w:tr>
        <w:trPr>
          <w:trHeight w:val="202"/>
        </w:trPr>
        <w:tc>
          <w:tcPr>
            <w:tcW w:w="8220" w:type="dxa"/>
            <w:vAlign w:val="bottom"/>
          </w:tcPr>
          <w:p>
            <w:pPr>
              <w:ind w:left="220"/>
              <w:spacing w:after="0"/>
              <w:rPr>
                <w:sz w:val="20"/>
                <w:szCs w:val="20"/>
                <w:color w:val="auto"/>
              </w:rPr>
            </w:pPr>
            <w:r>
              <w:rPr>
                <w:rFonts w:ascii="Arial" w:cs="Arial" w:eastAsia="Arial" w:hAnsi="Arial"/>
                <w:sz w:val="16"/>
                <w:szCs w:val="16"/>
                <w:color w:val="auto"/>
              </w:rPr>
              <w:t>Subtotal</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282,985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236,247</w:t>
            </w:r>
          </w:p>
        </w:tc>
      </w:tr>
      <w:tr>
        <w:trPr>
          <w:trHeight w:val="211"/>
        </w:trPr>
        <w:tc>
          <w:tcPr>
            <w:tcW w:w="8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deferred tax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282,985</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236,247</w:t>
            </w:r>
          </w:p>
        </w:tc>
      </w:tr>
      <w:tr>
        <w:trPr>
          <w:trHeight w:val="189"/>
        </w:trPr>
        <w:tc>
          <w:tcPr>
            <w:tcW w:w="82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1"/>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assets and intangibles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9"/>
        </w:trPr>
        <w:tc>
          <w:tcPr>
            <w:tcW w:w="8220" w:type="dxa"/>
            <w:vAlign w:val="bottom"/>
          </w:tcPr>
          <w:p>
            <w:pPr>
              <w:ind w:left="140"/>
              <w:spacing w:after="0"/>
              <w:rPr>
                <w:sz w:val="20"/>
                <w:szCs w:val="20"/>
                <w:color w:val="auto"/>
              </w:rPr>
            </w:pPr>
            <w:r>
              <w:rPr>
                <w:rFonts w:ascii="Arial" w:cs="Arial" w:eastAsia="Arial" w:hAnsi="Arial"/>
                <w:sz w:val="16"/>
                <w:szCs w:val="16"/>
                <w:color w:val="auto"/>
              </w:rPr>
              <w:t>Unremitted foreign earnings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(5,189)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(3,755)</w:t>
            </w:r>
          </w:p>
        </w:tc>
      </w:tr>
      <w:tr>
        <w:trPr>
          <w:trHeight w:val="211"/>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cost of goods sold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(27,782)</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(32,449)</w:t>
            </w:r>
          </w:p>
        </w:tc>
      </w:tr>
      <w:tr>
        <w:trPr>
          <w:trHeight w:val="202"/>
        </w:trPr>
        <w:tc>
          <w:tcPr>
            <w:tcW w:w="82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deferred tax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(35,804)</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(36,204)</w:t>
            </w:r>
          </w:p>
        </w:tc>
      </w:tr>
      <w:tr>
        <w:trPr>
          <w:trHeight w:val="229"/>
        </w:trPr>
        <w:tc>
          <w:tcPr>
            <w:tcW w:w="82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deferred tax asset</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247,181</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200,043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The Company's accounting for deferred taxes involves the evaluation of a number of factors concerning the realizability of the Company's deferred tax assets. Assessing the realizability of deferred tax assets is dependent upon several factors, including the likelihood and amount, if any, of future taxable income in relevant jurisdictions during the periods in which those temporary differences become deductible. The Company's management forecasts taxable income by considering all available positive and negative evidence including its history of operating income or losses and its financial plans and estimates which are used to manage the business. These assumptions require significant judgment about future taxable income. The amount of deferred tax assets considered realizable is subject to adjustment in future periods if estimates of future taxable income are reduced.</w:t>
      </w:r>
    </w:p>
    <w:p>
      <w:pPr>
        <w:spacing w:after="0" w:line="68"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As of December 31, 2023, the Company evaluated its undistributed foreign earnings and identified $81.6 million in earnings that it does consider to be permanently reinvested that may be subject to withholding taxes in local jurisdictions when they are distributed. The Company has recorded a provision of approximately $5.2 million for the taxes that would fall due when such earnings are repatriated.</w:t>
      </w:r>
    </w:p>
    <w:p>
      <w:pPr>
        <w:spacing w:after="0" w:line="55"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Company has approximately $5.0 million of federal tax credit and $12.7 million of state tax credit carryforwards. The federal credits begin to expire in 2031 and the state credits can be carried forward indefinitely. As of December 31, 2023, the Company has foreign net operating losses of $5.9 million from GreenCom acquisition, which can be carried over indefinitely.</w:t>
      </w:r>
    </w:p>
    <w:p>
      <w:pPr>
        <w:spacing w:after="0" w:line="55"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Utilization of some of the federal credit carryforwards and state net operating loss and credit carryforwards are subject to annual limitations due to the “change in ownership” provisions of the Code and similar state provisions. The Company believes that no such change has occurred through December 31, 2023.</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Accounting for uncertain tax positions prescribes a recognition threshold and measurement attribute for the financial statement recognition and measurement of a tax position taken or expected to be taken in a tax return. The Company is required to recognize in the financial statements the impact of a tax position, if that position is more-likely than-not of being sustained on audit, based on the technical merits of the position. The Company recorded a net charge for unrecognized tax benefits in 2023 of $5.5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474345</wp:posOffset>
            </wp:positionV>
            <wp:extent cx="69361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8" w:name="page119"/>
    <w:bookmarkEnd w:id="11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Company does not have any tax positions for which it is reasonably possible the total amount of gross unrecognized tax benefits will increase or decrease over the next year. The unrecognized tax benefits may increase or change during the next year for items that arise in the ordinary course of business.</w:t>
      </w:r>
    </w:p>
    <w:p>
      <w:pPr>
        <w:spacing w:after="0" w:line="5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As of December 31, 2023, the total amount of gross unrecognized tax benefits was $27.2 million, of which $25.4 million, if recognized, would impact the Company’s effective tax rate.</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tabular reconciliation of the total amounts of unrecognized tax benefits for the years presented is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201"/>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benefits—at beginning of year</w:t>
            </w:r>
          </w:p>
        </w:tc>
        <w:tc>
          <w:tcPr>
            <w:tcW w:w="88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21,768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20,904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8,421</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Increases (decreases) in balances related to tax positions taken in prior years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4,391</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Increases in balances related to tax positions taken in current year</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6,562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8,301</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Settlements</w:t>
            </w:r>
          </w:p>
        </w:tc>
        <w:tc>
          <w:tcPr>
            <w:tcW w:w="8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Lapses in statutes of limitations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04"/>
        </w:trPr>
        <w:tc>
          <w:tcPr>
            <w:tcW w:w="6700" w:type="dxa"/>
            <w:vAlign w:val="bottom"/>
          </w:tcPr>
          <w:p>
            <w:pPr>
              <w:ind w:left="20"/>
              <w:spacing w:after="0"/>
              <w:rPr>
                <w:sz w:val="20"/>
                <w:szCs w:val="20"/>
                <w:color w:val="auto"/>
              </w:rPr>
            </w:pPr>
            <w:r>
              <w:rPr>
                <w:rFonts w:ascii="Arial" w:cs="Arial" w:eastAsia="Arial" w:hAnsi="Arial"/>
                <w:sz w:val="16"/>
                <w:szCs w:val="16"/>
                <w:color w:val="auto"/>
              </w:rPr>
              <w:t>Unrecognized tax benefits—at end of year</w:t>
            </w:r>
          </w:p>
        </w:tc>
        <w:tc>
          <w:tcPr>
            <w:tcW w:w="88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27,218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21,768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20,904</w:t>
            </w:r>
          </w:p>
        </w:tc>
      </w:tr>
      <w:tr>
        <w:trPr>
          <w:trHeight w:val="20"/>
        </w:trPr>
        <w:tc>
          <w:tcPr>
            <w:tcW w:w="6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Company includes interest and penalties related to unrecognized tax benefits within the income tax provision for (benefit from). In the year ended December 31, 2023, 2022 and 2021, the total amount of gross interest and penalties accrued was $2.9 million, $0.8 million and $0.3 million, respectively. Both the unrecognized tax benefits and the associated interest and penalties that are not expected to result in payment or receipt of cash within one year are classified as other non-current liabilities in the consolidated balance sheets. In connection with tax matters, the Company’s interest and penalty expense recognized in 2023, 2022 and 2021 in the consolidated statements of operations was $3.8 million, $0.9 million and $1.4 million, respectively.</w:t>
      </w:r>
    </w:p>
    <w:p>
      <w:pPr>
        <w:spacing w:after="0" w:line="6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Company’s tax returns continue to remain effectively subject to examination by U.S. federal authorities for the years 2006 and onwards and by California state authorities for the years 2006 and onwards due to use and carryovers of net operating losses and tax credits. The Company is currently under audit in India.</w:t>
      </w:r>
    </w:p>
    <w:p>
      <w:pPr>
        <w:spacing w:after="0" w:line="55"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In August 2022, the U.S. enacted the IRA, which included revisions to the Internal Revenue Code of 1986, as amended (the “Code”). The IRA introduced a 15% corporate alternative minimum income tax (“CAMT”) for corporations whose average adjusted financial income for any consecutive three-year period ending after December 31, 2021, exceeds $1.0 billion. Further, the IRA also extended the investment tax credits for clean energy and expanded the incentives to clean energy manufacturing. For the year ended December 31, 2023, the Company is not subject to the CAMT based on its current operating results and interpretations of the latest IRA guidance. The Company recognized $53.5 million reduction in costs of goods sold and income taxes payable related to the AMPTC.</w:t>
      </w:r>
    </w:p>
    <w:p>
      <w:pPr>
        <w:spacing w:after="0" w:line="64"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December 2021, the Organization for Economic Co-operation and Development Inclusive Framework on Base Erosion Profit Shifting released Model Global Anti-Base Erosion rules (“Model Rules”) under Pillar Two. The Model Rules set forth the “common approach” for a Global Minimum Tax at 15 percent for multinational enterprises with a turnover of more than 750 million euros. Rules under Pillar Two were effective from January 1, 2024. The Company does not expect adoption of Pillar Two rules to have a significant impact on its consolidated financial statements in 2024.</w:t>
      </w:r>
    </w:p>
    <w:p>
      <w:pPr>
        <w:spacing w:after="0" w:line="113" w:lineRule="exact"/>
        <w:rPr>
          <w:sz w:val="20"/>
          <w:szCs w:val="20"/>
          <w:color w:val="auto"/>
        </w:rPr>
      </w:pPr>
    </w:p>
    <w:p>
      <w:pPr>
        <w:ind w:left="440" w:hanging="435"/>
        <w:spacing w:after="0"/>
        <w:tabs>
          <w:tab w:leader="none" w:pos="44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CONCENTRATION OF CREDIT RISK AND MAJOR CUSTOMERS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Company is potentially subject to financial instrument concentration of credit risk through its cash, cash equivalents, marketable securities, and accounts receivable. The Company places its cash, cash equivalents and marketable securities with high quality institutions and performs periodic evaluations of their relative credit standing.</w:t>
      </w:r>
    </w:p>
    <w:p>
      <w:pPr>
        <w:spacing w:after="0" w:line="5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Accounts receivable can be potentially exposed to a concentration of credit risk with its major customers. As of December 31, 2023 and 2022, amounts due from one customer represented approximately 40% and 24%, respectively, of the total accounts receivable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9" w:name="page120"/>
    <w:bookmarkEnd w:id="11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In the years ended December 31, 2023, 2022 and 2021, one customer accounted for approximately 40%, 37% and 34%, respectively, of total net revenues.</w:t>
      </w:r>
    </w:p>
    <w:p>
      <w:pPr>
        <w:spacing w:after="0" w:line="86" w:lineRule="exact"/>
        <w:rPr>
          <w:sz w:val="20"/>
          <w:szCs w:val="20"/>
          <w:color w:val="auto"/>
        </w:rPr>
      </w:pPr>
    </w:p>
    <w:p>
      <w:pPr>
        <w:ind w:left="440" w:hanging="435"/>
        <w:spacing w:after="0"/>
        <w:tabs>
          <w:tab w:leader="none" w:pos="44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PER SHARE</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Basic net income per share is computed by dividing net income by the weighted average number of shares of common stock outstanding during the period. Diluted net income per share is computed in a similar manner, but it also includes the effect of potential common shares outstanding during the period, when dilutive. Potential common shares include stock options, RSUs, PSUs, shares to be purchased under the Company’s ESPP, the Notes due 2023, Notes due 2025, Notes due 2026, Notes due 2028 and the 2025 Warrants.</w:t>
      </w:r>
    </w:p>
    <w:p>
      <w:pPr>
        <w:spacing w:after="0" w:line="6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computation of basic and diluted net income per share for the periods presented: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321"/>
              <w:spacing w:after="0"/>
              <w:rPr>
                <w:sz w:val="20"/>
                <w:szCs w:val="20"/>
                <w:color w:val="auto"/>
              </w:rPr>
            </w:pPr>
            <w:r>
              <w:rPr>
                <w:rFonts w:ascii="Arial" w:cs="Arial" w:eastAsia="Arial" w:hAnsi="Arial"/>
                <w:sz w:val="14"/>
                <w:szCs w:val="14"/>
                <w:b w:val="1"/>
                <w:bCs w:val="1"/>
                <w:color w:val="auto"/>
                <w:w w:val="99"/>
              </w:rPr>
              <w:t>Years Ended December 31,</w:t>
            </w:r>
          </w:p>
        </w:tc>
        <w:tc>
          <w:tcPr>
            <w:tcW w:w="980" w:type="dxa"/>
            <w:vAlign w:val="bottom"/>
            <w:tcBorders>
              <w:bottom w:val="single" w:sz="8" w:color="auto"/>
            </w:tcBorders>
          </w:tcPr>
          <w:p>
            <w:pPr>
              <w:spacing w:after="0"/>
              <w:rPr>
                <w:sz w:val="16"/>
                <w:szCs w:val="16"/>
                <w:color w:val="auto"/>
              </w:rPr>
            </w:pPr>
          </w:p>
        </w:tc>
      </w:tr>
      <w:tr>
        <w:trPr>
          <w:trHeight w:val="190"/>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r>
      <w:tr>
        <w:trPr>
          <w:trHeight w:val="225"/>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20" w:type="dxa"/>
            <w:vAlign w:val="bottom"/>
            <w:gridSpan w:val="7"/>
          </w:tcPr>
          <w:p>
            <w:pPr>
              <w:jc w:val="center"/>
              <w:ind w:left="582"/>
              <w:spacing w:after="0"/>
              <w:rPr>
                <w:sz w:val="20"/>
                <w:szCs w:val="20"/>
                <w:color w:val="auto"/>
              </w:rPr>
            </w:pPr>
            <w:r>
              <w:rPr>
                <w:rFonts w:ascii="Arial" w:cs="Arial" w:eastAsia="Arial" w:hAnsi="Arial"/>
                <w:sz w:val="14"/>
                <w:szCs w:val="14"/>
                <w:i w:val="1"/>
                <w:iCs w:val="1"/>
                <w:color w:val="auto"/>
                <w:w w:val="99"/>
              </w:rPr>
              <w:t>(In thousands, except per share data)</w:t>
            </w:r>
          </w:p>
        </w:tc>
        <w:tc>
          <w:tcPr>
            <w:tcW w:w="980" w:type="dxa"/>
            <w:vAlign w:val="bottom"/>
          </w:tcPr>
          <w:p>
            <w:pPr>
              <w:spacing w:after="0"/>
              <w:rPr>
                <w:sz w:val="19"/>
                <w:szCs w:val="19"/>
                <w:color w:val="auto"/>
              </w:rPr>
            </w:pPr>
          </w:p>
        </w:tc>
      </w:tr>
      <w:tr>
        <w:trPr>
          <w:trHeight w:val="214"/>
        </w:trPr>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Numerator: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6660" w:type="dxa"/>
            <w:vAlign w:val="bottom"/>
          </w:tcPr>
          <w:p>
            <w:pPr>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438,936</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397,362</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145,449</w:t>
            </w:r>
          </w:p>
        </w:tc>
      </w:tr>
      <w:tr>
        <w:trPr>
          <w:trHeight w:val="210"/>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Convertible senior notes interest and financing costs, net of tax</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2,629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04"/>
        </w:trPr>
        <w:tc>
          <w:tcPr>
            <w:tcW w:w="6660" w:type="dxa"/>
            <w:vAlign w:val="bottom"/>
          </w:tcPr>
          <w:p>
            <w:pPr>
              <w:spacing w:after="0"/>
              <w:rPr>
                <w:sz w:val="20"/>
                <w:szCs w:val="20"/>
                <w:color w:val="auto"/>
              </w:rPr>
            </w:pPr>
            <w:r>
              <w:rPr>
                <w:rFonts w:ascii="Arial" w:cs="Arial" w:eastAsia="Arial" w:hAnsi="Arial"/>
                <w:sz w:val="16"/>
                <w:szCs w:val="16"/>
                <w:color w:val="auto"/>
              </w:rPr>
              <w:t>Adjusted net income</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441,509</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399,991</w:t>
            </w:r>
          </w:p>
        </w:tc>
        <w:tc>
          <w:tcPr>
            <w:tcW w:w="100" w:type="dxa"/>
            <w:vAlign w:val="bottom"/>
          </w:tcPr>
          <w:p>
            <w:pPr>
              <w:spacing w:after="0"/>
              <w:rPr>
                <w:sz w:val="17"/>
                <w:szCs w:val="17"/>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145,626</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basic per share amounts: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6660" w:type="dxa"/>
            <w:vAlign w:val="bottom"/>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136,376</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135,349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134,025</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5"/>
        </w:trPr>
        <w:tc>
          <w:tcPr>
            <w:tcW w:w="6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6660" w:type="dxa"/>
            <w:vAlign w:val="bottom"/>
          </w:tcPr>
          <w:p>
            <w:pPr>
              <w:spacing w:after="0"/>
              <w:rPr>
                <w:sz w:val="20"/>
                <w:szCs w:val="20"/>
                <w:color w:val="auto"/>
              </w:rPr>
            </w:pPr>
            <w:r>
              <w:rPr>
                <w:rFonts w:ascii="Arial" w:cs="Arial" w:eastAsia="Arial" w:hAnsi="Arial"/>
                <w:sz w:val="16"/>
                <w:szCs w:val="16"/>
                <w:color w:val="auto"/>
              </w:rPr>
              <w:t>Shares used in diluted per share amounts: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Weighted average common shares outstanding used for basic calculation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135,349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134,025</w:t>
            </w:r>
          </w:p>
        </w:tc>
      </w:tr>
      <w:tr>
        <w:trPr>
          <w:trHeight w:val="209"/>
        </w:trPr>
        <w:tc>
          <w:tcPr>
            <w:tcW w:w="6660" w:type="dxa"/>
            <w:vAlign w:val="bottom"/>
          </w:tcPr>
          <w:p>
            <w:pPr>
              <w:ind w:left="100"/>
              <w:spacing w:after="0"/>
              <w:rPr>
                <w:sz w:val="20"/>
                <w:szCs w:val="20"/>
                <w:color w:val="auto"/>
              </w:rPr>
            </w:pPr>
            <w:r>
              <w:rPr>
                <w:rFonts w:ascii="Arial" w:cs="Arial" w:eastAsia="Arial" w:hAnsi="Arial"/>
                <w:sz w:val="16"/>
                <w:szCs w:val="16"/>
                <w:color w:val="auto"/>
              </w:rPr>
              <w:t>Effect of dilutive securities: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6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Employee stock-based awards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4,918</w:t>
            </w:r>
          </w:p>
        </w:tc>
      </w:tr>
      <w:tr>
        <w:trPr>
          <w:trHeight w:val="209"/>
        </w:trPr>
        <w:tc>
          <w:tcPr>
            <w:tcW w:w="6660" w:type="dxa"/>
            <w:vAlign w:val="bottom"/>
          </w:tcPr>
          <w:p>
            <w:pPr>
              <w:ind w:left="260"/>
              <w:spacing w:after="0"/>
              <w:rPr>
                <w:sz w:val="20"/>
                <w:szCs w:val="20"/>
                <w:color w:val="auto"/>
              </w:rPr>
            </w:pPr>
            <w:r>
              <w:rPr>
                <w:rFonts w:ascii="Arial" w:cs="Arial" w:eastAsia="Arial" w:hAnsi="Arial"/>
                <w:sz w:val="16"/>
                <w:szCs w:val="16"/>
                <w:color w:val="auto"/>
              </w:rPr>
              <w:t>Notes due 2023</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900</w:t>
            </w:r>
          </w:p>
        </w:tc>
      </w:tr>
      <w:tr>
        <w:trPr>
          <w:trHeight w:val="211"/>
        </w:trPr>
        <w:tc>
          <w:tcPr>
            <w:tcW w:w="6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Notes due 2024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r>
      <w:tr>
        <w:trPr>
          <w:trHeight w:val="209"/>
        </w:trPr>
        <w:tc>
          <w:tcPr>
            <w:tcW w:w="6660" w:type="dxa"/>
            <w:vAlign w:val="bottom"/>
          </w:tcPr>
          <w:p>
            <w:pPr>
              <w:ind w:left="260"/>
              <w:spacing w:after="0"/>
              <w:rPr>
                <w:sz w:val="20"/>
                <w:szCs w:val="20"/>
                <w:color w:val="auto"/>
              </w:rPr>
            </w:pPr>
            <w:r>
              <w:rPr>
                <w:rFonts w:ascii="Arial" w:cs="Arial" w:eastAsia="Arial" w:hAnsi="Arial"/>
                <w:sz w:val="16"/>
                <w:szCs w:val="16"/>
                <w:color w:val="auto"/>
              </w:rPr>
              <w:t>2024 Warrants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647</w:t>
            </w:r>
          </w:p>
        </w:tc>
      </w:tr>
      <w:tr>
        <w:trPr>
          <w:trHeight w:val="211"/>
        </w:trPr>
        <w:tc>
          <w:tcPr>
            <w:tcW w:w="6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Notes due 2025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r>
      <w:tr>
        <w:trPr>
          <w:trHeight w:val="209"/>
        </w:trPr>
        <w:tc>
          <w:tcPr>
            <w:tcW w:w="6660" w:type="dxa"/>
            <w:vAlign w:val="bottom"/>
          </w:tcPr>
          <w:p>
            <w:pPr>
              <w:ind w:left="260"/>
              <w:spacing w:after="0"/>
              <w:rPr>
                <w:sz w:val="20"/>
                <w:szCs w:val="20"/>
                <w:color w:val="auto"/>
              </w:rPr>
            </w:pPr>
            <w:r>
              <w:rPr>
                <w:rFonts w:ascii="Arial" w:cs="Arial" w:eastAsia="Arial" w:hAnsi="Arial"/>
                <w:sz w:val="16"/>
                <w:szCs w:val="16"/>
                <w:color w:val="auto"/>
              </w:rPr>
              <w:t>2025 Warrants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691</w:t>
            </w:r>
          </w:p>
        </w:tc>
      </w:tr>
      <w:tr>
        <w:trPr>
          <w:trHeight w:val="211"/>
        </w:trPr>
        <w:tc>
          <w:tcPr>
            <w:tcW w:w="6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Notes due 2026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2,057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Notes due 2028</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Weighted average common shares outstanding for diluted calculation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143,290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144,390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142,878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and diluted net income per share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6"/>
                <w:szCs w:val="16"/>
                <w:color w:val="auto"/>
              </w:rPr>
              <w:t>Net income per share, basic</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3.22</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Net income per share, diluted</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Diluted earnings per share for the year ended December 31, 2023 and 2022 includes the dilutive effect of potentially dilutive common shares by application of the treasury stock method for stock options, RSUs, PSUs, ESPP, the 2025 Warrants, and includes potentially dilutive common shares by application of the if-converted method for the Notes due 2023, Notes due 2025, Notes due 2026 and Notes due 2028. To the extent these potential common shares are antidilutive, they are excluded from the calculation of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474345</wp:posOffset>
            </wp:positionV>
            <wp:extent cx="69361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20" w:name="page121"/>
    <w:bookmarkEnd w:id="12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Further, the Company under the relevant sections of the indentures, irrevocably may elect to settle principal in cash and any excess in cash or shares of the Company’s common stock for the Notes due 2025, Notes due 2026 and Notes due 2028. If and when the Company makes such election, there will be no adjustment to the net income and the Company will use the average share price for the period to determine the potential number of shares to be issued based upon assumed conversion to be included in the diluted share count.</w:t>
      </w:r>
    </w:p>
    <w:p>
      <w:pPr>
        <w:spacing w:after="0" w:line="6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Diluted earnings per share for the year ended December 31, 2021 includes the dilutive effect of stock options, RSUs, PSUs, ESPP, the Notes due 2023, Notes due 2024, the 2024 Warrants, Notes due 2025 and the 2025 Warrants. Certain common stock issuable under stock options, RSUs, PSUs, the Notes due 2026, the 2026 Warrants, Notes due 2028 and the 2028 Warrants have been omitted from the diluted net income per share calculation because including such shares would have been antidilutive.</w:t>
      </w:r>
    </w:p>
    <w:p>
      <w:pPr>
        <w:spacing w:after="0" w:line="114"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outstanding shares of common stock equivalents were excluded from the calculation of the diluted net income per share attributable to common stockholders because their effect would have been antidilutive:</w:t>
      </w:r>
    </w:p>
    <w:p>
      <w:pPr>
        <w:spacing w:after="0" w:line="83"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Years Ended December 31,</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r>
      <w:tr>
        <w:trPr>
          <w:trHeight w:val="225"/>
        </w:trPr>
        <w:tc>
          <w:tcPr>
            <w:tcW w:w="6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spacing w:after="0"/>
              <w:rPr>
                <w:sz w:val="19"/>
                <w:szCs w:val="19"/>
                <w:color w:val="auto"/>
              </w:rPr>
            </w:pPr>
          </w:p>
        </w:tc>
      </w:tr>
      <w:tr>
        <w:trPr>
          <w:trHeight w:val="214"/>
        </w:trPr>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Employee stock-based awards</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9"/>
        </w:trPr>
        <w:tc>
          <w:tcPr>
            <w:tcW w:w="7600" w:type="dxa"/>
            <w:vAlign w:val="bottom"/>
            <w:gridSpan w:val="2"/>
          </w:tcPr>
          <w:p>
            <w:pPr>
              <w:spacing w:after="0"/>
              <w:rPr>
                <w:sz w:val="20"/>
                <w:szCs w:val="20"/>
                <w:color w:val="auto"/>
              </w:rPr>
            </w:pPr>
            <w:r>
              <w:rPr>
                <w:rFonts w:ascii="Arial" w:cs="Arial" w:eastAsia="Arial" w:hAnsi="Arial"/>
                <w:sz w:val="16"/>
                <w:szCs w:val="16"/>
                <w:color w:val="auto"/>
              </w:rPr>
              <w:t>Notes due 2028</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1,082</w:t>
            </w:r>
          </w:p>
        </w:tc>
      </w:tr>
      <w:tr>
        <w:trPr>
          <w:trHeight w:val="211"/>
        </w:trPr>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2028 Warrants</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1,547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r>
      <w:tr>
        <w:trPr>
          <w:trHeight w:val="209"/>
        </w:trPr>
        <w:tc>
          <w:tcPr>
            <w:tcW w:w="7600" w:type="dxa"/>
            <w:vAlign w:val="bottom"/>
            <w:gridSpan w:val="2"/>
          </w:tcPr>
          <w:p>
            <w:pPr>
              <w:spacing w:after="0"/>
              <w:rPr>
                <w:sz w:val="20"/>
                <w:szCs w:val="20"/>
                <w:color w:val="auto"/>
              </w:rPr>
            </w:pPr>
            <w:r>
              <w:rPr>
                <w:rFonts w:ascii="Arial" w:cs="Arial" w:eastAsia="Arial" w:hAnsi="Arial"/>
                <w:sz w:val="16"/>
                <w:szCs w:val="16"/>
                <w:color w:val="auto"/>
              </w:rPr>
              <w:t>Notes due 2026</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1,328</w:t>
            </w:r>
          </w:p>
        </w:tc>
      </w:tr>
      <w:tr>
        <w:trPr>
          <w:trHeight w:val="211"/>
        </w:trPr>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2026 Warrants</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3,038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1,577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w:t>
            </w:r>
          </w:p>
        </w:tc>
      </w:tr>
      <w:tr>
        <w:trPr>
          <w:trHeight w:val="209"/>
        </w:trPr>
        <w:tc>
          <w:tcPr>
            <w:tcW w:w="6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Notes due 2025</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1,253</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4,512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440" w:hanging="435"/>
        <w:spacing w:after="0"/>
        <w:tabs>
          <w:tab w:leader="none" w:pos="44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SEGMENT AND GEOGRAPHIC INFORMATION</w:t>
      </w:r>
    </w:p>
    <w:p>
      <w:pPr>
        <w:spacing w:after="0" w:line="121"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The Company’s chief operating decision maker is the Chief Executive Officer (the “CEO”). The CEO reviews financial information presented on a consolidated basis. The Company has one business activity, which entails the design, development, manufacture and sale of solutions for the solar PV industry. There are no segment managers who are held accountable for operations, operating results or plans for levels or components below the consolidated unit level. Accordingly, management has determined that the Company has a single operating and reportable segment.</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net revenues by geographic region as of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225"/>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1,761,846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1,108,801</w:t>
            </w:r>
          </w:p>
        </w:tc>
      </w:tr>
      <w:tr>
        <w:trPr>
          <w:trHeight w:val="223"/>
        </w:trPr>
        <w:tc>
          <w:tcPr>
            <w:tcW w:w="6600" w:type="dxa"/>
            <w:vAlign w:val="bottom"/>
          </w:tcPr>
          <w:p>
            <w:pPr>
              <w:ind w:left="20"/>
              <w:spacing w:after="0"/>
              <w:rPr>
                <w:sz w:val="20"/>
                <w:szCs w:val="20"/>
                <w:color w:val="auto"/>
              </w:rPr>
            </w:pPr>
            <w:r>
              <w:rPr>
                <w:rFonts w:ascii="Arial" w:cs="Arial" w:eastAsia="Arial" w:hAnsi="Arial"/>
                <w:sz w:val="17"/>
                <w:szCs w:val="17"/>
                <w:color w:val="auto"/>
              </w:rPr>
              <w:t>Netherlands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351,628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196,165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79,189</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470,050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372,842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194,059</w:t>
            </w:r>
          </w:p>
        </w:tc>
      </w:tr>
      <w:tr>
        <w:trPr>
          <w:trHeight w:val="203"/>
        </w:trPr>
        <w:tc>
          <w:tcPr>
            <w:tcW w:w="6600" w:type="dxa"/>
            <w:vAlign w:val="bottom"/>
          </w:tcPr>
          <w:p>
            <w:pPr>
              <w:ind w:left="2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2,290,786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2,330,853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1,382,049</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549275</wp:posOffset>
            </wp:positionV>
            <wp:extent cx="69361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21" w:name="page122"/>
    <w:bookmarkEnd w:id="12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long-lived assets by geographic region as of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0"/>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r>
      <w:tr>
        <w:trPr>
          <w:trHeight w:val="225"/>
        </w:trPr>
        <w:tc>
          <w:tcPr>
            <w:tcW w:w="8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107,448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54,406</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India</w:t>
            </w:r>
          </w:p>
        </w:tc>
        <w:tc>
          <w:tcPr>
            <w:tcW w:w="32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22,978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19,950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China</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12,883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9,228</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New Zealand</w:t>
            </w:r>
          </w:p>
        </w:tc>
        <w:tc>
          <w:tcPr>
            <w:tcW w:w="32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8,959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6,059</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Mexico</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6,028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9,929</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Romania</w:t>
            </w:r>
          </w:p>
        </w:tc>
        <w:tc>
          <w:tcPr>
            <w:tcW w:w="32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5,280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8,355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4,668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3,440</w:t>
            </w:r>
          </w:p>
        </w:tc>
      </w:tr>
      <w:tr>
        <w:trPr>
          <w:trHeight w:val="203"/>
        </w:trPr>
        <w:tc>
          <w:tcPr>
            <w:tcW w:w="8260" w:type="dxa"/>
            <w:vAlign w:val="bottom"/>
          </w:tcPr>
          <w:p>
            <w:pPr>
              <w:ind w:left="24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168,244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111,367</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440" w:hanging="435"/>
        <w:spacing w:after="0"/>
        <w:tabs>
          <w:tab w:leader="none" w:pos="44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 xml:space="preserve">In 2018, a member of the Company’s board of directors, Thurman John Rodgers, purchased $5.0 million aggregate principal amount of the Notes due 2023 in a concurrent private placement. During the year ended December 31, 2023, the $5.0 million aggregate principal amount of the Notes due 2023 was converted into shares of common stock of the Company. Refer to </w:t>
      </w:r>
      <w:r>
        <w:rPr>
          <w:rFonts w:ascii="Arial" w:cs="Arial" w:eastAsia="Arial" w:hAnsi="Arial"/>
          <w:sz w:val="17"/>
          <w:szCs w:val="17"/>
          <w:color w:val="0000FF"/>
        </w:rPr>
        <w:t>Note 13</w:t>
      </w:r>
      <w:r>
        <w:rPr>
          <w:rFonts w:ascii="Arial" w:cs="Arial" w:eastAsia="Arial" w:hAnsi="Arial"/>
          <w:sz w:val="17"/>
          <w:szCs w:val="17"/>
          <w:color w:val="auto"/>
        </w:rPr>
        <w:t>. “Debt,” for additional information related to this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22" w:name="page123"/>
    <w:bookmarkEnd w:id="12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9.</w:t>
        <w:tab/>
        <w:t>Changes in and Disagreements with Accountants on Accounting and Financial Disclosure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2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1" w:lineRule="exact"/>
        <w:rPr>
          <w:sz w:val="20"/>
          <w:szCs w:val="20"/>
          <w:color w:val="auto"/>
        </w:rPr>
      </w:pPr>
    </w:p>
    <w:p>
      <w:pPr>
        <w:jc w:val="both"/>
        <w:ind w:right="40" w:firstLine="472"/>
        <w:spacing w:after="0" w:line="263" w:lineRule="auto"/>
        <w:rPr>
          <w:sz w:val="20"/>
          <w:szCs w:val="20"/>
          <w:color w:val="auto"/>
        </w:rPr>
      </w:pPr>
      <w:r>
        <w:rPr>
          <w:rFonts w:ascii="Arial" w:cs="Arial" w:eastAsia="Arial" w:hAnsi="Arial"/>
          <w:sz w:val="17"/>
          <w:szCs w:val="17"/>
          <w:color w:val="auto"/>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the end of the period covered by this report.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21" w:lineRule="exact"/>
        <w:rPr>
          <w:sz w:val="20"/>
          <w:szCs w:val="20"/>
          <w:color w:val="auto"/>
        </w:rPr>
      </w:pPr>
    </w:p>
    <w:p>
      <w:pPr>
        <w:jc w:val="both"/>
        <w:ind w:right="40" w:firstLine="472"/>
        <w:spacing w:after="0" w:line="264"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 providing reasonable assurance regarding the reliability of financial reporting and the preparation of financial statements for external purposes in accordance with generally accepted accounting principles, as defined in Rule 13a-15(f) of the Exchange Act. Management has assessed the effectiveness of our internal control over financial reporting based on criteria set forth in Internal Control – Integrated Framework issued by the Committee of Sponsoring Organizations of the Treadway Commission (2013). As a result of this assessment, management concluded that, as of December 31, 2023, our internal control over financial reporting was effective. Our independent registered public accounting firm, Deloitte &amp; Touche LLP, has issued an audit report on our internal control over financial reporting, which appears in Part II, Item 8 of this Annual Report on Form 10-K.</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1" w:lineRule="exact"/>
        <w:rPr>
          <w:sz w:val="20"/>
          <w:szCs w:val="20"/>
          <w:color w:val="auto"/>
        </w:rPr>
      </w:pPr>
    </w:p>
    <w:p>
      <w:pPr>
        <w:jc w:val="both"/>
        <w:ind w:right="40" w:firstLine="472"/>
        <w:spacing w:after="0" w:line="300" w:lineRule="auto"/>
        <w:rPr>
          <w:sz w:val="20"/>
          <w:szCs w:val="20"/>
          <w:color w:val="auto"/>
        </w:rPr>
      </w:pPr>
      <w:r>
        <w:rPr>
          <w:rFonts w:ascii="Arial" w:cs="Arial" w:eastAsia="Arial" w:hAnsi="Arial"/>
          <w:sz w:val="17"/>
          <w:szCs w:val="17"/>
          <w:color w:val="auto"/>
        </w:rPr>
        <w:t>There were no changes in our internal control over financial reporting that occurred during the most recent year ended December 31, 2023 that materially affected, or are reasonably likely to materially affect, our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Controls</w:t>
      </w:r>
    </w:p>
    <w:p>
      <w:pPr>
        <w:spacing w:after="0" w:line="121" w:lineRule="exact"/>
        <w:rPr>
          <w:sz w:val="20"/>
          <w:szCs w:val="20"/>
          <w:color w:val="auto"/>
        </w:rPr>
      </w:pPr>
    </w:p>
    <w:p>
      <w:pPr>
        <w:jc w:val="both"/>
        <w:ind w:right="40" w:firstLine="472"/>
        <w:spacing w:after="0" w:line="266" w:lineRule="auto"/>
        <w:rPr>
          <w:sz w:val="20"/>
          <w:szCs w:val="20"/>
          <w:color w:val="auto"/>
        </w:rPr>
      </w:pPr>
      <w:r>
        <w:rPr>
          <w:rFonts w:ascii="Arial" w:cs="Arial" w:eastAsia="Arial" w:hAnsi="Arial"/>
          <w:sz w:val="17"/>
          <w:szCs w:val="17"/>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have been detected by us.</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9B.</w:t>
        <w:tab/>
        <w:t>Other Information</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Rule 10b5-1 Trading Plans</w:t>
      </w:r>
    </w:p>
    <w:p>
      <w:pPr>
        <w:spacing w:after="0" w:line="119" w:lineRule="exact"/>
        <w:rPr>
          <w:sz w:val="20"/>
          <w:szCs w:val="20"/>
          <w:color w:val="auto"/>
        </w:rPr>
      </w:pPr>
    </w:p>
    <w:p>
      <w:pPr>
        <w:jc w:val="both"/>
        <w:ind w:right="40" w:firstLine="472"/>
        <w:spacing w:after="0" w:line="278" w:lineRule="auto"/>
        <w:rPr>
          <w:sz w:val="20"/>
          <w:szCs w:val="20"/>
          <w:color w:val="auto"/>
        </w:rPr>
      </w:pPr>
      <w:r>
        <w:rPr>
          <w:rFonts w:ascii="Arial" w:cs="Arial" w:eastAsia="Arial" w:hAnsi="Arial"/>
          <w:sz w:val="17"/>
          <w:szCs w:val="17"/>
          <w:color w:val="auto"/>
        </w:rPr>
        <w:t>Set forth below is certain information regarding Rule 10b5-1 trading plans adopted by our directors and officers (as defined in Rule 16-a-1(f)) under the Exchange Act) during the fourth quarter of 2023. The adoption of this trading plan occurred during an open insider trading window and is intended to satisfy the affirmative defense conditions of Rule 10b5-1(c) under the Exchange Act.</w:t>
      </w:r>
    </w:p>
    <w:p>
      <w:pPr>
        <w:sectPr>
          <w:pgSz w:w="11900" w:h="16838" w:orient="portrait"/>
          <w:cols w:equalWidth="0" w:num="1">
            <w:col w:w="11280"/>
          </w:cols>
          <w:pgMar w:left="320" w:top="280" w:right="299" w:bottom="1440" w:gutter="0" w:footer="0" w:header="0"/>
        </w:sectPr>
      </w:pPr>
    </w:p>
    <w:p>
      <w:pPr>
        <w:spacing w:after="0" w:line="254"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2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Name</w:t>
            </w:r>
          </w:p>
        </w:tc>
        <w:tc>
          <w:tcPr>
            <w:tcW w:w="2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Title</w:t>
            </w:r>
          </w:p>
        </w:tc>
        <w:tc>
          <w:tcPr>
            <w:tcW w:w="2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Date Plan Was Adopted</w:t>
            </w:r>
          </w:p>
        </w:tc>
        <w:tc>
          <w:tcPr>
            <w:tcW w:w="2100" w:type="dxa"/>
            <w:vAlign w:val="bottom"/>
          </w:tcPr>
          <w:p>
            <w:pPr>
              <w:ind w:left="460"/>
              <w:spacing w:after="0"/>
              <w:rPr>
                <w:sz w:val="20"/>
                <w:szCs w:val="20"/>
                <w:color w:val="auto"/>
              </w:rPr>
            </w:pPr>
            <w:r>
              <w:rPr>
                <w:rFonts w:ascii="Arial" w:cs="Arial" w:eastAsia="Arial" w:hAnsi="Arial"/>
                <w:sz w:val="16"/>
                <w:szCs w:val="16"/>
                <w:b w:val="1"/>
                <w:bCs w:val="1"/>
                <w:color w:val="auto"/>
              </w:rPr>
              <w:t>Expiration Date</w:t>
            </w:r>
          </w:p>
        </w:tc>
        <w:tc>
          <w:tcPr>
            <w:tcW w:w="0" w:type="dxa"/>
            <w:vAlign w:val="bottom"/>
          </w:tcPr>
          <w:p>
            <w:pPr>
              <w:spacing w:after="0"/>
              <w:rPr>
                <w:sz w:val="1"/>
                <w:szCs w:val="1"/>
                <w:color w:val="auto"/>
              </w:rPr>
            </w:pPr>
          </w:p>
        </w:tc>
      </w:tr>
      <w:tr>
        <w:trPr>
          <w:trHeight w:val="152"/>
        </w:trPr>
        <w:tc>
          <w:tcPr>
            <w:tcW w:w="2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8"/>
              </w:rPr>
              <w:t>David Ranhoff</w:t>
            </w:r>
          </w:p>
        </w:tc>
        <w:tc>
          <w:tcPr>
            <w:tcW w:w="2180" w:type="dxa"/>
            <w:vAlign w:val="bottom"/>
            <w:gridSpan w:val="2"/>
          </w:tcPr>
          <w:p>
            <w:pPr>
              <w:jc w:val="center"/>
              <w:ind w:right="100"/>
              <w:spacing w:after="0" w:line="152" w:lineRule="exact"/>
              <w:rPr>
                <w:sz w:val="20"/>
                <w:szCs w:val="20"/>
                <w:color w:val="auto"/>
              </w:rPr>
            </w:pPr>
            <w:r>
              <w:rPr>
                <w:rFonts w:ascii="Arial" w:cs="Arial" w:eastAsia="Arial" w:hAnsi="Arial"/>
                <w:sz w:val="16"/>
                <w:szCs w:val="16"/>
                <w:color w:val="auto"/>
                <w:w w:val="98"/>
              </w:rPr>
              <w:t>Executive Vice President and</w:t>
            </w: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8"/>
              </w:rPr>
              <w:t>December 4, 2023</w:t>
            </w:r>
          </w:p>
        </w:tc>
        <w:tc>
          <w:tcPr>
            <w:tcW w:w="2100" w:type="dxa"/>
            <w:vAlign w:val="bottom"/>
          </w:tcPr>
          <w:p>
            <w:pPr>
              <w:ind w:left="20"/>
              <w:spacing w:after="0" w:line="152" w:lineRule="exact"/>
              <w:rPr>
                <w:sz w:val="20"/>
                <w:szCs w:val="20"/>
                <w:color w:val="auto"/>
              </w:rPr>
            </w:pPr>
            <w:r>
              <w:rPr>
                <w:rFonts w:ascii="Arial" w:cs="Arial" w:eastAsia="Arial" w:hAnsi="Arial"/>
                <w:sz w:val="16"/>
                <w:szCs w:val="16"/>
                <w:color w:val="auto"/>
              </w:rPr>
              <w:t>December 31, 2024 or when</w:t>
            </w:r>
          </w:p>
        </w:tc>
        <w:tc>
          <w:tcPr>
            <w:tcW w:w="0" w:type="dxa"/>
            <w:vAlign w:val="bottom"/>
          </w:tcPr>
          <w:p>
            <w:pPr>
              <w:spacing w:after="0"/>
              <w:rPr>
                <w:sz w:val="1"/>
                <w:szCs w:val="1"/>
                <w:color w:val="auto"/>
              </w:rPr>
            </w:pPr>
          </w:p>
        </w:tc>
      </w:tr>
      <w:tr>
        <w:trPr>
          <w:trHeight w:val="128"/>
        </w:trPr>
        <w:tc>
          <w:tcPr>
            <w:tcW w:w="2180" w:type="dxa"/>
            <w:vAlign w:val="bottom"/>
            <w:gridSpan w:val="2"/>
            <w:vMerge w:val="continue"/>
          </w:tcPr>
          <w:p>
            <w:pPr>
              <w:spacing w:after="0"/>
              <w:rPr>
                <w:sz w:val="11"/>
                <w:szCs w:val="11"/>
                <w:color w:val="auto"/>
              </w:rPr>
            </w:pPr>
          </w:p>
        </w:tc>
        <w:tc>
          <w:tcPr>
            <w:tcW w:w="21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8"/>
              </w:rPr>
              <w:t>Chief Commercial Officer</w:t>
            </w:r>
          </w:p>
        </w:tc>
        <w:tc>
          <w:tcPr>
            <w:tcW w:w="2200" w:type="dxa"/>
            <w:vAlign w:val="bottom"/>
            <w:gridSpan w:val="2"/>
            <w:vMerge w:val="continue"/>
          </w:tcPr>
          <w:p>
            <w:pPr>
              <w:spacing w:after="0"/>
              <w:rPr>
                <w:sz w:val="11"/>
                <w:szCs w:val="11"/>
                <w:color w:val="auto"/>
              </w:rPr>
            </w:pPr>
          </w:p>
        </w:tc>
        <w:tc>
          <w:tcPr>
            <w:tcW w:w="2100" w:type="dxa"/>
            <w:vAlign w:val="bottom"/>
            <w:vMerge w:val="restart"/>
          </w:tcPr>
          <w:p>
            <w:pPr>
              <w:ind w:left="20"/>
              <w:spacing w:after="0"/>
              <w:rPr>
                <w:sz w:val="20"/>
                <w:szCs w:val="20"/>
                <w:color w:val="auto"/>
              </w:rPr>
            </w:pPr>
            <w:r>
              <w:rPr>
                <w:rFonts w:ascii="Arial" w:cs="Arial" w:eastAsia="Arial" w:hAnsi="Arial"/>
                <w:sz w:val="16"/>
                <w:szCs w:val="16"/>
                <w:color w:val="auto"/>
              </w:rPr>
              <w:t>all shares have been sold</w:t>
            </w:r>
          </w:p>
        </w:tc>
        <w:tc>
          <w:tcPr>
            <w:tcW w:w="0" w:type="dxa"/>
            <w:vAlign w:val="bottom"/>
          </w:tcPr>
          <w:p>
            <w:pPr>
              <w:spacing w:after="0"/>
              <w:rPr>
                <w:sz w:val="1"/>
                <w:szCs w:val="1"/>
                <w:color w:val="auto"/>
              </w:rPr>
            </w:pPr>
          </w:p>
        </w:tc>
      </w:tr>
      <w:tr>
        <w:trPr>
          <w:trHeight w:val="79"/>
        </w:trPr>
        <w:tc>
          <w:tcPr>
            <w:tcW w:w="2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2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551180</wp:posOffset>
            </wp:positionV>
            <wp:extent cx="69361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center"/>
        <w:spacing w:after="0" w:line="230" w:lineRule="auto"/>
        <w:rPr>
          <w:sz w:val="20"/>
          <w:szCs w:val="20"/>
          <w:color w:val="auto"/>
        </w:rPr>
      </w:pPr>
      <w:r>
        <w:rPr>
          <w:rFonts w:ascii="Arial" w:cs="Arial" w:eastAsia="Arial" w:hAnsi="Arial"/>
          <w:sz w:val="16"/>
          <w:szCs w:val="16"/>
          <w:b w:val="1"/>
          <w:bCs w:val="1"/>
          <w:color w:val="auto"/>
        </w:rPr>
        <w:t>Total Amount of Common Stock to be Sold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-1270</wp:posOffset>
            </wp:positionV>
            <wp:extent cx="134048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40,000</w:t>
      </w:r>
    </w:p>
    <w:p>
      <w:pPr>
        <w:spacing w:after="0" w:line="301" w:lineRule="exact"/>
        <w:rPr>
          <w:sz w:val="20"/>
          <w:szCs w:val="20"/>
          <w:color w:val="auto"/>
        </w:rPr>
      </w:pPr>
    </w:p>
    <w:p>
      <w:pPr>
        <w:sectPr>
          <w:pgSz w:w="11900" w:h="16838" w:orient="portrait"/>
          <w:cols w:equalWidth="0" w:num="2">
            <w:col w:w="9140" w:space="140"/>
            <w:col w:w="2000"/>
          </w:cols>
          <w:pgMar w:left="320" w:top="280"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828282"/>
        </w:rPr>
        <w:t>Enphase Energy, Inc. | 2023 Form 10-K |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80"/>
          </w:cols>
          <w:pgMar w:left="320" w:top="280" w:right="299" w:bottom="1440" w:gutter="0" w:footer="0" w:header="0"/>
          <w:type w:val="continuous"/>
        </w:sectPr>
      </w:pPr>
    </w:p>
    <w:bookmarkStart w:id="123" w:name="page124"/>
    <w:bookmarkEnd w:id="12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9C.</w:t>
        <w:tab/>
        <w:t>Disclosure Regarding Foreign Jurisdictions that Prevent Inspections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3459"/>
        <w:spacing w:after="0"/>
        <w:rPr>
          <w:sz w:val="20"/>
          <w:szCs w:val="20"/>
          <w:color w:val="auto"/>
        </w:rPr>
      </w:pPr>
      <w:r>
        <w:rPr>
          <w:rFonts w:ascii="Arial" w:cs="Arial" w:eastAsia="Arial" w:hAnsi="Arial"/>
          <w:sz w:val="10"/>
          <w:szCs w:val="10"/>
          <w:color w:val="828282"/>
        </w:rPr>
        <w:t>Enphase Energy, Inc. | 2023 Form 10-K |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280" w:right="1440" w:bottom="1440" w:gutter="0" w:footer="0" w:header="0"/>
        </w:sectPr>
      </w:pPr>
    </w:p>
    <w:bookmarkStart w:id="124" w:name="page125"/>
    <w:bookmarkEnd w:id="12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PART III</w:t>
      </w:r>
    </w:p>
    <w:p>
      <w:pPr>
        <w:spacing w:after="0" w:line="22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information required regarding our directors is incorporated by reference from the information contained in the section entitled “Election of Directors” in our definitive Proxy Statement for the 2024 Annual Meeting of Stockholders (our “Proxy Statement”), a copy of which will be filed with the SEC on or before April 29, 2024.</w:t>
      </w:r>
    </w:p>
    <w:p>
      <w:pPr>
        <w:spacing w:after="0" w:line="5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information required regarding our executive officers is incorporated by reference from the information contained in the section entitled “Management” in our Proxy Statement.</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information required regarding Section 16(a) beneficial ownership reporting compliance is incorporated by reference from the information contained in the section entitled “Delinquent Section 16(a) Reports” in our Proxy Statement.</w:t>
      </w:r>
    </w:p>
    <w:p>
      <w:pPr>
        <w:spacing w:after="0" w:line="3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information required with respect to procedures by which security holders may recommend nominees to our board of directors, and the composition of our Audit Committee, and whether we have an “audit committee financial expert,” is incorporated by reference from the information contained in the section entitled “Information Regarding Committees of the Board” in our Proxy Statement.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 xml:space="preserve">We have a written code of conduct that applies to all our executive officers, directors and employees. Our Code of Conduct is available on our website at </w:t>
      </w:r>
      <w:r>
        <w:rPr>
          <w:rFonts w:ascii="Arial" w:cs="Arial" w:eastAsia="Arial" w:hAnsi="Arial"/>
          <w:sz w:val="17"/>
          <w:szCs w:val="17"/>
          <w:i w:val="1"/>
          <w:iCs w:val="1"/>
          <w:color w:val="auto"/>
        </w:rPr>
        <w:t>http://investor.enphase.com/corporate-governance</w:t>
      </w:r>
      <w:r>
        <w:rPr>
          <w:rFonts w:ascii="Arial" w:cs="Arial" w:eastAsia="Arial" w:hAnsi="Arial"/>
          <w:sz w:val="17"/>
          <w:szCs w:val="17"/>
          <w:color w:val="auto"/>
        </w:rPr>
        <w:t>. A copy of our Code of Conduct may also be obtained free of charge by writing to our Secretary, Enphase Energy, Inc., 47281 Bayside Parkway, Fremont, CA 94538. If we make any substantive amendments to our Code of Conduct or grant any waiver from a provision of the Code of Conduct to any executive officer or director, we intend to promptly disclose the nature of the amendment or waiver on our website.</w:t>
      </w:r>
    </w:p>
    <w:p>
      <w:pPr>
        <w:spacing w:after="0" w:line="165"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information required regarding the compensation of our directors and executive officers is incorporated by reference from the information contained in the sections entitled “Executive Compensation,” “Director Compensation,” “Compensation Committee Interlocks and Insider Participation” and “Compensation Committee Report” in our Proxy Statement.</w:t>
      </w:r>
    </w:p>
    <w:p>
      <w:pPr>
        <w:spacing w:after="0" w:line="15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information required regarding security ownership of our 5% or greater stockholders and of our directors and executive officers is incorporated by reference from the information contained in the section entitled “Security Ownership of Certain Beneficial Owners and Management” in our Proxy Statement.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information required regarding securities authorized for issuance under our equity compensation plans is incorporated by reference from the information contained in the section entitled “Equity Compensation Plan Information” in our Proxy Statement.</w:t>
      </w:r>
    </w:p>
    <w:p>
      <w:pPr>
        <w:spacing w:after="0" w:line="13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13.</w:t>
        <w:tab/>
        <w:t>Certain Relationships and Related Transactions, and Director Independence</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information required regarding related transactions is incorporated herein by reference from the information contained in the section entitled “Transactions With Related Persons” and, with respect to director independence, the section entitled “Election of Directors” in our Proxy Statement.</w:t>
      </w:r>
    </w:p>
    <w:p>
      <w:pPr>
        <w:spacing w:after="0" w:line="15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information required is incorporated by reference from the information contained in the sections entitled “Principal Accountant Fees and Services” and “Pre -Approval Policies and Procedures” in the Proposal entitled “Ratification of Selection of Independent Registered Public Accounting Firm”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728345</wp:posOffset>
            </wp:positionV>
            <wp:extent cx="693610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25" w:name="page126"/>
    <w:bookmarkEnd w:id="12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11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15.</w:t>
        <w:tab/>
        <w:t>Exhibits and Financial Statement Schedules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Financial Statements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information concerning our consolidated financial statements, and Report of Independent Registered Public Accounting Firm required by this Item is incorporated by reference herein to the section of this Annual Report on Form 10-K in Part II, Item 8, Consolidated Financial Statements and Supplementary Data.</w:t>
      </w:r>
    </w:p>
    <w:p>
      <w:pPr>
        <w:spacing w:after="0" w:line="5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No schedules are provided because they are not applicable, not required under the instructions, or the requested information is shown in the financial statements or related notes thereto.</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exhibits listed below are filed as part of this Annual Report on Form 10-K or incorporated herein by reference, in each case as indicated below.</w:t>
      </w:r>
    </w:p>
    <w:p>
      <w:pPr>
        <w:sectPr>
          <w:pgSz w:w="11900" w:h="16838" w:orient="portrait"/>
          <w:cols w:equalWidth="0" w:num="1">
            <w:col w:w="11240"/>
          </w:cols>
          <w:pgMar w:left="320" w:top="280" w:right="339" w:bottom="9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ind w:left="240"/>
        <w:spacing w:after="0"/>
        <w:rPr>
          <w:sz w:val="20"/>
          <w:szCs w:val="20"/>
          <w:color w:val="auto"/>
        </w:rPr>
      </w:pPr>
      <w:r>
        <w:rPr>
          <w:rFonts w:ascii="Arial" w:cs="Arial" w:eastAsia="Arial" w:hAnsi="Arial"/>
          <w:sz w:val="13"/>
          <w:szCs w:val="13"/>
          <w:b w:val="1"/>
          <w:bCs w:val="1"/>
          <w:color w:val="auto"/>
        </w:rPr>
        <w:t>Number</w:t>
      </w:r>
    </w:p>
    <w:p>
      <w:pPr>
        <w:spacing w:after="0" w:line="151" w:lineRule="exact"/>
        <w:rPr>
          <w:sz w:val="20"/>
          <w:szCs w:val="20"/>
          <w:color w:val="auto"/>
        </w:rPr>
      </w:pPr>
    </w:p>
    <w:p>
      <w:pPr>
        <w:ind w:left="400"/>
        <w:spacing w:after="0"/>
        <w:rPr>
          <w:rFonts w:ascii="Arial" w:cs="Arial" w:eastAsia="Arial" w:hAnsi="Arial"/>
          <w:sz w:val="14"/>
          <w:szCs w:val="14"/>
          <w:color w:val="0000FF"/>
        </w:rPr>
      </w:pPr>
      <w:hyperlink r:id="rId277">
        <w:r>
          <w:rPr>
            <w:rFonts w:ascii="Arial" w:cs="Arial" w:eastAsia="Arial" w:hAnsi="Arial"/>
            <w:sz w:val="14"/>
            <w:szCs w:val="14"/>
            <w:color w:val="0000FF"/>
          </w:rPr>
          <w:t>3.1</w:t>
        </w:r>
      </w:hyperlink>
    </w:p>
    <w:p>
      <w:pPr>
        <w:spacing w:after="0" w:line="350" w:lineRule="exact"/>
        <w:rPr>
          <w:sz w:val="20"/>
          <w:szCs w:val="20"/>
          <w:color w:val="auto"/>
        </w:rPr>
      </w:pPr>
    </w:p>
    <w:p>
      <w:pPr>
        <w:ind w:left="400"/>
        <w:spacing w:after="0"/>
        <w:rPr>
          <w:rFonts w:ascii="Arial" w:cs="Arial" w:eastAsia="Arial" w:hAnsi="Arial"/>
          <w:sz w:val="14"/>
          <w:szCs w:val="14"/>
          <w:color w:val="0000FF"/>
        </w:rPr>
      </w:pPr>
      <w:hyperlink r:id="rId278">
        <w:r>
          <w:rPr>
            <w:rFonts w:ascii="Arial" w:cs="Arial" w:eastAsia="Arial" w:hAnsi="Arial"/>
            <w:sz w:val="14"/>
            <w:szCs w:val="14"/>
            <w:color w:val="0000FF"/>
          </w:rPr>
          <w:t>3.2</w:t>
        </w:r>
      </w:hyperlink>
    </w:p>
    <w:p>
      <w:pPr>
        <w:spacing w:after="0" w:line="200" w:lineRule="exact"/>
        <w:rPr>
          <w:sz w:val="20"/>
          <w:szCs w:val="20"/>
          <w:color w:val="auto"/>
        </w:rPr>
      </w:pPr>
    </w:p>
    <w:p>
      <w:pPr>
        <w:spacing w:after="0" w:line="242" w:lineRule="exact"/>
        <w:rPr>
          <w:sz w:val="20"/>
          <w:szCs w:val="20"/>
          <w:color w:val="auto"/>
        </w:rPr>
      </w:pPr>
    </w:p>
    <w:p>
      <w:pPr>
        <w:ind w:left="400"/>
        <w:spacing w:after="0"/>
        <w:rPr>
          <w:rFonts w:ascii="Arial" w:cs="Arial" w:eastAsia="Arial" w:hAnsi="Arial"/>
          <w:sz w:val="14"/>
          <w:szCs w:val="14"/>
          <w:color w:val="0000FF"/>
        </w:rPr>
      </w:pPr>
      <w:hyperlink r:id="rId279">
        <w:r>
          <w:rPr>
            <w:rFonts w:ascii="Arial" w:cs="Arial" w:eastAsia="Arial" w:hAnsi="Arial"/>
            <w:sz w:val="14"/>
            <w:szCs w:val="14"/>
            <w:color w:val="0000FF"/>
          </w:rPr>
          <w:t>3.3</w:t>
        </w:r>
      </w:hyperlink>
    </w:p>
    <w:p>
      <w:pPr>
        <w:spacing w:after="0" w:line="390" w:lineRule="exact"/>
        <w:rPr>
          <w:sz w:val="20"/>
          <w:szCs w:val="20"/>
          <w:color w:val="auto"/>
        </w:rPr>
      </w:pPr>
    </w:p>
    <w:p>
      <w:pPr>
        <w:ind w:left="400"/>
        <w:spacing w:after="0"/>
        <w:rPr>
          <w:rFonts w:ascii="Arial" w:cs="Arial" w:eastAsia="Arial" w:hAnsi="Arial"/>
          <w:sz w:val="14"/>
          <w:szCs w:val="14"/>
          <w:color w:val="0000FF"/>
        </w:rPr>
      </w:pPr>
      <w:hyperlink r:id="rId280">
        <w:r>
          <w:rPr>
            <w:rFonts w:ascii="Arial" w:cs="Arial" w:eastAsia="Arial" w:hAnsi="Arial"/>
            <w:sz w:val="14"/>
            <w:szCs w:val="14"/>
            <w:color w:val="0000FF"/>
          </w:rPr>
          <w:t>3.4</w:t>
        </w:r>
      </w:hyperlink>
    </w:p>
    <w:p>
      <w:pPr>
        <w:spacing w:after="0" w:line="206" w:lineRule="exact"/>
        <w:rPr>
          <w:sz w:val="20"/>
          <w:szCs w:val="20"/>
          <w:color w:val="auto"/>
        </w:rPr>
      </w:pPr>
    </w:p>
    <w:p>
      <w:pPr>
        <w:ind w:left="400"/>
        <w:spacing w:after="0"/>
        <w:rPr>
          <w:rFonts w:ascii="Arial" w:cs="Arial" w:eastAsia="Arial" w:hAnsi="Arial"/>
          <w:sz w:val="14"/>
          <w:szCs w:val="14"/>
          <w:color w:val="0000FF"/>
        </w:rPr>
      </w:pPr>
      <w:hyperlink r:id="rId281">
        <w:r>
          <w:rPr>
            <w:rFonts w:ascii="Arial" w:cs="Arial" w:eastAsia="Arial" w:hAnsi="Arial"/>
            <w:sz w:val="14"/>
            <w:szCs w:val="14"/>
            <w:color w:val="0000FF"/>
          </w:rPr>
          <w:t>3.5</w:t>
        </w:r>
      </w:hyperlink>
    </w:p>
    <w:p>
      <w:pPr>
        <w:spacing w:after="0" w:line="272" w:lineRule="exact"/>
        <w:rPr>
          <w:sz w:val="20"/>
          <w:szCs w:val="20"/>
          <w:color w:val="auto"/>
        </w:rPr>
      </w:pPr>
    </w:p>
    <w:p>
      <w:pPr>
        <w:ind w:left="400"/>
        <w:spacing w:after="0"/>
        <w:rPr>
          <w:rFonts w:ascii="Arial" w:cs="Arial" w:eastAsia="Arial" w:hAnsi="Arial"/>
          <w:sz w:val="14"/>
          <w:szCs w:val="14"/>
          <w:color w:val="0000FF"/>
        </w:rPr>
      </w:pPr>
      <w:hyperlink r:id="rId282">
        <w:r>
          <w:rPr>
            <w:rFonts w:ascii="Arial" w:cs="Arial" w:eastAsia="Arial" w:hAnsi="Arial"/>
            <w:sz w:val="14"/>
            <w:szCs w:val="14"/>
            <w:color w:val="0000FF"/>
          </w:rPr>
          <w:t>3.6</w:t>
        </w:r>
      </w:hyperlink>
    </w:p>
    <w:p>
      <w:pPr>
        <w:spacing w:after="0" w:line="272" w:lineRule="exact"/>
        <w:rPr>
          <w:sz w:val="20"/>
          <w:szCs w:val="20"/>
          <w:color w:val="auto"/>
        </w:rPr>
      </w:pPr>
    </w:p>
    <w:p>
      <w:pPr>
        <w:ind w:left="400"/>
        <w:spacing w:after="0"/>
        <w:rPr>
          <w:rFonts w:ascii="Arial" w:cs="Arial" w:eastAsia="Arial" w:hAnsi="Arial"/>
          <w:sz w:val="14"/>
          <w:szCs w:val="14"/>
          <w:color w:val="0000FF"/>
        </w:rPr>
      </w:pPr>
      <w:hyperlink r:id="rId283">
        <w:r>
          <w:rPr>
            <w:rFonts w:ascii="Arial" w:cs="Arial" w:eastAsia="Arial" w:hAnsi="Arial"/>
            <w:sz w:val="14"/>
            <w:szCs w:val="14"/>
            <w:color w:val="0000FF"/>
          </w:rPr>
          <w:t>4.1</w:t>
        </w:r>
      </w:hyperlink>
    </w:p>
    <w:p>
      <w:pPr>
        <w:spacing w:after="0" w:line="350" w:lineRule="exact"/>
        <w:rPr>
          <w:sz w:val="20"/>
          <w:szCs w:val="20"/>
          <w:color w:val="auto"/>
        </w:rPr>
      </w:pPr>
    </w:p>
    <w:p>
      <w:pPr>
        <w:ind w:left="400"/>
        <w:spacing w:after="0"/>
        <w:rPr>
          <w:rFonts w:ascii="Arial" w:cs="Arial" w:eastAsia="Arial" w:hAnsi="Arial"/>
          <w:sz w:val="14"/>
          <w:szCs w:val="14"/>
          <w:color w:val="0000FF"/>
        </w:rPr>
      </w:pPr>
      <w:hyperlink r:id="rId284">
        <w:r>
          <w:rPr>
            <w:rFonts w:ascii="Arial" w:cs="Arial" w:eastAsia="Arial" w:hAnsi="Arial"/>
            <w:sz w:val="14"/>
            <w:szCs w:val="14"/>
            <w:color w:val="0000FF"/>
          </w:rPr>
          <w:t>4.2</w:t>
        </w:r>
      </w:hyperlink>
    </w:p>
    <w:p>
      <w:pPr>
        <w:spacing w:after="0" w:line="364" w:lineRule="exact"/>
        <w:rPr>
          <w:sz w:val="20"/>
          <w:szCs w:val="20"/>
          <w:color w:val="auto"/>
        </w:rPr>
      </w:pPr>
    </w:p>
    <w:p>
      <w:pPr>
        <w:ind w:left="400"/>
        <w:spacing w:after="0"/>
        <w:rPr>
          <w:rFonts w:ascii="Arial" w:cs="Arial" w:eastAsia="Arial" w:hAnsi="Arial"/>
          <w:sz w:val="14"/>
          <w:szCs w:val="14"/>
          <w:color w:val="0000FF"/>
        </w:rPr>
      </w:pPr>
      <w:hyperlink r:id="rId284">
        <w:r>
          <w:rPr>
            <w:rFonts w:ascii="Arial" w:cs="Arial" w:eastAsia="Arial" w:hAnsi="Arial"/>
            <w:sz w:val="14"/>
            <w:szCs w:val="14"/>
            <w:color w:val="0000FF"/>
          </w:rPr>
          <w:t>4.3</w:t>
        </w:r>
      </w:hyperlink>
    </w:p>
    <w:p>
      <w:pPr>
        <w:spacing w:after="0" w:line="350" w:lineRule="exact"/>
        <w:rPr>
          <w:sz w:val="20"/>
          <w:szCs w:val="20"/>
          <w:color w:val="auto"/>
        </w:rPr>
      </w:pPr>
    </w:p>
    <w:p>
      <w:pPr>
        <w:ind w:left="400"/>
        <w:spacing w:after="0"/>
        <w:rPr>
          <w:rFonts w:ascii="Arial" w:cs="Arial" w:eastAsia="Arial" w:hAnsi="Arial"/>
          <w:sz w:val="14"/>
          <w:szCs w:val="14"/>
          <w:color w:val="0000FF"/>
        </w:rPr>
      </w:pPr>
      <w:hyperlink r:id="rId285">
        <w:r>
          <w:rPr>
            <w:rFonts w:ascii="Arial" w:cs="Arial" w:eastAsia="Arial" w:hAnsi="Arial"/>
            <w:sz w:val="14"/>
            <w:szCs w:val="14"/>
            <w:color w:val="0000FF"/>
          </w:rPr>
          <w:t>4.4</w:t>
        </w:r>
      </w:hyperlink>
    </w:p>
    <w:p>
      <w:pPr>
        <w:spacing w:after="0" w:line="337" w:lineRule="exact"/>
        <w:rPr>
          <w:sz w:val="20"/>
          <w:szCs w:val="20"/>
          <w:color w:val="auto"/>
        </w:rPr>
      </w:pPr>
    </w:p>
    <w:p>
      <w:pPr>
        <w:ind w:left="400"/>
        <w:spacing w:after="0"/>
        <w:rPr>
          <w:rFonts w:ascii="Arial" w:cs="Arial" w:eastAsia="Arial" w:hAnsi="Arial"/>
          <w:sz w:val="14"/>
          <w:szCs w:val="14"/>
          <w:color w:val="0000FF"/>
        </w:rPr>
      </w:pPr>
      <w:hyperlink r:id="rId286">
        <w:r>
          <w:rPr>
            <w:rFonts w:ascii="Arial" w:cs="Arial" w:eastAsia="Arial" w:hAnsi="Arial"/>
            <w:sz w:val="14"/>
            <w:szCs w:val="14"/>
            <w:color w:val="0000FF"/>
          </w:rPr>
          <w:t>4.5</w:t>
        </w:r>
      </w:hyperlink>
    </w:p>
    <w:p>
      <w:pPr>
        <w:spacing w:after="0" w:line="154" w:lineRule="exact"/>
        <w:rPr>
          <w:sz w:val="20"/>
          <w:szCs w:val="20"/>
          <w:color w:val="auto"/>
        </w:rPr>
      </w:pPr>
    </w:p>
    <w:p>
      <w:pPr>
        <w:ind w:left="400"/>
        <w:spacing w:after="0"/>
        <w:rPr>
          <w:rFonts w:ascii="Arial" w:cs="Arial" w:eastAsia="Arial" w:hAnsi="Arial"/>
          <w:sz w:val="14"/>
          <w:szCs w:val="14"/>
          <w:color w:val="0000FF"/>
        </w:rPr>
      </w:pPr>
      <w:hyperlink r:id="rId286">
        <w:r>
          <w:rPr>
            <w:rFonts w:ascii="Arial" w:cs="Arial" w:eastAsia="Arial" w:hAnsi="Arial"/>
            <w:sz w:val="14"/>
            <w:szCs w:val="14"/>
            <w:color w:val="0000FF"/>
          </w:rPr>
          <w:t>4.6</w:t>
        </w:r>
      </w:hyperlink>
    </w:p>
    <w:p>
      <w:pPr>
        <w:spacing w:after="0" w:line="167" w:lineRule="exact"/>
        <w:rPr>
          <w:sz w:val="20"/>
          <w:szCs w:val="20"/>
          <w:color w:val="auto"/>
        </w:rPr>
      </w:pPr>
    </w:p>
    <w:p>
      <w:pPr>
        <w:ind w:left="400"/>
        <w:spacing w:after="0"/>
        <w:rPr>
          <w:rFonts w:ascii="Arial" w:cs="Arial" w:eastAsia="Arial" w:hAnsi="Arial"/>
          <w:sz w:val="14"/>
          <w:szCs w:val="14"/>
          <w:color w:val="0000FF"/>
        </w:rPr>
      </w:pPr>
      <w:hyperlink r:id="rId287">
        <w:r>
          <w:rPr>
            <w:rFonts w:ascii="Arial" w:cs="Arial" w:eastAsia="Arial" w:hAnsi="Arial"/>
            <w:sz w:val="14"/>
            <w:szCs w:val="14"/>
            <w:color w:val="0000FF"/>
          </w:rPr>
          <w:t>4.7</w:t>
        </w:r>
      </w:hyperlink>
    </w:p>
    <w:p>
      <w:pPr>
        <w:spacing w:after="0" w:line="272" w:lineRule="exact"/>
        <w:rPr>
          <w:sz w:val="20"/>
          <w:szCs w:val="20"/>
          <w:color w:val="auto"/>
        </w:rPr>
      </w:pPr>
    </w:p>
    <w:p>
      <w:pPr>
        <w:ind w:left="400"/>
        <w:spacing w:after="0"/>
        <w:rPr>
          <w:rFonts w:ascii="Arial" w:cs="Arial" w:eastAsia="Arial" w:hAnsi="Arial"/>
          <w:sz w:val="14"/>
          <w:szCs w:val="14"/>
          <w:color w:val="0000FF"/>
        </w:rPr>
      </w:pPr>
      <w:hyperlink r:id="rId288">
        <w:r>
          <w:rPr>
            <w:rFonts w:ascii="Arial" w:cs="Arial" w:eastAsia="Arial" w:hAnsi="Arial"/>
            <w:sz w:val="14"/>
            <w:szCs w:val="14"/>
            <w:color w:val="0000FF"/>
          </w:rPr>
          <w:t>4.8</w:t>
        </w:r>
      </w:hyperlink>
    </w:p>
    <w:p>
      <w:pPr>
        <w:spacing w:after="0" w:line="272" w:lineRule="exact"/>
        <w:rPr>
          <w:sz w:val="20"/>
          <w:szCs w:val="20"/>
          <w:color w:val="auto"/>
        </w:rPr>
      </w:pPr>
    </w:p>
    <w:p>
      <w:pPr>
        <w:ind w:left="400"/>
        <w:spacing w:after="0"/>
        <w:rPr>
          <w:rFonts w:ascii="Arial" w:cs="Arial" w:eastAsia="Arial" w:hAnsi="Arial"/>
          <w:sz w:val="14"/>
          <w:szCs w:val="14"/>
          <w:color w:val="0000FF"/>
        </w:rPr>
      </w:pPr>
      <w:hyperlink r:id="rId287">
        <w:r>
          <w:rPr>
            <w:rFonts w:ascii="Arial" w:cs="Arial" w:eastAsia="Arial" w:hAnsi="Arial"/>
            <w:sz w:val="14"/>
            <w:szCs w:val="14"/>
            <w:color w:val="0000FF"/>
          </w:rPr>
          <w:t>4.9</w:t>
        </w:r>
      </w:hyperlink>
    </w:p>
    <w:p>
      <w:pPr>
        <w:spacing w:after="0" w:line="272" w:lineRule="exact"/>
        <w:rPr>
          <w:sz w:val="20"/>
          <w:szCs w:val="20"/>
          <w:color w:val="auto"/>
        </w:rPr>
      </w:pPr>
    </w:p>
    <w:p>
      <w:pPr>
        <w:ind w:left="360"/>
        <w:spacing w:after="0"/>
        <w:rPr>
          <w:rFonts w:ascii="Arial" w:cs="Arial" w:eastAsia="Arial" w:hAnsi="Arial"/>
          <w:sz w:val="14"/>
          <w:szCs w:val="14"/>
          <w:color w:val="0000FF"/>
        </w:rPr>
      </w:pPr>
      <w:hyperlink r:id="rId288">
        <w:r>
          <w:rPr>
            <w:rFonts w:ascii="Arial" w:cs="Arial" w:eastAsia="Arial" w:hAnsi="Arial"/>
            <w:sz w:val="14"/>
            <w:szCs w:val="14"/>
            <w:color w:val="0000FF"/>
          </w:rPr>
          <w:t>4.10</w:t>
        </w:r>
      </w:hyperlink>
    </w:p>
    <w:p>
      <w:pPr>
        <w:spacing w:after="0" w:line="246" w:lineRule="exact"/>
        <w:rPr>
          <w:sz w:val="20"/>
          <w:szCs w:val="20"/>
          <w:color w:val="auto"/>
        </w:rPr>
      </w:pPr>
    </w:p>
    <w:p>
      <w:pPr>
        <w:ind w:left="360"/>
        <w:spacing w:after="0"/>
        <w:rPr>
          <w:rFonts w:ascii="Arial" w:cs="Arial" w:eastAsia="Arial" w:hAnsi="Arial"/>
          <w:sz w:val="14"/>
          <w:szCs w:val="14"/>
          <w:color w:val="0000FF"/>
        </w:rPr>
      </w:pPr>
      <w:hyperlink r:id="rId289">
        <w:r>
          <w:rPr>
            <w:rFonts w:ascii="Arial" w:cs="Arial" w:eastAsia="Arial" w:hAnsi="Arial"/>
            <w:sz w:val="14"/>
            <w:szCs w:val="14"/>
            <w:color w:val="0000FF"/>
          </w:rPr>
          <w:t>4.11</w:t>
        </w:r>
      </w:hyperlink>
    </w:p>
    <w:p>
      <w:pPr>
        <w:spacing w:after="0" w:line="335" w:lineRule="exact"/>
        <w:rPr>
          <w:sz w:val="20"/>
          <w:szCs w:val="20"/>
          <w:color w:val="auto"/>
        </w:rPr>
      </w:pPr>
    </w:p>
    <w:p>
      <w:pPr>
        <w:ind w:left="340"/>
        <w:spacing w:after="0"/>
        <w:rPr>
          <w:rFonts w:ascii="Arial" w:cs="Arial" w:eastAsia="Arial" w:hAnsi="Arial"/>
          <w:sz w:val="14"/>
          <w:szCs w:val="14"/>
          <w:color w:val="0000FF"/>
        </w:rPr>
      </w:pPr>
      <w:hyperlink r:id="rId290">
        <w:r>
          <w:rPr>
            <w:rFonts w:ascii="Arial" w:cs="Arial" w:eastAsia="Arial" w:hAnsi="Arial"/>
            <w:sz w:val="14"/>
            <w:szCs w:val="14"/>
            <w:color w:val="0000FF"/>
          </w:rPr>
          <w:t>10.1</w:t>
        </w:r>
      </w:hyperlink>
      <w:r>
        <w:rPr>
          <w:rFonts w:ascii="Arial" w:cs="Arial" w:eastAsia="Arial" w:hAnsi="Arial"/>
          <w:sz w:val="18"/>
          <w:szCs w:val="18"/>
          <w:color w:val="000000"/>
          <w:vertAlign w:val="superscript"/>
        </w:rPr>
        <w:t>+</w:t>
      </w:r>
    </w:p>
    <w:p>
      <w:pPr>
        <w:spacing w:after="0" w:line="318" w:lineRule="exact"/>
        <w:rPr>
          <w:sz w:val="20"/>
          <w:szCs w:val="20"/>
          <w:color w:val="auto"/>
        </w:rPr>
      </w:pPr>
    </w:p>
    <w:p>
      <w:pPr>
        <w:ind w:left="340"/>
        <w:spacing w:after="0"/>
        <w:rPr>
          <w:rFonts w:ascii="Arial" w:cs="Arial" w:eastAsia="Arial" w:hAnsi="Arial"/>
          <w:sz w:val="14"/>
          <w:szCs w:val="14"/>
          <w:color w:val="0000FF"/>
        </w:rPr>
      </w:pPr>
      <w:hyperlink r:id="rId291">
        <w:r>
          <w:rPr>
            <w:rFonts w:ascii="Arial" w:cs="Arial" w:eastAsia="Arial" w:hAnsi="Arial"/>
            <w:sz w:val="14"/>
            <w:szCs w:val="14"/>
            <w:color w:val="0000FF"/>
          </w:rPr>
          <w:t>10.2</w:t>
        </w:r>
      </w:hyperlink>
      <w:r>
        <w:rPr>
          <w:rFonts w:ascii="Arial" w:cs="Arial" w:eastAsia="Arial" w:hAnsi="Arial"/>
          <w:sz w:val="18"/>
          <w:szCs w:val="18"/>
          <w:color w:val="000000"/>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62230</wp:posOffset>
            </wp:positionV>
            <wp:extent cx="7136130" cy="283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7136130" cy="283210"/>
                    </a:xfrm>
                    <a:prstGeom prst="rect">
                      <a:avLst/>
                    </a:prstGeom>
                    <a:noFill/>
                  </pic:spPr>
                </pic:pic>
              </a:graphicData>
            </a:graphic>
          </wp:anchor>
        </w:drawing>
      </w:r>
    </w:p>
    <w:p>
      <w:pPr>
        <w:spacing w:after="0" w:line="212" w:lineRule="exact"/>
        <w:rPr>
          <w:sz w:val="20"/>
          <w:szCs w:val="20"/>
          <w:color w:val="auto"/>
        </w:rPr>
      </w:pPr>
    </w:p>
    <w:p>
      <w:pPr>
        <w:spacing w:after="0"/>
        <w:rPr>
          <w:rFonts w:ascii="Arial" w:cs="Arial" w:eastAsia="Arial" w:hAnsi="Arial"/>
          <w:sz w:val="14"/>
          <w:szCs w:val="14"/>
          <w:color w:val="0000FF"/>
        </w:rPr>
      </w:pPr>
      <w:hyperlink r:id="rId277">
        <w:r>
          <w:rPr>
            <w:rFonts w:ascii="Arial" w:cs="Arial" w:eastAsia="Arial" w:hAnsi="Arial"/>
            <w:sz w:val="14"/>
            <w:szCs w:val="14"/>
            <w:color w:val="0000FF"/>
          </w:rPr>
          <w:t>Amended and Restated Certificate of Incorporation of Enphase Energy, Inc.</w:t>
        </w:r>
      </w:hyperlink>
    </w:p>
    <w:p>
      <w:pPr>
        <w:spacing w:after="0" w:line="272" w:lineRule="exact"/>
        <w:rPr>
          <w:sz w:val="20"/>
          <w:szCs w:val="20"/>
          <w:color w:val="auto"/>
        </w:rPr>
      </w:pPr>
    </w:p>
    <w:p>
      <w:pPr>
        <w:ind w:right="540"/>
        <w:spacing w:after="0" w:line="289" w:lineRule="auto"/>
        <w:rPr>
          <w:rFonts w:ascii="Arial" w:cs="Arial" w:eastAsia="Arial" w:hAnsi="Arial"/>
          <w:sz w:val="14"/>
          <w:szCs w:val="14"/>
          <w:color w:val="0000FF"/>
        </w:rPr>
      </w:pPr>
      <w:hyperlink r:id="rId278">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278">
        <w:r>
          <w:rPr>
            <w:rFonts w:ascii="Arial" w:cs="Arial" w:eastAsia="Arial" w:hAnsi="Arial"/>
            <w:sz w:val="14"/>
            <w:szCs w:val="14"/>
            <w:color w:val="0000FF"/>
          </w:rPr>
          <w:t>Incorporation of Enphase Energy,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59690</wp:posOffset>
            </wp:positionV>
            <wp:extent cx="7136130" cy="382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7136130" cy="382905"/>
                    </a:xfrm>
                    <a:prstGeom prst="rect">
                      <a:avLst/>
                    </a:prstGeom>
                    <a:noFill/>
                  </pic:spPr>
                </pic:pic>
              </a:graphicData>
            </a:graphic>
          </wp:anchor>
        </w:drawing>
      </w:r>
    </w:p>
    <w:p>
      <w:pPr>
        <w:spacing w:after="0" w:line="195" w:lineRule="exact"/>
        <w:rPr>
          <w:sz w:val="20"/>
          <w:szCs w:val="20"/>
          <w:color w:val="auto"/>
        </w:rPr>
      </w:pPr>
    </w:p>
    <w:p>
      <w:pPr>
        <w:ind w:right="540"/>
        <w:spacing w:after="0" w:line="289" w:lineRule="auto"/>
        <w:rPr>
          <w:rFonts w:ascii="Arial" w:cs="Arial" w:eastAsia="Arial" w:hAnsi="Arial"/>
          <w:sz w:val="14"/>
          <w:szCs w:val="14"/>
          <w:color w:val="0000FF"/>
        </w:rPr>
      </w:pPr>
      <w:hyperlink r:id="rId279">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279">
        <w:r>
          <w:rPr>
            <w:rFonts w:ascii="Arial" w:cs="Arial" w:eastAsia="Arial" w:hAnsi="Arial"/>
            <w:sz w:val="14"/>
            <w:szCs w:val="14"/>
            <w:color w:val="0000FF"/>
          </w:rPr>
          <w:t>Incorporation of Enphase Energy, Inc.</w:t>
        </w:r>
      </w:hyperlink>
    </w:p>
    <w:p>
      <w:pPr>
        <w:spacing w:after="0" w:line="111" w:lineRule="exact"/>
        <w:rPr>
          <w:sz w:val="20"/>
          <w:szCs w:val="20"/>
          <w:color w:val="auto"/>
        </w:rPr>
      </w:pPr>
    </w:p>
    <w:p>
      <w:pPr>
        <w:ind w:right="540"/>
        <w:spacing w:after="0" w:line="289" w:lineRule="auto"/>
        <w:rPr>
          <w:rFonts w:ascii="Arial" w:cs="Arial" w:eastAsia="Arial" w:hAnsi="Arial"/>
          <w:sz w:val="14"/>
          <w:szCs w:val="14"/>
          <w:color w:val="0000FF"/>
        </w:rPr>
      </w:pPr>
      <w:hyperlink r:id="rId280">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280">
        <w:r>
          <w:rPr>
            <w:rFonts w:ascii="Arial" w:cs="Arial" w:eastAsia="Arial" w:hAnsi="Arial"/>
            <w:sz w:val="14"/>
            <w:szCs w:val="14"/>
            <w:color w:val="0000FF"/>
          </w:rPr>
          <w:t>Incorporation of Enphase Energy,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-6350</wp:posOffset>
            </wp:positionV>
            <wp:extent cx="7136130" cy="274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7136130" cy="274955"/>
                    </a:xfrm>
                    <a:prstGeom prst="rect">
                      <a:avLst/>
                    </a:prstGeom>
                    <a:noFill/>
                  </pic:spPr>
                </pic:pic>
              </a:graphicData>
            </a:graphic>
          </wp:anchor>
        </w:drawing>
      </w:r>
    </w:p>
    <w:p>
      <w:pPr>
        <w:ind w:right="540"/>
        <w:spacing w:after="0" w:line="289" w:lineRule="auto"/>
        <w:rPr>
          <w:rFonts w:ascii="Arial" w:cs="Arial" w:eastAsia="Arial" w:hAnsi="Arial"/>
          <w:sz w:val="14"/>
          <w:szCs w:val="14"/>
          <w:color w:val="0000FF"/>
        </w:rPr>
      </w:pPr>
      <w:hyperlink r:id="rId281">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281">
        <w:r>
          <w:rPr>
            <w:rFonts w:ascii="Arial" w:cs="Arial" w:eastAsia="Arial" w:hAnsi="Arial"/>
            <w:sz w:val="14"/>
            <w:szCs w:val="14"/>
            <w:color w:val="0000FF"/>
          </w:rPr>
          <w:t>Incorporation of Enphase Energy, Inc.</w:t>
        </w:r>
      </w:hyperlink>
    </w:p>
    <w:p>
      <w:pPr>
        <w:spacing w:after="0" w:line="137" w:lineRule="exact"/>
        <w:rPr>
          <w:sz w:val="20"/>
          <w:szCs w:val="20"/>
          <w:color w:val="auto"/>
        </w:rPr>
      </w:pPr>
    </w:p>
    <w:p>
      <w:pPr>
        <w:spacing w:after="0"/>
        <w:rPr>
          <w:rFonts w:ascii="Arial" w:cs="Arial" w:eastAsia="Arial" w:hAnsi="Arial"/>
          <w:sz w:val="14"/>
          <w:szCs w:val="14"/>
          <w:color w:val="0000FF"/>
        </w:rPr>
      </w:pPr>
      <w:hyperlink r:id="rId282">
        <w:r>
          <w:rPr>
            <w:rFonts w:ascii="Arial" w:cs="Arial" w:eastAsia="Arial" w:hAnsi="Arial"/>
            <w:sz w:val="14"/>
            <w:szCs w:val="14"/>
            <w:color w:val="0000FF"/>
          </w:rPr>
          <w:t>Amended and Restated Bylaws of Enphase Energy,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95250</wp:posOffset>
            </wp:positionV>
            <wp:extent cx="7136130" cy="274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7136130" cy="274955"/>
                    </a:xfrm>
                    <a:prstGeom prst="rect">
                      <a:avLst/>
                    </a:prstGeom>
                    <a:noFill/>
                  </pic:spPr>
                </pic:pic>
              </a:graphicData>
            </a:graphic>
          </wp:anchor>
        </w:drawing>
      </w:r>
    </w:p>
    <w:p>
      <w:pPr>
        <w:spacing w:after="0" w:line="252" w:lineRule="exact"/>
        <w:rPr>
          <w:sz w:val="20"/>
          <w:szCs w:val="20"/>
          <w:color w:val="auto"/>
        </w:rPr>
      </w:pPr>
    </w:p>
    <w:p>
      <w:pPr>
        <w:spacing w:after="0"/>
        <w:rPr>
          <w:rFonts w:ascii="Arial" w:cs="Arial" w:eastAsia="Arial" w:hAnsi="Arial"/>
          <w:sz w:val="14"/>
          <w:szCs w:val="14"/>
          <w:color w:val="0000FF"/>
        </w:rPr>
      </w:pPr>
      <w:hyperlink r:id="rId283">
        <w:r>
          <w:rPr>
            <w:rFonts w:ascii="Arial" w:cs="Arial" w:eastAsia="Arial" w:hAnsi="Arial"/>
            <w:sz w:val="14"/>
            <w:szCs w:val="14"/>
            <w:color w:val="0000FF"/>
          </w:rPr>
          <w:t>Specimen Common Stock Certificate of Enphase Energy, Inc.</w:t>
        </w:r>
      </w:hyperlink>
    </w:p>
    <w:p>
      <w:pPr>
        <w:spacing w:after="0" w:line="272" w:lineRule="exact"/>
        <w:rPr>
          <w:sz w:val="20"/>
          <w:szCs w:val="20"/>
          <w:color w:val="auto"/>
        </w:rPr>
      </w:pPr>
    </w:p>
    <w:p>
      <w:pPr>
        <w:spacing w:after="0"/>
        <w:rPr>
          <w:rFonts w:ascii="Arial" w:cs="Arial" w:eastAsia="Arial" w:hAnsi="Arial"/>
          <w:sz w:val="14"/>
          <w:szCs w:val="14"/>
          <w:color w:val="0000FF"/>
        </w:rPr>
      </w:pPr>
      <w:hyperlink r:id="rId284">
        <w:r>
          <w:rPr>
            <w:rFonts w:ascii="Arial" w:cs="Arial" w:eastAsia="Arial" w:hAnsi="Arial"/>
            <w:sz w:val="14"/>
            <w:szCs w:val="14"/>
            <w:color w:val="0000FF"/>
          </w:rPr>
          <w:t>Indenture, dated August 17, 2018, between Enphase Energy, Inc. and U.S.</w:t>
        </w:r>
      </w:hyperlink>
    </w:p>
    <w:p>
      <w:pPr>
        <w:spacing w:after="0" w:line="23" w:lineRule="exact"/>
        <w:rPr>
          <w:sz w:val="20"/>
          <w:szCs w:val="20"/>
          <w:color w:val="auto"/>
        </w:rPr>
      </w:pPr>
    </w:p>
    <w:p>
      <w:pPr>
        <w:spacing w:after="0"/>
        <w:rPr>
          <w:rFonts w:ascii="Arial" w:cs="Arial" w:eastAsia="Arial" w:hAnsi="Arial"/>
          <w:sz w:val="14"/>
          <w:szCs w:val="14"/>
          <w:color w:val="0000FF"/>
        </w:rPr>
      </w:pPr>
      <w:hyperlink r:id="rId284">
        <w:r>
          <w:rPr>
            <w:rFonts w:ascii="Arial" w:cs="Arial" w:eastAsia="Arial" w:hAnsi="Arial"/>
            <w:sz w:val="14"/>
            <w:szCs w:val="14"/>
            <w:color w:val="0000FF"/>
          </w:rPr>
          <w:t>Bank National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86360</wp:posOffset>
            </wp:positionV>
            <wp:extent cx="7136130" cy="274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7136130" cy="274955"/>
                    </a:xfrm>
                    <a:prstGeom prst="rect">
                      <a:avLst/>
                    </a:prstGeom>
                    <a:noFill/>
                  </pic:spPr>
                </pic:pic>
              </a:graphicData>
            </a:graphic>
          </wp:anchor>
        </w:drawing>
      </w:r>
    </w:p>
    <w:p>
      <w:pPr>
        <w:spacing w:after="0" w:line="238" w:lineRule="exact"/>
        <w:rPr>
          <w:sz w:val="20"/>
          <w:szCs w:val="20"/>
          <w:color w:val="auto"/>
        </w:rPr>
      </w:pPr>
    </w:p>
    <w:p>
      <w:pPr>
        <w:jc w:val="center"/>
        <w:ind w:right="240"/>
        <w:spacing w:after="0"/>
        <w:rPr>
          <w:rFonts w:ascii="Arial" w:cs="Arial" w:eastAsia="Arial" w:hAnsi="Arial"/>
          <w:sz w:val="13"/>
          <w:szCs w:val="13"/>
          <w:color w:val="0000FF"/>
        </w:rPr>
      </w:pPr>
      <w:hyperlink r:id="rId284">
        <w:r>
          <w:rPr>
            <w:rFonts w:ascii="Arial" w:cs="Arial" w:eastAsia="Arial" w:hAnsi="Arial"/>
            <w:sz w:val="13"/>
            <w:szCs w:val="13"/>
            <w:color w:val="0000FF"/>
          </w:rPr>
          <w:t>Form of 4.00% Convertible Senior Note due 2023 (included in Exhibit 4.2).</w:t>
        </w:r>
      </w:hyperlink>
    </w:p>
    <w:p>
      <w:pPr>
        <w:spacing w:after="0" w:line="283" w:lineRule="exact"/>
        <w:rPr>
          <w:sz w:val="20"/>
          <w:szCs w:val="20"/>
          <w:color w:val="auto"/>
        </w:rPr>
      </w:pPr>
    </w:p>
    <w:p>
      <w:pPr>
        <w:ind w:right="60"/>
        <w:spacing w:after="0" w:line="289" w:lineRule="auto"/>
        <w:rPr>
          <w:rFonts w:ascii="Arial" w:cs="Arial" w:eastAsia="Arial" w:hAnsi="Arial"/>
          <w:sz w:val="14"/>
          <w:szCs w:val="14"/>
          <w:color w:val="0000FF"/>
        </w:rPr>
      </w:pPr>
      <w:hyperlink r:id="rId285">
        <w:r>
          <w:rPr>
            <w:rFonts w:ascii="Arial" w:cs="Arial" w:eastAsia="Arial" w:hAnsi="Arial"/>
            <w:sz w:val="14"/>
            <w:szCs w:val="14"/>
            <w:color w:val="0000FF"/>
          </w:rPr>
          <w:t>Indenture, dated June 5, 2019, between Enphase Energy, Inc. and U.S. Bank</w:t>
        </w:r>
      </w:hyperlink>
      <w:r>
        <w:rPr>
          <w:rFonts w:ascii="Arial" w:cs="Arial" w:eastAsia="Arial" w:hAnsi="Arial"/>
          <w:sz w:val="14"/>
          <w:szCs w:val="14"/>
          <w:color w:val="0000FF"/>
        </w:rPr>
        <w:t xml:space="preserve"> </w:t>
      </w:r>
      <w:hyperlink r:id="rId285">
        <w:r>
          <w:rPr>
            <w:rFonts w:ascii="Arial" w:cs="Arial" w:eastAsia="Arial" w:hAnsi="Arial"/>
            <w:sz w:val="14"/>
            <w:szCs w:val="14"/>
            <w:color w:val="0000FF"/>
          </w:rPr>
          <w:t>National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59690</wp:posOffset>
            </wp:positionV>
            <wp:extent cx="7136130" cy="2495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7136130" cy="249555"/>
                    </a:xfrm>
                    <a:prstGeom prst="rect">
                      <a:avLst/>
                    </a:prstGeom>
                    <a:noFill/>
                  </pic:spPr>
                </pic:pic>
              </a:graphicData>
            </a:graphic>
          </wp:anchor>
        </w:drawing>
      </w:r>
    </w:p>
    <w:p>
      <w:pPr>
        <w:spacing w:after="0" w:line="91" w:lineRule="exact"/>
        <w:rPr>
          <w:sz w:val="20"/>
          <w:szCs w:val="20"/>
          <w:color w:val="auto"/>
        </w:rPr>
      </w:pPr>
    </w:p>
    <w:p>
      <w:pPr>
        <w:spacing w:after="0"/>
        <w:rPr>
          <w:rFonts w:ascii="Arial" w:cs="Arial" w:eastAsia="Arial" w:hAnsi="Arial"/>
          <w:sz w:val="14"/>
          <w:szCs w:val="14"/>
          <w:color w:val="0000FF"/>
        </w:rPr>
      </w:pPr>
      <w:hyperlink r:id="rId286">
        <w:r>
          <w:rPr>
            <w:rFonts w:ascii="Arial" w:cs="Arial" w:eastAsia="Arial" w:hAnsi="Arial"/>
            <w:sz w:val="14"/>
            <w:szCs w:val="14"/>
            <w:color w:val="0000FF"/>
          </w:rPr>
          <w:t>Indenture, dated March 9, 2020, between Enphase Energy, Inc. and U.S.</w:t>
        </w:r>
      </w:hyperlink>
    </w:p>
    <w:p>
      <w:pPr>
        <w:spacing w:after="0" w:line="23" w:lineRule="exact"/>
        <w:rPr>
          <w:sz w:val="20"/>
          <w:szCs w:val="20"/>
          <w:color w:val="auto"/>
        </w:rPr>
      </w:pPr>
    </w:p>
    <w:p>
      <w:pPr>
        <w:spacing w:after="0"/>
        <w:rPr>
          <w:rFonts w:ascii="Arial" w:cs="Arial" w:eastAsia="Arial" w:hAnsi="Arial"/>
          <w:sz w:val="14"/>
          <w:szCs w:val="14"/>
          <w:color w:val="0000FF"/>
        </w:rPr>
      </w:pPr>
      <w:hyperlink r:id="rId286">
        <w:r>
          <w:rPr>
            <w:rFonts w:ascii="Arial" w:cs="Arial" w:eastAsia="Arial" w:hAnsi="Arial"/>
            <w:sz w:val="14"/>
            <w:szCs w:val="14"/>
            <w:color w:val="0000FF"/>
          </w:rPr>
          <w:t>Bank National Association.</w:t>
        </w:r>
      </w:hyperlink>
    </w:p>
    <w:p>
      <w:pPr>
        <w:spacing w:after="0" w:line="48" w:lineRule="exact"/>
        <w:rPr>
          <w:sz w:val="20"/>
          <w:szCs w:val="20"/>
          <w:color w:val="auto"/>
        </w:rPr>
      </w:pPr>
    </w:p>
    <w:p>
      <w:pPr>
        <w:spacing w:after="0"/>
        <w:rPr>
          <w:rFonts w:ascii="Arial" w:cs="Arial" w:eastAsia="Arial" w:hAnsi="Arial"/>
          <w:sz w:val="14"/>
          <w:szCs w:val="14"/>
          <w:color w:val="0000FF"/>
        </w:rPr>
      </w:pPr>
      <w:hyperlink r:id="rId286">
        <w:r>
          <w:rPr>
            <w:rFonts w:ascii="Arial" w:cs="Arial" w:eastAsia="Arial" w:hAnsi="Arial"/>
            <w:sz w:val="14"/>
            <w:szCs w:val="14"/>
            <w:color w:val="0000FF"/>
          </w:rPr>
          <w:t>Form of 0.25% Convertible Senior Note due 2025 (included in Exhibit 4.5).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28575</wp:posOffset>
            </wp:positionV>
            <wp:extent cx="7136130" cy="274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7136130" cy="274955"/>
                    </a:xfrm>
                    <a:prstGeom prst="rect">
                      <a:avLst/>
                    </a:prstGeom>
                    <a:noFill/>
                  </pic:spPr>
                </pic:pic>
              </a:graphicData>
            </a:graphic>
          </wp:anchor>
        </w:drawing>
      </w:r>
    </w:p>
    <w:p>
      <w:pPr>
        <w:spacing w:after="0" w:line="55" w:lineRule="exact"/>
        <w:rPr>
          <w:sz w:val="20"/>
          <w:szCs w:val="20"/>
          <w:color w:val="auto"/>
        </w:rPr>
      </w:pPr>
    </w:p>
    <w:p>
      <w:pPr>
        <w:spacing w:after="0"/>
        <w:rPr>
          <w:rFonts w:ascii="Arial" w:cs="Arial" w:eastAsia="Arial" w:hAnsi="Arial"/>
          <w:sz w:val="14"/>
          <w:szCs w:val="14"/>
          <w:color w:val="0000FF"/>
        </w:rPr>
      </w:pPr>
      <w:hyperlink r:id="rId287">
        <w:r>
          <w:rPr>
            <w:rFonts w:ascii="Arial" w:cs="Arial" w:eastAsia="Arial" w:hAnsi="Arial"/>
            <w:sz w:val="14"/>
            <w:szCs w:val="14"/>
            <w:color w:val="0000FF"/>
          </w:rPr>
          <w:t>Indenture, dated March 1, 2021, between Enphase Energy, Inc. and U.S.</w:t>
        </w:r>
      </w:hyperlink>
    </w:p>
    <w:p>
      <w:pPr>
        <w:spacing w:after="0" w:line="23" w:lineRule="exact"/>
        <w:rPr>
          <w:sz w:val="20"/>
          <w:szCs w:val="20"/>
          <w:color w:val="auto"/>
        </w:rPr>
      </w:pPr>
    </w:p>
    <w:p>
      <w:pPr>
        <w:spacing w:after="0"/>
        <w:rPr>
          <w:rFonts w:ascii="Arial" w:cs="Arial" w:eastAsia="Arial" w:hAnsi="Arial"/>
          <w:sz w:val="14"/>
          <w:szCs w:val="14"/>
          <w:color w:val="0000FF"/>
        </w:rPr>
      </w:pPr>
      <w:hyperlink r:id="rId287">
        <w:r>
          <w:rPr>
            <w:rFonts w:ascii="Arial" w:cs="Arial" w:eastAsia="Arial" w:hAnsi="Arial"/>
            <w:sz w:val="14"/>
            <w:szCs w:val="14"/>
            <w:color w:val="0000FF"/>
          </w:rPr>
          <w:t>Bank National Association.</w:t>
        </w:r>
      </w:hyperlink>
    </w:p>
    <w:p>
      <w:pPr>
        <w:spacing w:after="0" w:line="87" w:lineRule="exact"/>
        <w:rPr>
          <w:sz w:val="20"/>
          <w:szCs w:val="20"/>
          <w:color w:val="auto"/>
        </w:rPr>
      </w:pPr>
    </w:p>
    <w:p>
      <w:pPr>
        <w:spacing w:after="0"/>
        <w:rPr>
          <w:rFonts w:ascii="Arial" w:cs="Arial" w:eastAsia="Arial" w:hAnsi="Arial"/>
          <w:sz w:val="14"/>
          <w:szCs w:val="14"/>
          <w:color w:val="0000FF"/>
        </w:rPr>
      </w:pPr>
      <w:hyperlink r:id="rId288">
        <w:r>
          <w:rPr>
            <w:rFonts w:ascii="Arial" w:cs="Arial" w:eastAsia="Arial" w:hAnsi="Arial"/>
            <w:sz w:val="14"/>
            <w:szCs w:val="14"/>
            <w:color w:val="0000FF"/>
          </w:rPr>
          <w:t>Indenture, dated March 1, 2021, between Enphase Energy, Inc. and U.S.</w:t>
        </w:r>
      </w:hyperlink>
    </w:p>
    <w:p>
      <w:pPr>
        <w:spacing w:after="0" w:line="23" w:lineRule="exact"/>
        <w:rPr>
          <w:sz w:val="20"/>
          <w:szCs w:val="20"/>
          <w:color w:val="auto"/>
        </w:rPr>
      </w:pPr>
    </w:p>
    <w:p>
      <w:pPr>
        <w:spacing w:after="0"/>
        <w:rPr>
          <w:rFonts w:ascii="Arial" w:cs="Arial" w:eastAsia="Arial" w:hAnsi="Arial"/>
          <w:sz w:val="14"/>
          <w:szCs w:val="14"/>
          <w:color w:val="0000FF"/>
        </w:rPr>
      </w:pPr>
      <w:hyperlink r:id="rId288">
        <w:r>
          <w:rPr>
            <w:rFonts w:ascii="Arial" w:cs="Arial" w:eastAsia="Arial" w:hAnsi="Arial"/>
            <w:sz w:val="14"/>
            <w:szCs w:val="14"/>
            <w:color w:val="0000FF"/>
          </w:rPr>
          <w:t>Bank National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36195</wp:posOffset>
            </wp:positionV>
            <wp:extent cx="7136130" cy="274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7136130" cy="274955"/>
                    </a:xfrm>
                    <a:prstGeom prst="rect">
                      <a:avLst/>
                    </a:prstGeom>
                    <a:noFill/>
                  </pic:spPr>
                </pic:pic>
              </a:graphicData>
            </a:graphic>
          </wp:anchor>
        </w:drawing>
      </w:r>
    </w:p>
    <w:p>
      <w:pPr>
        <w:spacing w:after="0" w:line="159" w:lineRule="exact"/>
        <w:rPr>
          <w:sz w:val="20"/>
          <w:szCs w:val="20"/>
          <w:color w:val="auto"/>
        </w:rPr>
      </w:pPr>
    </w:p>
    <w:p>
      <w:pPr>
        <w:spacing w:after="0"/>
        <w:rPr>
          <w:rFonts w:ascii="Arial" w:cs="Arial" w:eastAsia="Arial" w:hAnsi="Arial"/>
          <w:sz w:val="14"/>
          <w:szCs w:val="14"/>
          <w:color w:val="0000FF"/>
        </w:rPr>
      </w:pPr>
      <w:hyperlink r:id="rId287">
        <w:r>
          <w:rPr>
            <w:rFonts w:ascii="Arial" w:cs="Arial" w:eastAsia="Arial" w:hAnsi="Arial"/>
            <w:sz w:val="14"/>
            <w:szCs w:val="14"/>
            <w:color w:val="0000FF"/>
          </w:rPr>
          <w:t>Form of 0% Convertible Senior Note due 2026 (included in Exhibit 4.7).</w:t>
        </w:r>
      </w:hyperlink>
    </w:p>
    <w:p>
      <w:pPr>
        <w:spacing w:after="0" w:line="272" w:lineRule="exact"/>
        <w:rPr>
          <w:sz w:val="20"/>
          <w:szCs w:val="20"/>
          <w:color w:val="auto"/>
        </w:rPr>
      </w:pPr>
    </w:p>
    <w:p>
      <w:pPr>
        <w:spacing w:after="0"/>
        <w:rPr>
          <w:rFonts w:ascii="Arial" w:cs="Arial" w:eastAsia="Arial" w:hAnsi="Arial"/>
          <w:sz w:val="14"/>
          <w:szCs w:val="14"/>
          <w:color w:val="0000FF"/>
        </w:rPr>
      </w:pPr>
      <w:hyperlink r:id="rId288">
        <w:r>
          <w:rPr>
            <w:rFonts w:ascii="Arial" w:cs="Arial" w:eastAsia="Arial" w:hAnsi="Arial"/>
            <w:sz w:val="14"/>
            <w:szCs w:val="14"/>
            <w:color w:val="0000FF"/>
          </w:rPr>
          <w:t>Form of 0% Convertible Senior Note due 2028 (included in Exhibit 4.8).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95250</wp:posOffset>
            </wp:positionV>
            <wp:extent cx="7136130" cy="2495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7136130" cy="249555"/>
                    </a:xfrm>
                    <a:prstGeom prst="rect">
                      <a:avLst/>
                    </a:prstGeom>
                    <a:noFill/>
                  </pic:spPr>
                </pic:pic>
              </a:graphicData>
            </a:graphic>
          </wp:anchor>
        </w:drawing>
      </w:r>
    </w:p>
    <w:p>
      <w:pPr>
        <w:spacing w:after="0" w:line="147" w:lineRule="exact"/>
        <w:rPr>
          <w:sz w:val="20"/>
          <w:szCs w:val="20"/>
          <w:color w:val="auto"/>
        </w:rPr>
      </w:pPr>
    </w:p>
    <w:p>
      <w:pPr>
        <w:spacing w:after="0" w:line="289" w:lineRule="auto"/>
        <w:rPr>
          <w:rFonts w:ascii="Arial" w:cs="Arial" w:eastAsia="Arial" w:hAnsi="Arial"/>
          <w:sz w:val="14"/>
          <w:szCs w:val="14"/>
          <w:color w:val="0000FF"/>
        </w:rPr>
      </w:pPr>
      <w:hyperlink r:id="rId289">
        <w:r>
          <w:rPr>
            <w:rFonts w:ascii="Arial" w:cs="Arial" w:eastAsia="Arial" w:hAnsi="Arial"/>
            <w:sz w:val="14"/>
            <w:szCs w:val="14"/>
            <w:color w:val="0000FF"/>
          </w:rPr>
          <w:t>Description of Registrant’s Securities Registered Pursuant to Section 12 of the</w:t>
        </w:r>
      </w:hyperlink>
      <w:r>
        <w:rPr>
          <w:rFonts w:ascii="Arial" w:cs="Arial" w:eastAsia="Arial" w:hAnsi="Arial"/>
          <w:sz w:val="14"/>
          <w:szCs w:val="14"/>
          <w:color w:val="0000FF"/>
        </w:rPr>
        <w:t xml:space="preserve"> </w:t>
      </w:r>
      <w:hyperlink r:id="rId289">
        <w:r>
          <w:rPr>
            <w:rFonts w:ascii="Arial" w:cs="Arial" w:eastAsia="Arial" w:hAnsi="Arial"/>
            <w:sz w:val="14"/>
            <w:szCs w:val="14"/>
            <w:color w:val="0000FF"/>
          </w:rPr>
          <w:t>Securities Exchange Act of 1934, as amended.</w:t>
        </w:r>
      </w:hyperlink>
    </w:p>
    <w:p>
      <w:pPr>
        <w:spacing w:after="0" w:line="111" w:lineRule="exact"/>
        <w:rPr>
          <w:sz w:val="20"/>
          <w:szCs w:val="20"/>
          <w:color w:val="auto"/>
        </w:rPr>
      </w:pPr>
    </w:p>
    <w:p>
      <w:pPr>
        <w:spacing w:after="0"/>
        <w:rPr>
          <w:rFonts w:ascii="Arial" w:cs="Arial" w:eastAsia="Arial" w:hAnsi="Arial"/>
          <w:sz w:val="14"/>
          <w:szCs w:val="14"/>
          <w:color w:val="0000FF"/>
        </w:rPr>
      </w:pPr>
      <w:hyperlink r:id="rId290">
        <w:r>
          <w:rPr>
            <w:rFonts w:ascii="Arial" w:cs="Arial" w:eastAsia="Arial" w:hAnsi="Arial"/>
            <w:sz w:val="14"/>
            <w:szCs w:val="14"/>
            <w:color w:val="0000FF"/>
          </w:rPr>
          <w:t>Form of Indemnification Agreement by and between Enphase Energy, Inc.</w:t>
        </w:r>
      </w:hyperlink>
    </w:p>
    <w:p>
      <w:pPr>
        <w:spacing w:after="0" w:line="23" w:lineRule="exact"/>
        <w:rPr>
          <w:sz w:val="20"/>
          <w:szCs w:val="20"/>
          <w:color w:val="auto"/>
        </w:rPr>
      </w:pPr>
    </w:p>
    <w:p>
      <w:pPr>
        <w:spacing w:after="0"/>
        <w:rPr>
          <w:rFonts w:ascii="Arial" w:cs="Arial" w:eastAsia="Arial" w:hAnsi="Arial"/>
          <w:sz w:val="14"/>
          <w:szCs w:val="14"/>
          <w:color w:val="0000FF"/>
        </w:rPr>
      </w:pPr>
      <w:hyperlink r:id="rId290">
        <w:r>
          <w:rPr>
            <w:rFonts w:ascii="Arial" w:cs="Arial" w:eastAsia="Arial" w:hAnsi="Arial"/>
            <w:sz w:val="14"/>
            <w:szCs w:val="14"/>
            <w:color w:val="0000FF"/>
          </w:rPr>
          <w:t>and each of its directors and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86360</wp:posOffset>
            </wp:positionV>
            <wp:extent cx="7136130" cy="274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7136130" cy="274955"/>
                    </a:xfrm>
                    <a:prstGeom prst="rect">
                      <a:avLst/>
                    </a:prstGeom>
                    <a:noFill/>
                  </pic:spPr>
                </pic:pic>
              </a:graphicData>
            </a:graphic>
          </wp:anchor>
        </w:drawing>
      </w:r>
    </w:p>
    <w:p>
      <w:pPr>
        <w:spacing w:after="0" w:line="238" w:lineRule="exact"/>
        <w:rPr>
          <w:sz w:val="20"/>
          <w:szCs w:val="20"/>
          <w:color w:val="auto"/>
        </w:rPr>
      </w:pPr>
    </w:p>
    <w:p>
      <w:pPr>
        <w:spacing w:after="0"/>
        <w:rPr>
          <w:rFonts w:ascii="Arial" w:cs="Arial" w:eastAsia="Arial" w:hAnsi="Arial"/>
          <w:sz w:val="14"/>
          <w:szCs w:val="14"/>
          <w:color w:val="0000FF"/>
        </w:rPr>
      </w:pPr>
      <w:hyperlink r:id="rId291">
        <w:r>
          <w:rPr>
            <w:rFonts w:ascii="Arial" w:cs="Arial" w:eastAsia="Arial" w:hAnsi="Arial"/>
            <w:sz w:val="14"/>
            <w:szCs w:val="14"/>
            <w:color w:val="0000FF"/>
          </w:rPr>
          <w:t>2021 Equity Incentive Plan and forms of agreement thereunder.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644525</wp:posOffset>
            </wp:positionV>
            <wp:extent cx="693610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26060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SEC File No.</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66"/>
        </w:trPr>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4/6/2012</w:t>
            </w:r>
          </w:p>
        </w:tc>
        <w:tc>
          <w:tcPr>
            <w:tcW w:w="0" w:type="dxa"/>
            <w:vAlign w:val="bottom"/>
          </w:tcPr>
          <w:p>
            <w:pPr>
              <w:spacing w:after="0"/>
              <w:rPr>
                <w:sz w:val="1"/>
                <w:szCs w:val="1"/>
                <w:color w:val="auto"/>
              </w:rPr>
            </w:pPr>
          </w:p>
        </w:tc>
      </w:tr>
      <w:tr>
        <w:trPr>
          <w:trHeight w:val="511"/>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8/9/2017</w:t>
            </w:r>
          </w:p>
        </w:tc>
        <w:tc>
          <w:tcPr>
            <w:tcW w:w="0" w:type="dxa"/>
            <w:vAlign w:val="bottom"/>
          </w:tcPr>
          <w:p>
            <w:pPr>
              <w:spacing w:after="0"/>
              <w:rPr>
                <w:sz w:val="1"/>
                <w:szCs w:val="1"/>
                <w:color w:val="auto"/>
              </w:rPr>
            </w:pPr>
          </w:p>
        </w:tc>
      </w:tr>
      <w:tr>
        <w:trPr>
          <w:trHeight w:val="603"/>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8/6/2018</w:t>
            </w:r>
          </w:p>
        </w:tc>
        <w:tc>
          <w:tcPr>
            <w:tcW w:w="0" w:type="dxa"/>
            <w:vAlign w:val="bottom"/>
          </w:tcPr>
          <w:p>
            <w:pPr>
              <w:spacing w:after="0"/>
              <w:rPr>
                <w:sz w:val="1"/>
                <w:szCs w:val="1"/>
                <w:color w:val="auto"/>
              </w:rPr>
            </w:pPr>
          </w:p>
        </w:tc>
      </w:tr>
      <w:tr>
        <w:trPr>
          <w:trHeight w:val="498"/>
        </w:trPr>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5/27/2020</w:t>
            </w:r>
          </w:p>
        </w:tc>
        <w:tc>
          <w:tcPr>
            <w:tcW w:w="0" w:type="dxa"/>
            <w:vAlign w:val="bottom"/>
          </w:tcPr>
          <w:p>
            <w:pPr>
              <w:spacing w:after="0"/>
              <w:rPr>
                <w:sz w:val="1"/>
                <w:szCs w:val="1"/>
                <w:color w:val="auto"/>
              </w:rPr>
            </w:pPr>
          </w:p>
        </w:tc>
      </w:tr>
      <w:tr>
        <w:trPr>
          <w:trHeight w:val="52"/>
        </w:trPr>
        <w:tc>
          <w:tcPr>
            <w:tcW w:w="680" w:type="dxa"/>
            <w:vAlign w:val="bottom"/>
            <w:gridSpan w:val="2"/>
            <w:vMerge w:val="continue"/>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S-8</w:t>
            </w:r>
          </w:p>
        </w:tc>
        <w:tc>
          <w:tcPr>
            <w:tcW w:w="1160" w:type="dxa"/>
            <w:vAlign w:val="bottom"/>
          </w:tcPr>
          <w:p>
            <w:pPr>
              <w:jc w:val="center"/>
              <w:spacing w:after="0"/>
              <w:rPr>
                <w:sz w:val="20"/>
                <w:szCs w:val="20"/>
                <w:color w:val="auto"/>
              </w:rPr>
            </w:pPr>
            <w:r>
              <w:rPr>
                <w:rFonts w:ascii="Arial" w:cs="Arial" w:eastAsia="Arial" w:hAnsi="Arial"/>
                <w:sz w:val="14"/>
                <w:szCs w:val="14"/>
                <w:color w:val="auto"/>
              </w:rPr>
              <w:t>333-256290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5/19/2021</w:t>
            </w:r>
          </w:p>
        </w:tc>
        <w:tc>
          <w:tcPr>
            <w:tcW w:w="0" w:type="dxa"/>
            <w:vAlign w:val="bottom"/>
          </w:tcPr>
          <w:p>
            <w:pPr>
              <w:spacing w:after="0"/>
              <w:rPr>
                <w:sz w:val="1"/>
                <w:szCs w:val="1"/>
                <w:color w:val="auto"/>
              </w:rPr>
            </w:pPr>
          </w:p>
        </w:tc>
      </w:tr>
      <w:tr>
        <w:trPr>
          <w:trHeight w:val="433"/>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4/8/2022</w:t>
            </w:r>
          </w:p>
        </w:tc>
        <w:tc>
          <w:tcPr>
            <w:tcW w:w="0" w:type="dxa"/>
            <w:vAlign w:val="bottom"/>
          </w:tcPr>
          <w:p>
            <w:pPr>
              <w:spacing w:after="0"/>
              <w:rPr>
                <w:sz w:val="1"/>
                <w:szCs w:val="1"/>
                <w:color w:val="auto"/>
              </w:rPr>
            </w:pPr>
          </w:p>
        </w:tc>
      </w:tr>
      <w:tr>
        <w:trPr>
          <w:trHeight w:val="433"/>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160" w:type="dxa"/>
            <w:vAlign w:val="bottom"/>
          </w:tcPr>
          <w:p>
            <w:pPr>
              <w:jc w:val="center"/>
              <w:spacing w:after="0"/>
              <w:rPr>
                <w:sz w:val="20"/>
                <w:szCs w:val="20"/>
                <w:color w:val="auto"/>
              </w:rPr>
            </w:pPr>
            <w:r>
              <w:rPr>
                <w:rFonts w:ascii="Arial" w:cs="Arial" w:eastAsia="Arial" w:hAnsi="Arial"/>
                <w:sz w:val="14"/>
                <w:szCs w:val="14"/>
                <w:color w:val="auto"/>
              </w:rPr>
              <w:t>333-174925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3/12/2012</w:t>
            </w:r>
          </w:p>
        </w:tc>
        <w:tc>
          <w:tcPr>
            <w:tcW w:w="0" w:type="dxa"/>
            <w:vAlign w:val="bottom"/>
          </w:tcPr>
          <w:p>
            <w:pPr>
              <w:spacing w:after="0"/>
              <w:rPr>
                <w:sz w:val="1"/>
                <w:szCs w:val="1"/>
                <w:color w:val="auto"/>
              </w:rPr>
            </w:pPr>
          </w:p>
        </w:tc>
      </w:tr>
      <w:tr>
        <w:trPr>
          <w:trHeight w:val="511"/>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8/17/2018</w:t>
            </w:r>
          </w:p>
        </w:tc>
        <w:tc>
          <w:tcPr>
            <w:tcW w:w="0" w:type="dxa"/>
            <w:vAlign w:val="bottom"/>
          </w:tcPr>
          <w:p>
            <w:pPr>
              <w:spacing w:after="0"/>
              <w:rPr>
                <w:sz w:val="1"/>
                <w:szCs w:val="1"/>
                <w:color w:val="auto"/>
              </w:rPr>
            </w:pPr>
          </w:p>
        </w:tc>
      </w:tr>
      <w:tr>
        <w:trPr>
          <w:trHeight w:val="525"/>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8/17/2018</w:t>
            </w:r>
          </w:p>
        </w:tc>
        <w:tc>
          <w:tcPr>
            <w:tcW w:w="0" w:type="dxa"/>
            <w:vAlign w:val="bottom"/>
          </w:tcPr>
          <w:p>
            <w:pPr>
              <w:spacing w:after="0"/>
              <w:rPr>
                <w:sz w:val="1"/>
                <w:szCs w:val="1"/>
                <w:color w:val="auto"/>
              </w:rPr>
            </w:pPr>
          </w:p>
        </w:tc>
      </w:tr>
      <w:tr>
        <w:trPr>
          <w:trHeight w:val="511"/>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6/5/2019</w:t>
            </w:r>
          </w:p>
        </w:tc>
        <w:tc>
          <w:tcPr>
            <w:tcW w:w="0" w:type="dxa"/>
            <w:vAlign w:val="bottom"/>
          </w:tcPr>
          <w:p>
            <w:pPr>
              <w:spacing w:after="0"/>
              <w:rPr>
                <w:sz w:val="1"/>
                <w:szCs w:val="1"/>
                <w:color w:val="auto"/>
              </w:rPr>
            </w:pPr>
          </w:p>
        </w:tc>
      </w:tr>
      <w:tr>
        <w:trPr>
          <w:trHeight w:val="498"/>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3/9/2020</w:t>
            </w:r>
          </w:p>
        </w:tc>
        <w:tc>
          <w:tcPr>
            <w:tcW w:w="0" w:type="dxa"/>
            <w:vAlign w:val="bottom"/>
          </w:tcPr>
          <w:p>
            <w:pPr>
              <w:spacing w:after="0"/>
              <w:rPr>
                <w:sz w:val="1"/>
                <w:szCs w:val="1"/>
                <w:color w:val="auto"/>
              </w:rPr>
            </w:pPr>
          </w:p>
        </w:tc>
      </w:tr>
      <w:tr>
        <w:trPr>
          <w:trHeight w:val="315"/>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3/9/2020</w:t>
            </w:r>
          </w:p>
        </w:tc>
        <w:tc>
          <w:tcPr>
            <w:tcW w:w="0" w:type="dxa"/>
            <w:vAlign w:val="bottom"/>
          </w:tcPr>
          <w:p>
            <w:pPr>
              <w:spacing w:after="0"/>
              <w:rPr>
                <w:sz w:val="1"/>
                <w:szCs w:val="1"/>
                <w:color w:val="auto"/>
              </w:rPr>
            </w:pPr>
          </w:p>
        </w:tc>
      </w:tr>
      <w:tr>
        <w:trPr>
          <w:trHeight w:val="328"/>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3/1/2021</w:t>
            </w:r>
          </w:p>
        </w:tc>
        <w:tc>
          <w:tcPr>
            <w:tcW w:w="0" w:type="dxa"/>
            <w:vAlign w:val="bottom"/>
          </w:tcPr>
          <w:p>
            <w:pPr>
              <w:spacing w:after="0"/>
              <w:rPr>
                <w:sz w:val="1"/>
                <w:szCs w:val="1"/>
                <w:color w:val="auto"/>
              </w:rPr>
            </w:pPr>
          </w:p>
        </w:tc>
      </w:tr>
      <w:tr>
        <w:trPr>
          <w:trHeight w:val="433"/>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3/1/2021</w:t>
            </w:r>
          </w:p>
        </w:tc>
        <w:tc>
          <w:tcPr>
            <w:tcW w:w="0" w:type="dxa"/>
            <w:vAlign w:val="bottom"/>
          </w:tcPr>
          <w:p>
            <w:pPr>
              <w:spacing w:after="0"/>
              <w:rPr>
                <w:sz w:val="1"/>
                <w:szCs w:val="1"/>
                <w:color w:val="auto"/>
              </w:rPr>
            </w:pPr>
          </w:p>
        </w:tc>
      </w:tr>
      <w:tr>
        <w:trPr>
          <w:trHeight w:val="433"/>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3/1/2021</w:t>
            </w:r>
          </w:p>
        </w:tc>
        <w:tc>
          <w:tcPr>
            <w:tcW w:w="0" w:type="dxa"/>
            <w:vAlign w:val="bottom"/>
          </w:tcPr>
          <w:p>
            <w:pPr>
              <w:spacing w:after="0"/>
              <w:rPr>
                <w:sz w:val="1"/>
                <w:szCs w:val="1"/>
                <w:color w:val="auto"/>
              </w:rPr>
            </w:pPr>
          </w:p>
        </w:tc>
      </w:tr>
      <w:tr>
        <w:trPr>
          <w:trHeight w:val="433"/>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3/1/2021</w:t>
            </w:r>
          </w:p>
        </w:tc>
        <w:tc>
          <w:tcPr>
            <w:tcW w:w="0" w:type="dxa"/>
            <w:vAlign w:val="bottom"/>
          </w:tcPr>
          <w:p>
            <w:pPr>
              <w:spacing w:after="0"/>
              <w:rPr>
                <w:sz w:val="1"/>
                <w:szCs w:val="1"/>
                <w:color w:val="auto"/>
              </w:rPr>
            </w:pPr>
          </w:p>
        </w:tc>
      </w:tr>
      <w:tr>
        <w:trPr>
          <w:trHeight w:val="407"/>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4.11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2/11/2022</w:t>
            </w:r>
          </w:p>
        </w:tc>
        <w:tc>
          <w:tcPr>
            <w:tcW w:w="0" w:type="dxa"/>
            <w:vAlign w:val="bottom"/>
          </w:tcPr>
          <w:p>
            <w:pPr>
              <w:spacing w:after="0"/>
              <w:rPr>
                <w:sz w:val="1"/>
                <w:szCs w:val="1"/>
                <w:color w:val="auto"/>
              </w:rPr>
            </w:pPr>
          </w:p>
        </w:tc>
      </w:tr>
      <w:tr>
        <w:trPr>
          <w:trHeight w:val="498"/>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160" w:type="dxa"/>
            <w:vAlign w:val="bottom"/>
          </w:tcPr>
          <w:p>
            <w:pPr>
              <w:jc w:val="center"/>
              <w:spacing w:after="0"/>
              <w:rPr>
                <w:sz w:val="20"/>
                <w:szCs w:val="20"/>
                <w:color w:val="auto"/>
              </w:rPr>
            </w:pPr>
            <w:r>
              <w:rPr>
                <w:rFonts w:ascii="Arial" w:cs="Arial" w:eastAsia="Arial" w:hAnsi="Arial"/>
                <w:sz w:val="14"/>
                <w:szCs w:val="14"/>
                <w:color w:val="auto"/>
              </w:rPr>
              <w:t>333-174925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8/24/2011</w:t>
            </w:r>
          </w:p>
        </w:tc>
        <w:tc>
          <w:tcPr>
            <w:tcW w:w="0" w:type="dxa"/>
            <w:vAlign w:val="bottom"/>
          </w:tcPr>
          <w:p>
            <w:pPr>
              <w:spacing w:after="0"/>
              <w:rPr>
                <w:sz w:val="1"/>
                <w:szCs w:val="1"/>
                <w:color w:val="auto"/>
              </w:rPr>
            </w:pPr>
          </w:p>
        </w:tc>
      </w:tr>
      <w:tr>
        <w:trPr>
          <w:trHeight w:val="525"/>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S-8</w:t>
            </w:r>
          </w:p>
        </w:tc>
        <w:tc>
          <w:tcPr>
            <w:tcW w:w="1160" w:type="dxa"/>
            <w:vAlign w:val="bottom"/>
          </w:tcPr>
          <w:p>
            <w:pPr>
              <w:jc w:val="center"/>
              <w:spacing w:after="0"/>
              <w:rPr>
                <w:sz w:val="20"/>
                <w:szCs w:val="20"/>
                <w:color w:val="auto"/>
              </w:rPr>
            </w:pPr>
            <w:r>
              <w:rPr>
                <w:rFonts w:ascii="Arial" w:cs="Arial" w:eastAsia="Arial" w:hAnsi="Arial"/>
                <w:sz w:val="14"/>
                <w:szCs w:val="14"/>
                <w:color w:val="auto"/>
              </w:rPr>
              <w:t>333-181382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99.1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5/19/2021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Filed</w:t>
      </w:r>
    </w:p>
    <w:p>
      <w:pPr>
        <w:jc w:val="center"/>
        <w:ind w:right="180"/>
        <w:spacing w:after="0"/>
        <w:rPr>
          <w:sz w:val="20"/>
          <w:szCs w:val="20"/>
          <w:color w:val="auto"/>
        </w:rPr>
      </w:pPr>
      <w:r>
        <w:rPr>
          <w:rFonts w:ascii="Arial" w:cs="Arial" w:eastAsia="Arial" w:hAnsi="Arial"/>
          <w:sz w:val="14"/>
          <w:szCs w:val="14"/>
          <w:b w:val="1"/>
          <w:bCs w:val="1"/>
          <w:color w:val="auto"/>
        </w:rPr>
        <w:t>Herewith</w:t>
      </w:r>
    </w:p>
    <w:p>
      <w:pPr>
        <w:spacing w:after="0" w:line="8858" w:lineRule="exact"/>
        <w:rPr>
          <w:sz w:val="20"/>
          <w:szCs w:val="20"/>
          <w:color w:val="auto"/>
        </w:rPr>
      </w:pPr>
    </w:p>
    <w:p>
      <w:pPr>
        <w:sectPr>
          <w:pgSz w:w="11900" w:h="16838" w:orient="portrait"/>
          <w:cols w:equalWidth="0" w:num="4">
            <w:col w:w="760" w:space="360"/>
            <w:col w:w="4820" w:space="120"/>
            <w:col w:w="4100" w:space="300"/>
            <w:col w:w="780"/>
          </w:cols>
          <w:pgMar w:left="320" w:top="280" w:right="339" w:bottom="96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2023 Form 10-K |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965" w:gutter="0" w:footer="0" w:header="0"/>
          <w:type w:val="continuous"/>
        </w:sectPr>
      </w:pPr>
    </w:p>
    <w:bookmarkStart w:id="126" w:name="page127"/>
    <w:bookmarkEnd w:id="126"/>
    <w:p>
      <w:pPr>
        <w:ind w:left="180"/>
        <w:spacing w:after="0"/>
        <w:rPr>
          <w:sz w:val="20"/>
          <w:szCs w:val="20"/>
          <w:color w:val="auto"/>
        </w:rPr>
      </w:pPr>
      <w:r>
        <w:rPr>
          <w:rFonts w:ascii="Arial" w:cs="Arial" w:eastAsia="Arial" w:hAnsi="Arial"/>
          <w:sz w:val="17"/>
          <w:szCs w:val="17"/>
          <w:i w:val="1"/>
          <w:iCs w:val="1"/>
          <w:color w:val="0000FF"/>
        </w:rPr>
        <w:t>Table of Contents</w:t>
      </w:r>
    </w:p>
    <w:p>
      <w:pPr>
        <w:sectPr>
          <w:pgSz w:w="11900" w:h="16838" w:orient="portrait"/>
          <w:cols w:equalWidth="0" w:num="1">
            <w:col w:w="10520"/>
          </w:cols>
          <w:pgMar w:left="620" w:top="28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00" w:type="dxa"/>
            <w:vAlign w:val="bottom"/>
          </w:tcPr>
          <w:p>
            <w:pPr>
              <w:jc w:val="center"/>
              <w:ind w:right="130"/>
              <w:spacing w:after="0"/>
              <w:rPr>
                <w:rFonts w:ascii="Arial" w:cs="Arial" w:eastAsia="Arial" w:hAnsi="Arial"/>
                <w:sz w:val="14"/>
                <w:szCs w:val="14"/>
                <w:color w:val="0000FF"/>
                <w:w w:val="93"/>
              </w:rPr>
            </w:pPr>
            <w:hyperlink r:id="rId305">
              <w:r>
                <w:rPr>
                  <w:rFonts w:ascii="Arial" w:cs="Arial" w:eastAsia="Arial" w:hAnsi="Arial"/>
                  <w:sz w:val="14"/>
                  <w:szCs w:val="14"/>
                  <w:color w:val="0000FF"/>
                  <w:w w:val="93"/>
                </w:rPr>
                <w:t>10.3</w:t>
              </w:r>
            </w:hyperlink>
            <w:r>
              <w:rPr>
                <w:rFonts w:ascii="Arial" w:cs="Arial" w:eastAsia="Arial" w:hAnsi="Arial"/>
                <w:sz w:val="18"/>
                <w:szCs w:val="18"/>
                <w:color w:val="000000"/>
                <w:w w:val="93"/>
                <w:vertAlign w:val="superscript"/>
              </w:rPr>
              <w:t>+</w:t>
            </w:r>
          </w:p>
        </w:tc>
        <w:tc>
          <w:tcPr>
            <w:tcW w:w="5000" w:type="dxa"/>
            <w:vAlign w:val="bottom"/>
          </w:tcPr>
          <w:p>
            <w:pPr>
              <w:ind w:left="220"/>
              <w:spacing w:after="0"/>
              <w:rPr>
                <w:rFonts w:ascii="Arial" w:cs="Arial" w:eastAsia="Arial" w:hAnsi="Arial"/>
                <w:sz w:val="14"/>
                <w:szCs w:val="14"/>
                <w:color w:val="0000FF"/>
                <w:w w:val="98"/>
              </w:rPr>
            </w:pPr>
            <w:hyperlink r:id="rId305">
              <w:r>
                <w:rPr>
                  <w:rFonts w:ascii="Arial" w:cs="Arial" w:eastAsia="Arial" w:hAnsi="Arial"/>
                  <w:sz w:val="14"/>
                  <w:szCs w:val="14"/>
                  <w:color w:val="0000FF"/>
                  <w:w w:val="98"/>
                </w:rPr>
                <w:t>2011 Equity Incentive Plan, as amended, and forms of agreement thereunder.</w:t>
              </w:r>
            </w:hyperlink>
          </w:p>
        </w:tc>
        <w:tc>
          <w:tcPr>
            <w:tcW w:w="0" w:type="dxa"/>
            <w:vAlign w:val="bottom"/>
          </w:tcPr>
          <w:p>
            <w:pPr>
              <w:spacing w:after="0"/>
              <w:rPr>
                <w:sz w:val="1"/>
                <w:szCs w:val="1"/>
                <w:color w:val="auto"/>
              </w:rPr>
            </w:pPr>
          </w:p>
        </w:tc>
      </w:tr>
      <w:tr>
        <w:trPr>
          <w:trHeight w:val="603"/>
        </w:trPr>
        <w:tc>
          <w:tcPr>
            <w:tcW w:w="600" w:type="dxa"/>
            <w:vAlign w:val="bottom"/>
          </w:tcPr>
          <w:p>
            <w:pPr>
              <w:jc w:val="center"/>
              <w:ind w:right="130"/>
              <w:spacing w:after="0"/>
              <w:rPr>
                <w:rFonts w:ascii="Arial" w:cs="Arial" w:eastAsia="Arial" w:hAnsi="Arial"/>
                <w:sz w:val="14"/>
                <w:szCs w:val="14"/>
                <w:color w:val="0000FF"/>
                <w:w w:val="93"/>
              </w:rPr>
            </w:pPr>
            <w:hyperlink r:id="rId306">
              <w:r>
                <w:rPr>
                  <w:rFonts w:ascii="Arial" w:cs="Arial" w:eastAsia="Arial" w:hAnsi="Arial"/>
                  <w:sz w:val="14"/>
                  <w:szCs w:val="14"/>
                  <w:color w:val="0000FF"/>
                  <w:w w:val="93"/>
                </w:rPr>
                <w:t>10.4</w:t>
              </w:r>
            </w:hyperlink>
            <w:r>
              <w:rPr>
                <w:rFonts w:ascii="Arial" w:cs="Arial" w:eastAsia="Arial" w:hAnsi="Arial"/>
                <w:sz w:val="18"/>
                <w:szCs w:val="18"/>
                <w:color w:val="000000"/>
                <w:w w:val="93"/>
                <w:vertAlign w:val="superscript"/>
              </w:rPr>
              <w:t>+</w:t>
            </w:r>
          </w:p>
        </w:tc>
        <w:tc>
          <w:tcPr>
            <w:tcW w:w="5000" w:type="dxa"/>
            <w:vAlign w:val="bottom"/>
          </w:tcPr>
          <w:p>
            <w:pPr>
              <w:ind w:left="220"/>
              <w:spacing w:after="0"/>
              <w:rPr>
                <w:rFonts w:ascii="Arial" w:cs="Arial" w:eastAsia="Arial" w:hAnsi="Arial"/>
                <w:sz w:val="14"/>
                <w:szCs w:val="14"/>
                <w:color w:val="0000FF"/>
              </w:rPr>
            </w:pPr>
            <w:hyperlink r:id="rId306">
              <w:r>
                <w:rPr>
                  <w:rFonts w:ascii="Arial" w:cs="Arial" w:eastAsia="Arial" w:hAnsi="Arial"/>
                  <w:sz w:val="14"/>
                  <w:szCs w:val="14"/>
                  <w:color w:val="0000FF"/>
                </w:rPr>
                <w:t>2011 Employee Stock Purchase Plan, as amended.</w:t>
              </w:r>
            </w:hyperlink>
          </w:p>
        </w:tc>
        <w:tc>
          <w:tcPr>
            <w:tcW w:w="0" w:type="dxa"/>
            <w:vAlign w:val="bottom"/>
          </w:tcPr>
          <w:p>
            <w:pPr>
              <w:spacing w:after="0"/>
              <w:rPr>
                <w:sz w:val="1"/>
                <w:szCs w:val="1"/>
                <w:color w:val="auto"/>
              </w:rPr>
            </w:pPr>
          </w:p>
        </w:tc>
      </w:tr>
      <w:tr>
        <w:trPr>
          <w:trHeight w:val="470"/>
        </w:trPr>
        <w:tc>
          <w:tcPr>
            <w:tcW w:w="600" w:type="dxa"/>
            <w:vAlign w:val="bottom"/>
          </w:tcPr>
          <w:p>
            <w:pPr>
              <w:jc w:val="center"/>
              <w:ind w:right="130"/>
              <w:spacing w:after="0"/>
              <w:rPr>
                <w:sz w:val="20"/>
                <w:szCs w:val="20"/>
                <w:color w:val="auto"/>
              </w:rPr>
            </w:pPr>
            <w:r>
              <w:rPr>
                <w:rFonts w:ascii="Arial" w:cs="Arial" w:eastAsia="Arial" w:hAnsi="Arial"/>
                <w:sz w:val="14"/>
                <w:szCs w:val="14"/>
                <w:color w:val="0000FF"/>
                <w:w w:val="94"/>
              </w:rPr>
              <w:t>10.5</w:t>
            </w:r>
            <w:r>
              <w:rPr>
                <w:rFonts w:ascii="Arial" w:cs="Arial" w:eastAsia="Arial" w:hAnsi="Arial"/>
                <w:sz w:val="18"/>
                <w:szCs w:val="18"/>
                <w:color w:val="000000"/>
                <w:w w:val="94"/>
                <w:vertAlign w:val="superscript"/>
              </w:rPr>
              <w:t>†</w:t>
            </w:r>
          </w:p>
        </w:tc>
        <w:tc>
          <w:tcPr>
            <w:tcW w:w="5000" w:type="dxa"/>
            <w:vAlign w:val="bottom"/>
          </w:tcPr>
          <w:p>
            <w:pPr>
              <w:ind w:left="220"/>
              <w:spacing w:after="0"/>
              <w:rPr>
                <w:rFonts w:ascii="Arial" w:cs="Arial" w:eastAsia="Arial" w:hAnsi="Arial"/>
                <w:sz w:val="14"/>
                <w:szCs w:val="14"/>
                <w:color w:val="0000FF"/>
              </w:rPr>
            </w:pPr>
            <w:hyperlink r:id="rId307">
              <w:r>
                <w:rPr>
                  <w:rFonts w:ascii="Arial" w:cs="Arial" w:eastAsia="Arial" w:hAnsi="Arial"/>
                  <w:sz w:val="14"/>
                  <w:szCs w:val="14"/>
                  <w:color w:val="0000FF"/>
                </w:rPr>
                <w:t>Flextronics Logistics Services Agreement by and between Enphase Energy,</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00" w:type="dxa"/>
            <w:vAlign w:val="bottom"/>
          </w:tcPr>
          <w:p>
            <w:pPr>
              <w:ind w:left="220"/>
              <w:spacing w:after="0"/>
              <w:rPr>
                <w:rFonts w:ascii="Arial" w:cs="Arial" w:eastAsia="Arial" w:hAnsi="Arial"/>
                <w:sz w:val="14"/>
                <w:szCs w:val="14"/>
                <w:color w:val="0000FF"/>
              </w:rPr>
            </w:pPr>
            <w:hyperlink r:id="rId307">
              <w:r>
                <w:rPr>
                  <w:rFonts w:ascii="Arial" w:cs="Arial" w:eastAsia="Arial" w:hAnsi="Arial"/>
                  <w:sz w:val="14"/>
                  <w:szCs w:val="14"/>
                  <w:color w:val="0000FF"/>
                </w:rPr>
                <w:t>Inc. and Flextronics America, LLC, dated May 1, 2009.</w:t>
              </w:r>
            </w:hyperlink>
          </w:p>
        </w:tc>
        <w:tc>
          <w:tcPr>
            <w:tcW w:w="0" w:type="dxa"/>
            <w:vAlign w:val="bottom"/>
          </w:tcPr>
          <w:p>
            <w:pPr>
              <w:spacing w:after="0"/>
              <w:rPr>
                <w:sz w:val="1"/>
                <w:szCs w:val="1"/>
                <w:color w:val="auto"/>
              </w:rPr>
            </w:pPr>
          </w:p>
        </w:tc>
      </w:tr>
      <w:tr>
        <w:trPr>
          <w:trHeight w:val="405"/>
        </w:trPr>
        <w:tc>
          <w:tcPr>
            <w:tcW w:w="600" w:type="dxa"/>
            <w:vAlign w:val="bottom"/>
            <w:vMerge w:val="restart"/>
          </w:tcPr>
          <w:p>
            <w:pPr>
              <w:jc w:val="center"/>
              <w:ind w:right="130"/>
              <w:spacing w:after="0"/>
              <w:rPr>
                <w:rFonts w:ascii="Arial" w:cs="Arial" w:eastAsia="Arial" w:hAnsi="Arial"/>
                <w:sz w:val="14"/>
                <w:szCs w:val="14"/>
                <w:color w:val="0000FF"/>
              </w:rPr>
            </w:pPr>
            <w:hyperlink r:id="rId308">
              <w:r>
                <w:rPr>
                  <w:rFonts w:ascii="Arial" w:cs="Arial" w:eastAsia="Arial" w:hAnsi="Arial"/>
                  <w:sz w:val="14"/>
                  <w:szCs w:val="14"/>
                  <w:color w:val="0000FF"/>
                </w:rPr>
                <w:t>10.6</w:t>
              </w:r>
            </w:hyperlink>
          </w:p>
        </w:tc>
        <w:tc>
          <w:tcPr>
            <w:tcW w:w="5000" w:type="dxa"/>
            <w:vAlign w:val="bottom"/>
          </w:tcPr>
          <w:p>
            <w:pPr>
              <w:ind w:left="220"/>
              <w:spacing w:after="0"/>
              <w:rPr>
                <w:rFonts w:ascii="Arial" w:cs="Arial" w:eastAsia="Arial" w:hAnsi="Arial"/>
                <w:sz w:val="14"/>
                <w:szCs w:val="14"/>
                <w:color w:val="0000FF"/>
              </w:rPr>
            </w:pPr>
            <w:hyperlink r:id="rId308">
              <w:r>
                <w:rPr>
                  <w:rFonts w:ascii="Arial" w:cs="Arial" w:eastAsia="Arial" w:hAnsi="Arial"/>
                  <w:sz w:val="14"/>
                  <w:szCs w:val="14"/>
                  <w:color w:val="0000FF"/>
                </w:rPr>
                <w:t>Amendment #1 to the Flextronics Logistics Services Agreement, by and</w:t>
              </w:r>
            </w:hyperlink>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5000" w:type="dxa"/>
            <w:vAlign w:val="bottom"/>
          </w:tcPr>
          <w:p>
            <w:pPr>
              <w:ind w:left="220"/>
              <w:spacing w:after="0"/>
              <w:rPr>
                <w:rFonts w:ascii="Arial" w:cs="Arial" w:eastAsia="Arial" w:hAnsi="Arial"/>
                <w:sz w:val="14"/>
                <w:szCs w:val="14"/>
                <w:color w:val="0000FF"/>
              </w:rPr>
            </w:pPr>
            <w:hyperlink r:id="rId308">
              <w:r>
                <w:rPr>
                  <w:rFonts w:ascii="Arial" w:cs="Arial" w:eastAsia="Arial" w:hAnsi="Arial"/>
                  <w:sz w:val="14"/>
                  <w:szCs w:val="14"/>
                  <w:color w:val="0000FF"/>
                </w:rPr>
                <w:t>between Enphase Energy, Inc. and Flextronics America, LLC, dated July 28,</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00" w:type="dxa"/>
            <w:vAlign w:val="bottom"/>
          </w:tcPr>
          <w:p>
            <w:pPr>
              <w:ind w:left="220"/>
              <w:spacing w:after="0"/>
              <w:rPr>
                <w:rFonts w:ascii="Arial" w:cs="Arial" w:eastAsia="Arial" w:hAnsi="Arial"/>
                <w:sz w:val="14"/>
                <w:szCs w:val="14"/>
                <w:color w:val="0000FF"/>
              </w:rPr>
            </w:pPr>
            <w:hyperlink r:id="rId308">
              <w:r>
                <w:rPr>
                  <w:rFonts w:ascii="Arial" w:cs="Arial" w:eastAsia="Arial" w:hAnsi="Arial"/>
                  <w:sz w:val="14"/>
                  <w:szCs w:val="14"/>
                  <w:color w:val="0000FF"/>
                </w:rPr>
                <w:t>2016.</w:t>
              </w:r>
            </w:hyperlink>
          </w:p>
        </w:tc>
        <w:tc>
          <w:tcPr>
            <w:tcW w:w="0" w:type="dxa"/>
            <w:vAlign w:val="bottom"/>
          </w:tcPr>
          <w:p>
            <w:pPr>
              <w:spacing w:after="0"/>
              <w:rPr>
                <w:sz w:val="1"/>
                <w:szCs w:val="1"/>
                <w:color w:val="auto"/>
              </w:rPr>
            </w:pPr>
          </w:p>
        </w:tc>
      </w:tr>
      <w:tr>
        <w:trPr>
          <w:trHeight w:val="406"/>
        </w:trPr>
        <w:tc>
          <w:tcPr>
            <w:tcW w:w="600" w:type="dxa"/>
            <w:vAlign w:val="bottom"/>
            <w:vMerge w:val="restart"/>
          </w:tcPr>
          <w:p>
            <w:pPr>
              <w:jc w:val="center"/>
              <w:ind w:right="130"/>
              <w:spacing w:after="0"/>
              <w:rPr>
                <w:rFonts w:ascii="Arial" w:cs="Arial" w:eastAsia="Arial" w:hAnsi="Arial"/>
                <w:sz w:val="14"/>
                <w:szCs w:val="14"/>
                <w:color w:val="0000FF"/>
                <w:w w:val="94"/>
              </w:rPr>
            </w:pPr>
            <w:hyperlink r:id="rId309">
              <w:r>
                <w:rPr>
                  <w:rFonts w:ascii="Arial" w:cs="Arial" w:eastAsia="Arial" w:hAnsi="Arial"/>
                  <w:sz w:val="14"/>
                  <w:szCs w:val="14"/>
                  <w:color w:val="0000FF"/>
                  <w:w w:val="94"/>
                </w:rPr>
                <w:t>10.7</w:t>
              </w:r>
            </w:hyperlink>
            <w:r>
              <w:rPr>
                <w:rFonts w:ascii="Arial" w:cs="Arial" w:eastAsia="Arial" w:hAnsi="Arial"/>
                <w:sz w:val="18"/>
                <w:szCs w:val="18"/>
                <w:color w:val="000000"/>
                <w:w w:val="94"/>
                <w:vertAlign w:val="superscript"/>
              </w:rPr>
              <w:t>†</w:t>
            </w:r>
          </w:p>
        </w:tc>
        <w:tc>
          <w:tcPr>
            <w:tcW w:w="5000" w:type="dxa"/>
            <w:vAlign w:val="bottom"/>
          </w:tcPr>
          <w:p>
            <w:pPr>
              <w:ind w:left="220"/>
              <w:spacing w:after="0"/>
              <w:rPr>
                <w:rFonts w:ascii="Arial" w:cs="Arial" w:eastAsia="Arial" w:hAnsi="Arial"/>
                <w:sz w:val="14"/>
                <w:szCs w:val="14"/>
                <w:color w:val="0000FF"/>
              </w:rPr>
            </w:pPr>
            <w:hyperlink r:id="rId309">
              <w:r>
                <w:rPr>
                  <w:rFonts w:ascii="Arial" w:cs="Arial" w:eastAsia="Arial" w:hAnsi="Arial"/>
                  <w:sz w:val="14"/>
                  <w:szCs w:val="14"/>
                  <w:color w:val="0000FF"/>
                </w:rPr>
                <w:t>Flextronics Manufacturing Services Agreement by and between Enphase</w:t>
              </w:r>
            </w:hyperlink>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5000" w:type="dxa"/>
            <w:vAlign w:val="bottom"/>
          </w:tcPr>
          <w:p>
            <w:pPr>
              <w:ind w:left="220"/>
              <w:spacing w:after="0"/>
              <w:rPr>
                <w:rFonts w:ascii="Arial" w:cs="Arial" w:eastAsia="Arial" w:hAnsi="Arial"/>
                <w:sz w:val="14"/>
                <w:szCs w:val="14"/>
                <w:color w:val="0000FF"/>
              </w:rPr>
            </w:pPr>
            <w:hyperlink r:id="rId309">
              <w:r>
                <w:rPr>
                  <w:rFonts w:ascii="Arial" w:cs="Arial" w:eastAsia="Arial" w:hAnsi="Arial"/>
                  <w:sz w:val="14"/>
                  <w:szCs w:val="14"/>
                  <w:color w:val="0000FF"/>
                </w:rPr>
                <w:t>Energy, Inc. and Flextronics Industrial, Ltd., dated March 1, 2009, as</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00" w:type="dxa"/>
            <w:vAlign w:val="bottom"/>
          </w:tcPr>
          <w:p>
            <w:pPr>
              <w:ind w:left="220"/>
              <w:spacing w:after="0"/>
              <w:rPr>
                <w:rFonts w:ascii="Arial" w:cs="Arial" w:eastAsia="Arial" w:hAnsi="Arial"/>
                <w:sz w:val="14"/>
                <w:szCs w:val="14"/>
                <w:color w:val="0000FF"/>
              </w:rPr>
            </w:pPr>
            <w:hyperlink r:id="rId309">
              <w:r>
                <w:rPr>
                  <w:rFonts w:ascii="Arial" w:cs="Arial" w:eastAsia="Arial" w:hAnsi="Arial"/>
                  <w:sz w:val="14"/>
                  <w:szCs w:val="14"/>
                  <w:color w:val="0000FF"/>
                </w:rPr>
                <w:t>amended.</w:t>
              </w:r>
            </w:hyperlink>
          </w:p>
        </w:tc>
        <w:tc>
          <w:tcPr>
            <w:tcW w:w="0" w:type="dxa"/>
            <w:vAlign w:val="bottom"/>
          </w:tcPr>
          <w:p>
            <w:pPr>
              <w:spacing w:after="0"/>
              <w:rPr>
                <w:sz w:val="1"/>
                <w:szCs w:val="1"/>
                <w:color w:val="auto"/>
              </w:rPr>
            </w:pPr>
          </w:p>
        </w:tc>
      </w:tr>
      <w:tr>
        <w:trPr>
          <w:trHeight w:val="301"/>
        </w:trPr>
        <w:tc>
          <w:tcPr>
            <w:tcW w:w="600" w:type="dxa"/>
            <w:vAlign w:val="bottom"/>
            <w:vMerge w:val="restart"/>
          </w:tcPr>
          <w:p>
            <w:pPr>
              <w:jc w:val="center"/>
              <w:ind w:right="130"/>
              <w:spacing w:after="0"/>
              <w:rPr>
                <w:rFonts w:ascii="Arial" w:cs="Arial" w:eastAsia="Arial" w:hAnsi="Arial"/>
                <w:sz w:val="14"/>
                <w:szCs w:val="14"/>
                <w:color w:val="0000FF"/>
                <w:w w:val="94"/>
              </w:rPr>
            </w:pPr>
            <w:hyperlink r:id="rId310">
              <w:r>
                <w:rPr>
                  <w:rFonts w:ascii="Arial" w:cs="Arial" w:eastAsia="Arial" w:hAnsi="Arial"/>
                  <w:sz w:val="14"/>
                  <w:szCs w:val="14"/>
                  <w:color w:val="0000FF"/>
                  <w:w w:val="94"/>
                </w:rPr>
                <w:t>10.8</w:t>
              </w:r>
              <w:r>
                <w:rPr>
                  <w:rFonts w:ascii="Arial" w:cs="Arial" w:eastAsia="Arial" w:hAnsi="Arial"/>
                  <w:sz w:val="18"/>
                  <w:szCs w:val="18"/>
                  <w:color w:val="0000FF"/>
                  <w:w w:val="94"/>
                  <w:vertAlign w:val="superscript"/>
                </w:rPr>
                <w:t>#</w:t>
              </w:r>
            </w:hyperlink>
          </w:p>
        </w:tc>
        <w:tc>
          <w:tcPr>
            <w:tcW w:w="5000" w:type="dxa"/>
            <w:vAlign w:val="bottom"/>
          </w:tcPr>
          <w:p>
            <w:pPr>
              <w:ind w:left="220"/>
              <w:spacing w:after="0"/>
              <w:rPr>
                <w:rFonts w:ascii="Arial" w:cs="Arial" w:eastAsia="Arial" w:hAnsi="Arial"/>
                <w:sz w:val="14"/>
                <w:szCs w:val="14"/>
                <w:color w:val="0000FF"/>
              </w:rPr>
            </w:pPr>
            <w:hyperlink r:id="rId310">
              <w:r>
                <w:rPr>
                  <w:rFonts w:ascii="Arial" w:cs="Arial" w:eastAsia="Arial" w:hAnsi="Arial"/>
                  <w:sz w:val="14"/>
                  <w:szCs w:val="14"/>
                  <w:color w:val="0000FF"/>
                </w:rPr>
                <w:t>Amendment to Flextronics Manufacturing Services Agreement by and</w:t>
              </w:r>
            </w:hyperlink>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5000" w:type="dxa"/>
            <w:vAlign w:val="bottom"/>
          </w:tcPr>
          <w:p>
            <w:pPr>
              <w:ind w:left="220"/>
              <w:spacing w:after="0"/>
              <w:rPr>
                <w:rFonts w:ascii="Arial" w:cs="Arial" w:eastAsia="Arial" w:hAnsi="Arial"/>
                <w:sz w:val="14"/>
                <w:szCs w:val="14"/>
                <w:color w:val="0000FF"/>
              </w:rPr>
            </w:pPr>
            <w:hyperlink r:id="rId310">
              <w:r>
                <w:rPr>
                  <w:rFonts w:ascii="Arial" w:cs="Arial" w:eastAsia="Arial" w:hAnsi="Arial"/>
                  <w:sz w:val="14"/>
                  <w:szCs w:val="14"/>
                  <w:color w:val="0000FF"/>
                </w:rPr>
                <w:t>between Enphase Energy, Inc. and Flextronics Industrial, Ltd., dated August</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00" w:type="dxa"/>
            <w:vAlign w:val="bottom"/>
          </w:tcPr>
          <w:p>
            <w:pPr>
              <w:ind w:left="220"/>
              <w:spacing w:after="0"/>
              <w:rPr>
                <w:rFonts w:ascii="Arial" w:cs="Arial" w:eastAsia="Arial" w:hAnsi="Arial"/>
                <w:sz w:val="14"/>
                <w:szCs w:val="14"/>
                <w:color w:val="0000FF"/>
              </w:rPr>
            </w:pPr>
            <w:hyperlink r:id="rId310">
              <w:r>
                <w:rPr>
                  <w:rFonts w:ascii="Arial" w:cs="Arial" w:eastAsia="Arial" w:hAnsi="Arial"/>
                  <w:sz w:val="14"/>
                  <w:szCs w:val="14"/>
                  <w:color w:val="0000FF"/>
                </w:rPr>
                <w:t>22, 2018.</w:t>
              </w:r>
            </w:hyperlink>
          </w:p>
        </w:tc>
        <w:tc>
          <w:tcPr>
            <w:tcW w:w="0" w:type="dxa"/>
            <w:vAlign w:val="bottom"/>
          </w:tcPr>
          <w:p>
            <w:pPr>
              <w:spacing w:after="0"/>
              <w:rPr>
                <w:sz w:val="1"/>
                <w:szCs w:val="1"/>
                <w:color w:val="auto"/>
              </w:rPr>
            </w:pPr>
          </w:p>
        </w:tc>
      </w:tr>
      <w:tr>
        <w:trPr>
          <w:trHeight w:val="196"/>
        </w:trPr>
        <w:tc>
          <w:tcPr>
            <w:tcW w:w="600" w:type="dxa"/>
            <w:vAlign w:val="bottom"/>
            <w:vMerge w:val="restart"/>
          </w:tcPr>
          <w:p>
            <w:pPr>
              <w:jc w:val="center"/>
              <w:ind w:right="130"/>
              <w:spacing w:after="0"/>
              <w:rPr>
                <w:rFonts w:ascii="Arial" w:cs="Arial" w:eastAsia="Arial" w:hAnsi="Arial"/>
                <w:sz w:val="14"/>
                <w:szCs w:val="14"/>
                <w:color w:val="0000FF"/>
              </w:rPr>
            </w:pPr>
            <w:hyperlink r:id="rId311">
              <w:r>
                <w:rPr>
                  <w:rFonts w:ascii="Arial" w:cs="Arial" w:eastAsia="Arial" w:hAnsi="Arial"/>
                  <w:sz w:val="14"/>
                  <w:szCs w:val="14"/>
                  <w:color w:val="0000FF"/>
                </w:rPr>
                <w:t>10.9</w:t>
              </w:r>
            </w:hyperlink>
          </w:p>
        </w:tc>
        <w:tc>
          <w:tcPr>
            <w:tcW w:w="5000" w:type="dxa"/>
            <w:vAlign w:val="bottom"/>
          </w:tcPr>
          <w:p>
            <w:pPr>
              <w:ind w:left="220"/>
              <w:spacing w:after="0"/>
              <w:rPr>
                <w:rFonts w:ascii="Arial" w:cs="Arial" w:eastAsia="Arial" w:hAnsi="Arial"/>
                <w:sz w:val="14"/>
                <w:szCs w:val="14"/>
                <w:color w:val="0000FF"/>
              </w:rPr>
            </w:pPr>
            <w:hyperlink r:id="rId311">
              <w:r>
                <w:rPr>
                  <w:rFonts w:ascii="Arial" w:cs="Arial" w:eastAsia="Arial" w:hAnsi="Arial"/>
                  <w:sz w:val="14"/>
                  <w:szCs w:val="14"/>
                  <w:color w:val="0000FF"/>
                </w:rPr>
                <w:t>Amendment No. 2 to Flextronics Manufacturing Services Agreement by and</w:t>
              </w:r>
            </w:hyperlink>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5000" w:type="dxa"/>
            <w:vAlign w:val="bottom"/>
          </w:tcPr>
          <w:p>
            <w:pPr>
              <w:ind w:left="220"/>
              <w:spacing w:after="0"/>
              <w:rPr>
                <w:rFonts w:ascii="Arial" w:cs="Arial" w:eastAsia="Arial" w:hAnsi="Arial"/>
                <w:sz w:val="14"/>
                <w:szCs w:val="14"/>
                <w:color w:val="0000FF"/>
              </w:rPr>
            </w:pPr>
            <w:hyperlink r:id="rId311">
              <w:r>
                <w:rPr>
                  <w:rFonts w:ascii="Arial" w:cs="Arial" w:eastAsia="Arial" w:hAnsi="Arial"/>
                  <w:sz w:val="14"/>
                  <w:szCs w:val="14"/>
                  <w:color w:val="0000FF"/>
                </w:rPr>
                <w:t>between Enphase Energy, Inc. and Flextronics Industrial, Ltd., dated March</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00" w:type="dxa"/>
            <w:vAlign w:val="bottom"/>
          </w:tcPr>
          <w:p>
            <w:pPr>
              <w:ind w:left="220"/>
              <w:spacing w:after="0"/>
              <w:rPr>
                <w:rFonts w:ascii="Arial" w:cs="Arial" w:eastAsia="Arial" w:hAnsi="Arial"/>
                <w:sz w:val="14"/>
                <w:szCs w:val="14"/>
                <w:color w:val="0000FF"/>
              </w:rPr>
            </w:pPr>
            <w:hyperlink r:id="rId311">
              <w:r>
                <w:rPr>
                  <w:rFonts w:ascii="Arial" w:cs="Arial" w:eastAsia="Arial" w:hAnsi="Arial"/>
                  <w:sz w:val="14"/>
                  <w:szCs w:val="14"/>
                  <w:color w:val="0000FF"/>
                </w:rPr>
                <w:t>30, 2022.</w:t>
              </w:r>
            </w:hyperlink>
          </w:p>
        </w:tc>
        <w:tc>
          <w:tcPr>
            <w:tcW w:w="0" w:type="dxa"/>
            <w:vAlign w:val="bottom"/>
          </w:tcPr>
          <w:p>
            <w:pPr>
              <w:spacing w:after="0"/>
              <w:rPr>
                <w:sz w:val="1"/>
                <w:szCs w:val="1"/>
                <w:color w:val="auto"/>
              </w:rPr>
            </w:pPr>
          </w:p>
        </w:tc>
      </w:tr>
      <w:tr>
        <w:trPr>
          <w:trHeight w:val="196"/>
        </w:trPr>
        <w:tc>
          <w:tcPr>
            <w:tcW w:w="600" w:type="dxa"/>
            <w:vAlign w:val="bottom"/>
            <w:vMerge w:val="restart"/>
          </w:tcPr>
          <w:p>
            <w:pPr>
              <w:jc w:val="center"/>
              <w:ind w:right="130"/>
              <w:spacing w:after="0"/>
              <w:rPr>
                <w:rFonts w:ascii="Arial" w:cs="Arial" w:eastAsia="Arial" w:hAnsi="Arial"/>
                <w:sz w:val="14"/>
                <w:szCs w:val="14"/>
                <w:color w:val="0000FF"/>
                <w:w w:val="95"/>
              </w:rPr>
            </w:pPr>
            <w:hyperlink r:id="rId312">
              <w:r>
                <w:rPr>
                  <w:rFonts w:ascii="Arial" w:cs="Arial" w:eastAsia="Arial" w:hAnsi="Arial"/>
                  <w:sz w:val="14"/>
                  <w:szCs w:val="14"/>
                  <w:color w:val="0000FF"/>
                  <w:w w:val="95"/>
                </w:rPr>
                <w:t>10.10</w:t>
              </w:r>
              <w:r>
                <w:rPr>
                  <w:rFonts w:ascii="Arial" w:cs="Arial" w:eastAsia="Arial" w:hAnsi="Arial"/>
                  <w:sz w:val="18"/>
                  <w:szCs w:val="18"/>
                  <w:color w:val="0000FF"/>
                  <w:w w:val="95"/>
                  <w:vertAlign w:val="superscript"/>
                </w:rPr>
                <w:t>#</w:t>
              </w:r>
            </w:hyperlink>
          </w:p>
        </w:tc>
        <w:tc>
          <w:tcPr>
            <w:tcW w:w="5000" w:type="dxa"/>
            <w:vAlign w:val="bottom"/>
          </w:tcPr>
          <w:p>
            <w:pPr>
              <w:ind w:left="220"/>
              <w:spacing w:after="0"/>
              <w:rPr>
                <w:rFonts w:ascii="Arial" w:cs="Arial" w:eastAsia="Arial" w:hAnsi="Arial"/>
                <w:sz w:val="14"/>
                <w:szCs w:val="14"/>
                <w:color w:val="0000FF"/>
              </w:rPr>
            </w:pPr>
            <w:hyperlink r:id="rId312">
              <w:r>
                <w:rPr>
                  <w:rFonts w:ascii="Arial" w:cs="Arial" w:eastAsia="Arial" w:hAnsi="Arial"/>
                  <w:sz w:val="14"/>
                  <w:szCs w:val="14"/>
                  <w:color w:val="0000FF"/>
                </w:rPr>
                <w:t>Amendment No. 3 to Flextronics Manufacturing Services Agreement by and</w:t>
              </w:r>
            </w:hyperlink>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5000" w:type="dxa"/>
            <w:vAlign w:val="bottom"/>
          </w:tcPr>
          <w:p>
            <w:pPr>
              <w:ind w:left="220"/>
              <w:spacing w:after="0"/>
              <w:rPr>
                <w:rFonts w:ascii="Arial" w:cs="Arial" w:eastAsia="Arial" w:hAnsi="Arial"/>
                <w:sz w:val="14"/>
                <w:szCs w:val="14"/>
                <w:color w:val="0000FF"/>
              </w:rPr>
            </w:pPr>
            <w:hyperlink r:id="rId312">
              <w:r>
                <w:rPr>
                  <w:rFonts w:ascii="Arial" w:cs="Arial" w:eastAsia="Arial" w:hAnsi="Arial"/>
                  <w:sz w:val="14"/>
                  <w:szCs w:val="14"/>
                  <w:color w:val="0000FF"/>
                </w:rPr>
                <w:t>between Enphase Energy, Inc. and Flextronics Industrial, Ltd., dated as of</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00" w:type="dxa"/>
            <w:vAlign w:val="bottom"/>
          </w:tcPr>
          <w:p>
            <w:pPr>
              <w:ind w:left="220"/>
              <w:spacing w:after="0"/>
              <w:rPr>
                <w:rFonts w:ascii="Arial" w:cs="Arial" w:eastAsia="Arial" w:hAnsi="Arial"/>
                <w:sz w:val="14"/>
                <w:szCs w:val="14"/>
                <w:color w:val="0000FF"/>
              </w:rPr>
            </w:pPr>
            <w:hyperlink r:id="rId312">
              <w:r>
                <w:rPr>
                  <w:rFonts w:ascii="Arial" w:cs="Arial" w:eastAsia="Arial" w:hAnsi="Arial"/>
                  <w:sz w:val="14"/>
                  <w:szCs w:val="14"/>
                  <w:color w:val="0000FF"/>
                </w:rPr>
                <w:t>June 22, 2023.</w:t>
              </w:r>
            </w:hyperlink>
          </w:p>
        </w:tc>
        <w:tc>
          <w:tcPr>
            <w:tcW w:w="0" w:type="dxa"/>
            <w:vAlign w:val="bottom"/>
          </w:tcPr>
          <w:p>
            <w:pPr>
              <w:spacing w:after="0"/>
              <w:rPr>
                <w:sz w:val="1"/>
                <w:szCs w:val="1"/>
                <w:color w:val="auto"/>
              </w:rPr>
            </w:pPr>
          </w:p>
        </w:tc>
      </w:tr>
      <w:tr>
        <w:trPr>
          <w:trHeight w:val="370"/>
        </w:trPr>
        <w:tc>
          <w:tcPr>
            <w:tcW w:w="600" w:type="dxa"/>
            <w:vAlign w:val="bottom"/>
          </w:tcPr>
          <w:p>
            <w:pPr>
              <w:jc w:val="center"/>
              <w:ind w:right="130"/>
              <w:spacing w:after="0"/>
              <w:rPr>
                <w:rFonts w:ascii="Arial" w:cs="Arial" w:eastAsia="Arial" w:hAnsi="Arial"/>
                <w:sz w:val="14"/>
                <w:szCs w:val="14"/>
                <w:color w:val="0000FF"/>
                <w:w w:val="95"/>
              </w:rPr>
            </w:pPr>
            <w:hyperlink r:id="rId313">
              <w:r>
                <w:rPr>
                  <w:rFonts w:ascii="Arial" w:cs="Arial" w:eastAsia="Arial" w:hAnsi="Arial"/>
                  <w:sz w:val="14"/>
                  <w:szCs w:val="14"/>
                  <w:color w:val="0000FF"/>
                  <w:w w:val="95"/>
                </w:rPr>
                <w:t>10.11</w:t>
              </w:r>
            </w:hyperlink>
            <w:r>
              <w:rPr>
                <w:rFonts w:ascii="Arial" w:cs="Arial" w:eastAsia="Arial" w:hAnsi="Arial"/>
                <w:sz w:val="18"/>
                <w:szCs w:val="18"/>
                <w:color w:val="000000"/>
                <w:w w:val="95"/>
                <w:vertAlign w:val="superscript"/>
              </w:rPr>
              <w:t>+</w:t>
            </w:r>
          </w:p>
        </w:tc>
        <w:tc>
          <w:tcPr>
            <w:tcW w:w="5000" w:type="dxa"/>
            <w:vAlign w:val="bottom"/>
          </w:tcPr>
          <w:p>
            <w:pPr>
              <w:ind w:left="220"/>
              <w:spacing w:after="0"/>
              <w:rPr>
                <w:rFonts w:ascii="Arial" w:cs="Arial" w:eastAsia="Arial" w:hAnsi="Arial"/>
                <w:sz w:val="14"/>
                <w:szCs w:val="14"/>
                <w:color w:val="0000FF"/>
              </w:rPr>
            </w:pPr>
            <w:hyperlink r:id="rId313">
              <w:r>
                <w:rPr>
                  <w:rFonts w:ascii="Arial" w:cs="Arial" w:eastAsia="Arial" w:hAnsi="Arial"/>
                  <w:sz w:val="14"/>
                  <w:szCs w:val="14"/>
                  <w:color w:val="0000FF"/>
                </w:rPr>
                <w:t>Non-employee Director Compensation Policy.</w:t>
              </w:r>
            </w:hyperlink>
          </w:p>
        </w:tc>
        <w:tc>
          <w:tcPr>
            <w:tcW w:w="0" w:type="dxa"/>
            <w:vAlign w:val="bottom"/>
          </w:tcPr>
          <w:p>
            <w:pPr>
              <w:spacing w:after="0"/>
              <w:rPr>
                <w:sz w:val="1"/>
                <w:szCs w:val="1"/>
                <w:color w:val="auto"/>
              </w:rPr>
            </w:pPr>
          </w:p>
        </w:tc>
      </w:tr>
      <w:tr>
        <w:trPr>
          <w:trHeight w:val="378"/>
        </w:trPr>
        <w:tc>
          <w:tcPr>
            <w:tcW w:w="600" w:type="dxa"/>
            <w:vAlign w:val="bottom"/>
          </w:tcPr>
          <w:p>
            <w:pPr>
              <w:jc w:val="center"/>
              <w:ind w:right="130"/>
              <w:spacing w:after="0"/>
              <w:rPr>
                <w:sz w:val="20"/>
                <w:szCs w:val="20"/>
                <w:color w:val="auto"/>
              </w:rPr>
            </w:pPr>
            <w:r>
              <w:rPr>
                <w:rFonts w:ascii="Arial" w:cs="Arial" w:eastAsia="Arial" w:hAnsi="Arial"/>
                <w:sz w:val="14"/>
                <w:szCs w:val="14"/>
                <w:color w:val="0000FF"/>
                <w:w w:val="95"/>
              </w:rPr>
              <w:t>10.12</w:t>
            </w:r>
            <w:r>
              <w:rPr>
                <w:rFonts w:ascii="Arial" w:cs="Arial" w:eastAsia="Arial" w:hAnsi="Arial"/>
                <w:sz w:val="18"/>
                <w:szCs w:val="18"/>
                <w:color w:val="000000"/>
                <w:w w:val="95"/>
                <w:vertAlign w:val="superscript"/>
              </w:rPr>
              <w:t>+</w:t>
            </w:r>
          </w:p>
        </w:tc>
        <w:tc>
          <w:tcPr>
            <w:tcW w:w="5000" w:type="dxa"/>
            <w:vAlign w:val="bottom"/>
          </w:tcPr>
          <w:p>
            <w:pPr>
              <w:ind w:left="220"/>
              <w:spacing w:after="0"/>
              <w:rPr>
                <w:rFonts w:ascii="Arial" w:cs="Arial" w:eastAsia="Arial" w:hAnsi="Arial"/>
                <w:sz w:val="14"/>
                <w:szCs w:val="14"/>
                <w:color w:val="0000FF"/>
              </w:rPr>
            </w:pPr>
            <w:hyperlink r:id="rId314">
              <w:r>
                <w:rPr>
                  <w:rFonts w:ascii="Arial" w:cs="Arial" w:eastAsia="Arial" w:hAnsi="Arial"/>
                  <w:sz w:val="14"/>
                  <w:szCs w:val="14"/>
                  <w:color w:val="0000FF"/>
                </w:rPr>
                <w:t>Offer Letter by and between Enphase Energy, Inc. and David Ranhoff, dated</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00" w:type="dxa"/>
            <w:vAlign w:val="bottom"/>
          </w:tcPr>
          <w:p>
            <w:pPr>
              <w:ind w:left="220"/>
              <w:spacing w:after="0"/>
              <w:rPr>
                <w:rFonts w:ascii="Arial" w:cs="Arial" w:eastAsia="Arial" w:hAnsi="Arial"/>
                <w:sz w:val="14"/>
                <w:szCs w:val="14"/>
                <w:color w:val="0000FF"/>
              </w:rPr>
            </w:pPr>
            <w:hyperlink r:id="rId314">
              <w:r>
                <w:rPr>
                  <w:rFonts w:ascii="Arial" w:cs="Arial" w:eastAsia="Arial" w:hAnsi="Arial"/>
                  <w:sz w:val="14"/>
                  <w:szCs w:val="14"/>
                  <w:color w:val="0000FF"/>
                </w:rPr>
                <w:t>December 1, 2017.</w:t>
              </w:r>
            </w:hyperlink>
          </w:p>
        </w:tc>
        <w:tc>
          <w:tcPr>
            <w:tcW w:w="0" w:type="dxa"/>
            <w:vAlign w:val="bottom"/>
          </w:tcPr>
          <w:p>
            <w:pPr>
              <w:spacing w:after="0"/>
              <w:rPr>
                <w:sz w:val="1"/>
                <w:szCs w:val="1"/>
                <w:color w:val="auto"/>
              </w:rPr>
            </w:pPr>
          </w:p>
        </w:tc>
      </w:tr>
      <w:tr>
        <w:trPr>
          <w:trHeight w:val="474"/>
        </w:trPr>
        <w:tc>
          <w:tcPr>
            <w:tcW w:w="600" w:type="dxa"/>
            <w:vAlign w:val="bottom"/>
          </w:tcPr>
          <w:p>
            <w:pPr>
              <w:jc w:val="center"/>
              <w:ind w:right="130"/>
              <w:spacing w:after="0"/>
              <w:rPr>
                <w:rFonts w:ascii="Arial" w:cs="Arial" w:eastAsia="Arial" w:hAnsi="Arial"/>
                <w:sz w:val="14"/>
                <w:szCs w:val="14"/>
                <w:color w:val="0000FF"/>
                <w:w w:val="95"/>
              </w:rPr>
            </w:pPr>
            <w:hyperlink r:id="rId315">
              <w:r>
                <w:rPr>
                  <w:rFonts w:ascii="Arial" w:cs="Arial" w:eastAsia="Arial" w:hAnsi="Arial"/>
                  <w:sz w:val="14"/>
                  <w:szCs w:val="14"/>
                  <w:color w:val="0000FF"/>
                  <w:w w:val="95"/>
                </w:rPr>
                <w:t>10.13</w:t>
              </w:r>
            </w:hyperlink>
            <w:r>
              <w:rPr>
                <w:rFonts w:ascii="Arial" w:cs="Arial" w:eastAsia="Arial" w:hAnsi="Arial"/>
                <w:sz w:val="18"/>
                <w:szCs w:val="18"/>
                <w:color w:val="000000"/>
                <w:w w:val="95"/>
                <w:vertAlign w:val="superscript"/>
              </w:rPr>
              <w:t>+</w:t>
            </w:r>
          </w:p>
        </w:tc>
        <w:tc>
          <w:tcPr>
            <w:tcW w:w="5000" w:type="dxa"/>
            <w:vAlign w:val="bottom"/>
          </w:tcPr>
          <w:p>
            <w:pPr>
              <w:ind w:left="220"/>
              <w:spacing w:after="0"/>
              <w:rPr>
                <w:rFonts w:ascii="Arial" w:cs="Arial" w:eastAsia="Arial" w:hAnsi="Arial"/>
                <w:sz w:val="14"/>
                <w:szCs w:val="14"/>
                <w:color w:val="0000FF"/>
              </w:rPr>
            </w:pPr>
            <w:hyperlink r:id="rId315">
              <w:r>
                <w:rPr>
                  <w:rFonts w:ascii="Arial" w:cs="Arial" w:eastAsia="Arial" w:hAnsi="Arial"/>
                  <w:sz w:val="14"/>
                  <w:szCs w:val="14"/>
                  <w:color w:val="0000FF"/>
                </w:rPr>
                <w:t>Severance and Change in Control Benefit Plan.</w:t>
              </w:r>
            </w:hyperlink>
          </w:p>
        </w:tc>
        <w:tc>
          <w:tcPr>
            <w:tcW w:w="0" w:type="dxa"/>
            <w:vAlign w:val="bottom"/>
          </w:tcPr>
          <w:p>
            <w:pPr>
              <w:spacing w:after="0"/>
              <w:rPr>
                <w:sz w:val="1"/>
                <w:szCs w:val="1"/>
                <w:color w:val="auto"/>
              </w:rPr>
            </w:pPr>
          </w:p>
        </w:tc>
      </w:tr>
      <w:tr>
        <w:trPr>
          <w:trHeight w:val="364"/>
        </w:trPr>
        <w:tc>
          <w:tcPr>
            <w:tcW w:w="600" w:type="dxa"/>
            <w:vAlign w:val="bottom"/>
            <w:vMerge w:val="restart"/>
          </w:tcPr>
          <w:p>
            <w:pPr>
              <w:jc w:val="center"/>
              <w:ind w:right="130"/>
              <w:spacing w:after="0"/>
              <w:rPr>
                <w:rFonts w:ascii="Arial" w:cs="Arial" w:eastAsia="Arial" w:hAnsi="Arial"/>
                <w:sz w:val="14"/>
                <w:szCs w:val="14"/>
                <w:color w:val="0000FF"/>
              </w:rPr>
            </w:pPr>
            <w:hyperlink r:id="rId316">
              <w:r>
                <w:rPr>
                  <w:rFonts w:ascii="Arial" w:cs="Arial" w:eastAsia="Arial" w:hAnsi="Arial"/>
                  <w:sz w:val="14"/>
                  <w:szCs w:val="14"/>
                  <w:color w:val="0000FF"/>
                </w:rPr>
                <w:t>10.14</w:t>
              </w:r>
            </w:hyperlink>
          </w:p>
        </w:tc>
        <w:tc>
          <w:tcPr>
            <w:tcW w:w="5000" w:type="dxa"/>
            <w:vAlign w:val="bottom"/>
          </w:tcPr>
          <w:p>
            <w:pPr>
              <w:ind w:left="220"/>
              <w:spacing w:after="0"/>
              <w:rPr>
                <w:rFonts w:ascii="Arial" w:cs="Arial" w:eastAsia="Arial" w:hAnsi="Arial"/>
                <w:sz w:val="14"/>
                <w:szCs w:val="14"/>
                <w:color w:val="0000FF"/>
              </w:rPr>
            </w:pPr>
            <w:hyperlink r:id="rId316">
              <w:r>
                <w:rPr>
                  <w:rFonts w:ascii="Arial" w:cs="Arial" w:eastAsia="Arial" w:hAnsi="Arial"/>
                  <w:sz w:val="14"/>
                  <w:szCs w:val="14"/>
                  <w:color w:val="0000FF"/>
                </w:rPr>
                <w:t>Securities Purchase Agreement, dated August 14, 2018, by and between</w:t>
              </w:r>
            </w:hyperlink>
          </w:p>
        </w:tc>
        <w:tc>
          <w:tcPr>
            <w:tcW w:w="0" w:type="dxa"/>
            <w:vAlign w:val="bottom"/>
          </w:tcPr>
          <w:p>
            <w:pPr>
              <w:spacing w:after="0"/>
              <w:rPr>
                <w:sz w:val="1"/>
                <w:szCs w:val="1"/>
                <w:color w:val="auto"/>
              </w:rPr>
            </w:pPr>
          </w:p>
        </w:tc>
      </w:tr>
      <w:tr>
        <w:trPr>
          <w:trHeight w:val="93"/>
        </w:trPr>
        <w:tc>
          <w:tcPr>
            <w:tcW w:w="600" w:type="dxa"/>
            <w:vAlign w:val="bottom"/>
            <w:vMerge w:val="continue"/>
          </w:tcPr>
          <w:p>
            <w:pPr>
              <w:spacing w:after="0"/>
              <w:rPr>
                <w:sz w:val="8"/>
                <w:szCs w:val="8"/>
                <w:color w:val="auto"/>
              </w:rPr>
            </w:pPr>
          </w:p>
        </w:tc>
        <w:tc>
          <w:tcPr>
            <w:tcW w:w="5000" w:type="dxa"/>
            <w:vAlign w:val="bottom"/>
            <w:vMerge w:val="restart"/>
          </w:tcPr>
          <w:p>
            <w:pPr>
              <w:ind w:left="220"/>
              <w:spacing w:after="0"/>
              <w:rPr>
                <w:rFonts w:ascii="Arial" w:cs="Arial" w:eastAsia="Arial" w:hAnsi="Arial"/>
                <w:sz w:val="14"/>
                <w:szCs w:val="14"/>
                <w:color w:val="0000FF"/>
              </w:rPr>
            </w:pPr>
            <w:hyperlink r:id="rId316">
              <w:r>
                <w:rPr>
                  <w:rFonts w:ascii="Arial" w:cs="Arial" w:eastAsia="Arial" w:hAnsi="Arial"/>
                  <w:sz w:val="14"/>
                  <w:szCs w:val="14"/>
                  <w:color w:val="0000FF"/>
                </w:rPr>
                <w:t>Enphase Energy, Inc. and the Rodgers Massey Revocable Trust dtd 4/4/11.</w:t>
              </w:r>
            </w:hyperlink>
          </w:p>
        </w:tc>
        <w:tc>
          <w:tcPr>
            <w:tcW w:w="0" w:type="dxa"/>
            <w:vAlign w:val="bottom"/>
          </w:tcPr>
          <w:p>
            <w:pPr>
              <w:spacing w:after="0"/>
              <w:rPr>
                <w:sz w:val="1"/>
                <w:szCs w:val="1"/>
                <w:color w:val="auto"/>
              </w:rPr>
            </w:pPr>
          </w:p>
        </w:tc>
      </w:tr>
      <w:tr>
        <w:trPr>
          <w:trHeight w:val="92"/>
        </w:trPr>
        <w:tc>
          <w:tcPr>
            <w:tcW w:w="600" w:type="dxa"/>
            <w:vAlign w:val="bottom"/>
          </w:tcPr>
          <w:p>
            <w:pPr>
              <w:spacing w:after="0"/>
              <w:rPr>
                <w:sz w:val="7"/>
                <w:szCs w:val="7"/>
                <w:color w:val="auto"/>
              </w:rPr>
            </w:pPr>
          </w:p>
        </w:tc>
        <w:tc>
          <w:tcPr>
            <w:tcW w:w="5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8"/>
        </w:trPr>
        <w:tc>
          <w:tcPr>
            <w:tcW w:w="600" w:type="dxa"/>
            <w:vAlign w:val="bottom"/>
          </w:tcPr>
          <w:p>
            <w:pPr>
              <w:jc w:val="center"/>
              <w:ind w:right="130"/>
              <w:spacing w:after="0"/>
              <w:rPr>
                <w:rFonts w:ascii="Arial" w:cs="Arial" w:eastAsia="Arial" w:hAnsi="Arial"/>
                <w:sz w:val="14"/>
                <w:szCs w:val="14"/>
                <w:color w:val="0000FF"/>
                <w:w w:val="95"/>
              </w:rPr>
            </w:pPr>
            <w:hyperlink r:id="rId317">
              <w:r>
                <w:rPr>
                  <w:rFonts w:ascii="Arial" w:cs="Arial" w:eastAsia="Arial" w:hAnsi="Arial"/>
                  <w:sz w:val="14"/>
                  <w:szCs w:val="14"/>
                  <w:color w:val="0000FF"/>
                  <w:w w:val="95"/>
                </w:rPr>
                <w:t>10.15</w:t>
              </w:r>
            </w:hyperlink>
            <w:r>
              <w:rPr>
                <w:rFonts w:ascii="Arial" w:cs="Arial" w:eastAsia="Arial" w:hAnsi="Arial"/>
                <w:sz w:val="18"/>
                <w:szCs w:val="18"/>
                <w:color w:val="000000"/>
                <w:w w:val="95"/>
                <w:vertAlign w:val="superscript"/>
              </w:rPr>
              <w:t>+</w:t>
            </w:r>
          </w:p>
        </w:tc>
        <w:tc>
          <w:tcPr>
            <w:tcW w:w="5000" w:type="dxa"/>
            <w:vAlign w:val="bottom"/>
          </w:tcPr>
          <w:p>
            <w:pPr>
              <w:ind w:left="220"/>
              <w:spacing w:after="0"/>
              <w:rPr>
                <w:rFonts w:ascii="Arial" w:cs="Arial" w:eastAsia="Arial" w:hAnsi="Arial"/>
                <w:sz w:val="14"/>
                <w:szCs w:val="14"/>
                <w:color w:val="0000FF"/>
              </w:rPr>
            </w:pPr>
            <w:hyperlink r:id="rId317">
              <w:r>
                <w:rPr>
                  <w:rFonts w:ascii="Arial" w:cs="Arial" w:eastAsia="Arial" w:hAnsi="Arial"/>
                  <w:sz w:val="14"/>
                  <w:szCs w:val="14"/>
                  <w:color w:val="0000FF"/>
                </w:rPr>
                <w:t>Performance Bonus Program Summary.</w:t>
              </w:r>
            </w:hyperlink>
          </w:p>
        </w:tc>
        <w:tc>
          <w:tcPr>
            <w:tcW w:w="0" w:type="dxa"/>
            <w:vAlign w:val="bottom"/>
          </w:tcPr>
          <w:p>
            <w:pPr>
              <w:spacing w:after="0"/>
              <w:rPr>
                <w:sz w:val="1"/>
                <w:szCs w:val="1"/>
                <w:color w:val="auto"/>
              </w:rPr>
            </w:pPr>
          </w:p>
        </w:tc>
      </w:tr>
      <w:tr>
        <w:trPr>
          <w:trHeight w:val="378"/>
        </w:trPr>
        <w:tc>
          <w:tcPr>
            <w:tcW w:w="600" w:type="dxa"/>
            <w:vAlign w:val="bottom"/>
          </w:tcPr>
          <w:p>
            <w:pPr>
              <w:jc w:val="center"/>
              <w:ind w:right="130"/>
              <w:spacing w:after="0"/>
              <w:rPr>
                <w:sz w:val="20"/>
                <w:szCs w:val="20"/>
                <w:color w:val="auto"/>
              </w:rPr>
            </w:pPr>
            <w:r>
              <w:rPr>
                <w:rFonts w:ascii="Arial" w:cs="Arial" w:eastAsia="Arial" w:hAnsi="Arial"/>
                <w:sz w:val="14"/>
                <w:szCs w:val="14"/>
                <w:color w:val="0000FF"/>
                <w:w w:val="95"/>
              </w:rPr>
              <w:t>10.16</w:t>
            </w:r>
            <w:r>
              <w:rPr>
                <w:rFonts w:ascii="Arial" w:cs="Arial" w:eastAsia="Arial" w:hAnsi="Arial"/>
                <w:sz w:val="18"/>
                <w:szCs w:val="18"/>
                <w:color w:val="000000"/>
                <w:w w:val="95"/>
                <w:vertAlign w:val="superscript"/>
              </w:rPr>
              <w:t>#</w:t>
            </w:r>
          </w:p>
        </w:tc>
        <w:tc>
          <w:tcPr>
            <w:tcW w:w="5000" w:type="dxa"/>
            <w:vAlign w:val="bottom"/>
          </w:tcPr>
          <w:p>
            <w:pPr>
              <w:ind w:left="220"/>
              <w:spacing w:after="0"/>
              <w:rPr>
                <w:sz w:val="20"/>
                <w:szCs w:val="20"/>
                <w:color w:val="auto"/>
              </w:rPr>
            </w:pPr>
            <w:r>
              <w:rPr>
                <w:rFonts w:ascii="Arial" w:cs="Arial" w:eastAsia="Arial" w:hAnsi="Arial"/>
                <w:sz w:val="14"/>
                <w:szCs w:val="14"/>
                <w:color w:val="0000FF"/>
              </w:rPr>
              <w:t>Master Supply Agreement, dated August 9, 2018, between Enphase Energy,</w:t>
            </w:r>
          </w:p>
        </w:tc>
        <w:tc>
          <w:tcPr>
            <w:tcW w:w="0" w:type="dxa"/>
            <w:vAlign w:val="bottom"/>
          </w:tcPr>
          <w:p>
            <w:pPr>
              <w:spacing w:after="0"/>
              <w:rPr>
                <w:sz w:val="1"/>
                <w:szCs w:val="1"/>
                <w:color w:val="auto"/>
              </w:rPr>
            </w:pPr>
          </w:p>
        </w:tc>
      </w:tr>
      <w:tr>
        <w:trPr>
          <w:trHeight w:val="0"/>
        </w:trPr>
        <w:tc>
          <w:tcPr>
            <w:tcW w:w="600" w:type="dxa"/>
            <w:vAlign w:val="bottom"/>
          </w:tcPr>
          <w:p>
            <w:pPr>
              <w:spacing w:after="0" w:line="20" w:lineRule="exact"/>
              <w:rPr>
                <w:sz w:val="1"/>
                <w:szCs w:val="1"/>
                <w:color w:val="auto"/>
              </w:rPr>
            </w:pPr>
          </w:p>
        </w:tc>
        <w:tc>
          <w:tcPr>
            <w:tcW w:w="5000" w:type="dxa"/>
            <w:vAlign w:val="bottom"/>
          </w:tcPr>
          <w:p>
            <w:pPr>
              <w:ind w:left="220"/>
              <w:spacing w:after="0" w:line="92" w:lineRule="exact"/>
              <w:rPr>
                <w:sz w:val="20"/>
                <w:szCs w:val="20"/>
                <w:color w:val="auto"/>
              </w:rPr>
            </w:pPr>
            <w:r>
              <w:rPr>
                <w:rFonts w:ascii="Arial" w:cs="Arial" w:eastAsia="Arial" w:hAnsi="Arial"/>
                <w:sz w:val="10"/>
                <w:szCs w:val="10"/>
                <w:color w:val="0000FF"/>
              </w:rPr>
              <w:t>Inc. and SunPower Corporation.</w:t>
            </w: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-4565650</wp:posOffset>
            </wp:positionV>
            <wp:extent cx="7136130" cy="382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8">
                      <a:extLst>
                        <a:ext uri="{28A0092B-C50C-407E-A947-70E740481C1C}"/>
                      </a:extLst>
                    </a:blip>
                    <a:srcRect/>
                    <a:stretch>
                      <a:fillRect/>
                    </a:stretch>
                  </pic:blipFill>
                  <pic:spPr bwMode="auto">
                    <a:xfrm>
                      <a:off x="0" y="0"/>
                      <a:ext cx="7136130" cy="38290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-3799205</wp:posOffset>
            </wp:positionV>
            <wp:extent cx="7136130" cy="4832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9">
                      <a:extLst>
                        <a:ext uri="{28A0092B-C50C-407E-A947-70E740481C1C}"/>
                      </a:extLst>
                    </a:blip>
                    <a:srcRect/>
                    <a:stretch>
                      <a:fillRect/>
                    </a:stretch>
                  </pic:blipFill>
                  <pic:spPr bwMode="auto">
                    <a:xfrm>
                      <a:off x="0" y="0"/>
                      <a:ext cx="7136130" cy="48323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-2833370</wp:posOffset>
            </wp:positionV>
            <wp:extent cx="7136130" cy="3498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0">
                      <a:extLst>
                        <a:ext uri="{28A0092B-C50C-407E-A947-70E740481C1C}"/>
                      </a:extLst>
                    </a:blip>
                    <a:srcRect/>
                    <a:stretch>
                      <a:fillRect/>
                    </a:stretch>
                  </pic:blipFill>
                  <pic:spPr bwMode="auto">
                    <a:xfrm>
                      <a:off x="0" y="0"/>
                      <a:ext cx="7136130" cy="34988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-2134235</wp:posOffset>
            </wp:positionV>
            <wp:extent cx="7136130" cy="3498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1">
                      <a:extLst>
                        <a:ext uri="{28A0092B-C50C-407E-A947-70E740481C1C}"/>
                      </a:extLst>
                    </a:blip>
                    <a:srcRect/>
                    <a:stretch>
                      <a:fillRect/>
                    </a:stretch>
                  </pic:blipFill>
                  <pic:spPr bwMode="auto">
                    <a:xfrm>
                      <a:off x="0" y="0"/>
                      <a:ext cx="7136130" cy="34988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-1509395</wp:posOffset>
            </wp:positionV>
            <wp:extent cx="7136130" cy="382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2">
                      <a:extLst>
                        <a:ext uri="{28A0092B-C50C-407E-A947-70E740481C1C}"/>
                      </a:extLst>
                    </a:blip>
                    <a:srcRect/>
                    <a:stretch>
                      <a:fillRect/>
                    </a:stretch>
                  </pic:blipFill>
                  <pic:spPr bwMode="auto">
                    <a:xfrm>
                      <a:off x="0" y="0"/>
                      <a:ext cx="7136130" cy="38290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-851535</wp:posOffset>
            </wp:positionV>
            <wp:extent cx="7136130" cy="382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3">
                      <a:extLst>
                        <a:ext uri="{28A0092B-C50C-407E-A947-70E740481C1C}"/>
                      </a:extLst>
                    </a:blip>
                    <a:srcRect/>
                    <a:stretch>
                      <a:fillRect/>
                    </a:stretch>
                  </pic:blipFill>
                  <pic:spPr bwMode="auto">
                    <a:xfrm>
                      <a:off x="0" y="0"/>
                      <a:ext cx="7136130" cy="38290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-193675</wp:posOffset>
            </wp:positionV>
            <wp:extent cx="7136130" cy="382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4">
                      <a:extLst>
                        <a:ext uri="{28A0092B-C50C-407E-A947-70E740481C1C}"/>
                      </a:extLst>
                    </a:blip>
                    <a:srcRect/>
                    <a:stretch>
                      <a:fillRect/>
                    </a:stretch>
                  </pic:blipFill>
                  <pic:spPr bwMode="auto">
                    <a:xfrm>
                      <a:off x="0" y="0"/>
                      <a:ext cx="7136130" cy="382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jc w:val="center"/>
              <w:ind w:right="150"/>
              <w:spacing w:after="0"/>
              <w:rPr>
                <w:sz w:val="20"/>
                <w:szCs w:val="20"/>
                <w:color w:val="auto"/>
              </w:rPr>
            </w:pPr>
            <w:r>
              <w:rPr>
                <w:rFonts w:ascii="Arial" w:cs="Arial" w:eastAsia="Arial" w:hAnsi="Arial"/>
                <w:sz w:val="14"/>
                <w:szCs w:val="14"/>
                <w:color w:val="auto"/>
                <w:w w:val="99"/>
              </w:rPr>
              <w:t>DEF</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w w:val="98"/>
              </w:rPr>
              <w:t>001-35480</w:t>
            </w:r>
          </w:p>
        </w:tc>
        <w:tc>
          <w:tcPr>
            <w:tcW w:w="1180" w:type="dxa"/>
            <w:vAlign w:val="bottom"/>
            <w:vMerge w:val="restart"/>
          </w:tcPr>
          <w:p>
            <w:pPr>
              <w:ind w:left="220"/>
              <w:spacing w:after="0"/>
              <w:rPr>
                <w:sz w:val="20"/>
                <w:szCs w:val="20"/>
                <w:color w:val="auto"/>
              </w:rPr>
            </w:pPr>
            <w:r>
              <w:rPr>
                <w:rFonts w:ascii="Arial" w:cs="Arial" w:eastAsia="Arial" w:hAnsi="Arial"/>
                <w:sz w:val="14"/>
                <w:szCs w:val="14"/>
                <w:color w:val="auto"/>
              </w:rPr>
              <w:t>Appendix A</w:t>
            </w:r>
          </w:p>
        </w:tc>
        <w:tc>
          <w:tcPr>
            <w:tcW w:w="840" w:type="dxa"/>
            <w:vAlign w:val="bottom"/>
            <w:vMerge w:val="restart"/>
          </w:tcPr>
          <w:p>
            <w:pPr>
              <w:jc w:val="center"/>
              <w:ind w:left="150"/>
              <w:spacing w:after="0"/>
              <w:rPr>
                <w:sz w:val="20"/>
                <w:szCs w:val="20"/>
                <w:color w:val="auto"/>
              </w:rPr>
            </w:pPr>
            <w:r>
              <w:rPr>
                <w:rFonts w:ascii="Arial" w:cs="Arial" w:eastAsia="Arial" w:hAnsi="Arial"/>
                <w:sz w:val="14"/>
                <w:szCs w:val="14"/>
                <w:color w:val="auto"/>
                <w:w w:val="99"/>
              </w:rPr>
              <w:t>3/18/2016</w:t>
            </w:r>
          </w:p>
        </w:tc>
        <w:tc>
          <w:tcPr>
            <w:tcW w:w="0" w:type="dxa"/>
            <w:vAlign w:val="bottom"/>
          </w:tcPr>
          <w:p>
            <w:pPr>
              <w:spacing w:after="0"/>
              <w:rPr>
                <w:sz w:val="1"/>
                <w:szCs w:val="1"/>
                <w:color w:val="auto"/>
              </w:rPr>
            </w:pPr>
          </w:p>
        </w:tc>
      </w:tr>
      <w:tr>
        <w:trPr>
          <w:trHeight w:val="93"/>
        </w:trPr>
        <w:tc>
          <w:tcPr>
            <w:tcW w:w="540" w:type="dxa"/>
            <w:vAlign w:val="bottom"/>
            <w:vMerge w:val="restart"/>
          </w:tcPr>
          <w:p>
            <w:pPr>
              <w:jc w:val="center"/>
              <w:ind w:right="150"/>
              <w:spacing w:after="0"/>
              <w:rPr>
                <w:sz w:val="20"/>
                <w:szCs w:val="20"/>
                <w:color w:val="auto"/>
              </w:rPr>
            </w:pPr>
            <w:r>
              <w:rPr>
                <w:rFonts w:ascii="Arial" w:cs="Arial" w:eastAsia="Arial" w:hAnsi="Arial"/>
                <w:sz w:val="14"/>
                <w:szCs w:val="14"/>
                <w:color w:val="auto"/>
                <w:w w:val="96"/>
              </w:rPr>
              <w:t>14A</w:t>
            </w:r>
          </w:p>
        </w:tc>
        <w:tc>
          <w:tcPr>
            <w:tcW w:w="12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4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9"/>
        </w:trPr>
        <w:tc>
          <w:tcPr>
            <w:tcW w:w="540" w:type="dxa"/>
            <w:vAlign w:val="bottom"/>
          </w:tcPr>
          <w:p>
            <w:pPr>
              <w:jc w:val="center"/>
              <w:ind w:right="150"/>
              <w:spacing w:after="0"/>
              <w:rPr>
                <w:sz w:val="20"/>
                <w:szCs w:val="20"/>
                <w:color w:val="auto"/>
              </w:rPr>
            </w:pPr>
            <w:r>
              <w:rPr>
                <w:rFonts w:ascii="Arial" w:cs="Arial" w:eastAsia="Arial" w:hAnsi="Arial"/>
                <w:sz w:val="14"/>
                <w:szCs w:val="14"/>
                <w:color w:val="auto"/>
                <w:w w:val="99"/>
              </w:rPr>
              <w:t>DEF</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w w:val="98"/>
              </w:rPr>
              <w:t>001-35480</w:t>
            </w:r>
          </w:p>
        </w:tc>
        <w:tc>
          <w:tcPr>
            <w:tcW w:w="1180" w:type="dxa"/>
            <w:vAlign w:val="bottom"/>
            <w:vMerge w:val="restart"/>
          </w:tcPr>
          <w:p>
            <w:pPr>
              <w:ind w:left="220"/>
              <w:spacing w:after="0"/>
              <w:rPr>
                <w:sz w:val="20"/>
                <w:szCs w:val="20"/>
                <w:color w:val="auto"/>
              </w:rPr>
            </w:pPr>
            <w:r>
              <w:rPr>
                <w:rFonts w:ascii="Arial" w:cs="Arial" w:eastAsia="Arial" w:hAnsi="Arial"/>
                <w:sz w:val="14"/>
                <w:szCs w:val="14"/>
                <w:color w:val="auto"/>
              </w:rPr>
              <w:t>Appendix A</w:t>
            </w:r>
          </w:p>
        </w:tc>
        <w:tc>
          <w:tcPr>
            <w:tcW w:w="840" w:type="dxa"/>
            <w:vAlign w:val="bottom"/>
            <w:vMerge w:val="restart"/>
          </w:tcPr>
          <w:p>
            <w:pPr>
              <w:jc w:val="center"/>
              <w:ind w:left="150"/>
              <w:spacing w:after="0"/>
              <w:rPr>
                <w:sz w:val="20"/>
                <w:szCs w:val="20"/>
                <w:color w:val="auto"/>
              </w:rPr>
            </w:pPr>
            <w:r>
              <w:rPr>
                <w:rFonts w:ascii="Arial" w:cs="Arial" w:eastAsia="Arial" w:hAnsi="Arial"/>
                <w:sz w:val="14"/>
                <w:szCs w:val="14"/>
                <w:color w:val="auto"/>
                <w:w w:val="99"/>
              </w:rPr>
              <w:t>3/31/2017</w:t>
            </w:r>
          </w:p>
        </w:tc>
        <w:tc>
          <w:tcPr>
            <w:tcW w:w="0" w:type="dxa"/>
            <w:vAlign w:val="bottom"/>
          </w:tcPr>
          <w:p>
            <w:pPr>
              <w:spacing w:after="0"/>
              <w:rPr>
                <w:sz w:val="1"/>
                <w:szCs w:val="1"/>
                <w:color w:val="auto"/>
              </w:rPr>
            </w:pPr>
          </w:p>
        </w:tc>
      </w:tr>
      <w:tr>
        <w:trPr>
          <w:trHeight w:val="93"/>
        </w:trPr>
        <w:tc>
          <w:tcPr>
            <w:tcW w:w="540" w:type="dxa"/>
            <w:vAlign w:val="bottom"/>
            <w:vMerge w:val="restart"/>
          </w:tcPr>
          <w:p>
            <w:pPr>
              <w:jc w:val="center"/>
              <w:ind w:right="150"/>
              <w:spacing w:after="0"/>
              <w:rPr>
                <w:sz w:val="20"/>
                <w:szCs w:val="20"/>
                <w:color w:val="auto"/>
              </w:rPr>
            </w:pPr>
            <w:r>
              <w:rPr>
                <w:rFonts w:ascii="Arial" w:cs="Arial" w:eastAsia="Arial" w:hAnsi="Arial"/>
                <w:sz w:val="14"/>
                <w:szCs w:val="14"/>
                <w:color w:val="auto"/>
                <w:w w:val="96"/>
              </w:rPr>
              <w:t>14A</w:t>
            </w:r>
          </w:p>
        </w:tc>
        <w:tc>
          <w:tcPr>
            <w:tcW w:w="12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4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1"/>
        </w:trPr>
        <w:tc>
          <w:tcPr>
            <w:tcW w:w="540" w:type="dxa"/>
            <w:vAlign w:val="bottom"/>
          </w:tcPr>
          <w:p>
            <w:pPr>
              <w:jc w:val="center"/>
              <w:ind w:right="130"/>
              <w:spacing w:after="0"/>
              <w:rPr>
                <w:sz w:val="20"/>
                <w:szCs w:val="20"/>
                <w:color w:val="auto"/>
              </w:rPr>
            </w:pPr>
            <w:r>
              <w:rPr>
                <w:rFonts w:ascii="Arial" w:cs="Arial" w:eastAsia="Arial" w:hAnsi="Arial"/>
                <w:sz w:val="14"/>
                <w:szCs w:val="14"/>
                <w:color w:val="auto"/>
              </w:rPr>
              <w:t>S-1</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333-174925</w:t>
            </w:r>
          </w:p>
        </w:tc>
        <w:tc>
          <w:tcPr>
            <w:tcW w:w="1180" w:type="dxa"/>
            <w:vAlign w:val="bottom"/>
          </w:tcPr>
          <w:p>
            <w:pPr>
              <w:jc w:val="center"/>
              <w:spacing w:after="0"/>
              <w:rPr>
                <w:sz w:val="20"/>
                <w:szCs w:val="20"/>
                <w:color w:val="auto"/>
              </w:rPr>
            </w:pPr>
            <w:r>
              <w:rPr>
                <w:rFonts w:ascii="Arial" w:cs="Arial" w:eastAsia="Arial" w:hAnsi="Arial"/>
                <w:sz w:val="14"/>
                <w:szCs w:val="14"/>
                <w:color w:val="auto"/>
              </w:rPr>
              <w:t>10.17</w:t>
            </w:r>
          </w:p>
        </w:tc>
        <w:tc>
          <w:tcPr>
            <w:tcW w:w="840" w:type="dxa"/>
            <w:vAlign w:val="bottom"/>
          </w:tcPr>
          <w:p>
            <w:pPr>
              <w:jc w:val="center"/>
              <w:ind w:left="170"/>
              <w:spacing w:after="0"/>
              <w:rPr>
                <w:sz w:val="20"/>
                <w:szCs w:val="20"/>
                <w:color w:val="auto"/>
              </w:rPr>
            </w:pPr>
            <w:r>
              <w:rPr>
                <w:rFonts w:ascii="Arial" w:cs="Arial" w:eastAsia="Arial" w:hAnsi="Arial"/>
                <w:sz w:val="14"/>
                <w:szCs w:val="14"/>
                <w:color w:val="auto"/>
                <w:w w:val="96"/>
              </w:rPr>
              <w:t>6/15/2011</w:t>
            </w:r>
          </w:p>
        </w:tc>
        <w:tc>
          <w:tcPr>
            <w:tcW w:w="0" w:type="dxa"/>
            <w:vAlign w:val="bottom"/>
          </w:tcPr>
          <w:p>
            <w:pPr>
              <w:spacing w:after="0"/>
              <w:rPr>
                <w:sz w:val="1"/>
                <w:szCs w:val="1"/>
                <w:color w:val="auto"/>
              </w:rPr>
            </w:pPr>
          </w:p>
        </w:tc>
      </w:tr>
      <w:tr>
        <w:trPr>
          <w:trHeight w:val="682"/>
        </w:trPr>
        <w:tc>
          <w:tcPr>
            <w:tcW w:w="540" w:type="dxa"/>
            <w:vAlign w:val="bottom"/>
          </w:tcPr>
          <w:p>
            <w:pPr>
              <w:jc w:val="center"/>
              <w:ind w:right="15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001-35480</w:t>
            </w:r>
          </w:p>
        </w:tc>
        <w:tc>
          <w:tcPr>
            <w:tcW w:w="1180" w:type="dxa"/>
            <w:vAlign w:val="bottom"/>
          </w:tcPr>
          <w:p>
            <w:pPr>
              <w:jc w:val="center"/>
              <w:spacing w:after="0"/>
              <w:rPr>
                <w:sz w:val="20"/>
                <w:szCs w:val="20"/>
                <w:color w:val="auto"/>
              </w:rPr>
            </w:pPr>
            <w:r>
              <w:rPr>
                <w:rFonts w:ascii="Arial" w:cs="Arial" w:eastAsia="Arial" w:hAnsi="Arial"/>
                <w:sz w:val="14"/>
                <w:szCs w:val="14"/>
                <w:color w:val="auto"/>
              </w:rPr>
              <w:t>10.4</w:t>
            </w:r>
          </w:p>
        </w:tc>
        <w:tc>
          <w:tcPr>
            <w:tcW w:w="840" w:type="dxa"/>
            <w:vAlign w:val="bottom"/>
          </w:tcPr>
          <w:p>
            <w:pPr>
              <w:jc w:val="center"/>
              <w:ind w:left="170"/>
              <w:spacing w:after="0"/>
              <w:rPr>
                <w:sz w:val="20"/>
                <w:szCs w:val="20"/>
                <w:color w:val="auto"/>
              </w:rPr>
            </w:pPr>
            <w:r>
              <w:rPr>
                <w:rFonts w:ascii="Arial" w:cs="Arial" w:eastAsia="Arial" w:hAnsi="Arial"/>
                <w:sz w:val="14"/>
                <w:szCs w:val="14"/>
                <w:color w:val="auto"/>
                <w:w w:val="96"/>
              </w:rPr>
              <w:t>11/2/2016</w:t>
            </w:r>
          </w:p>
        </w:tc>
        <w:tc>
          <w:tcPr>
            <w:tcW w:w="0" w:type="dxa"/>
            <w:vAlign w:val="bottom"/>
          </w:tcPr>
          <w:p>
            <w:pPr>
              <w:spacing w:after="0"/>
              <w:rPr>
                <w:sz w:val="1"/>
                <w:szCs w:val="1"/>
                <w:color w:val="auto"/>
              </w:rPr>
            </w:pPr>
          </w:p>
        </w:tc>
      </w:tr>
      <w:tr>
        <w:trPr>
          <w:trHeight w:val="761"/>
        </w:trPr>
        <w:tc>
          <w:tcPr>
            <w:tcW w:w="540" w:type="dxa"/>
            <w:vAlign w:val="bottom"/>
          </w:tcPr>
          <w:p>
            <w:pPr>
              <w:jc w:val="center"/>
              <w:ind w:right="130"/>
              <w:spacing w:after="0"/>
              <w:rPr>
                <w:sz w:val="20"/>
                <w:szCs w:val="20"/>
                <w:color w:val="auto"/>
              </w:rPr>
            </w:pPr>
            <w:r>
              <w:rPr>
                <w:rFonts w:ascii="Arial" w:cs="Arial" w:eastAsia="Arial" w:hAnsi="Arial"/>
                <w:sz w:val="14"/>
                <w:szCs w:val="14"/>
                <w:color w:val="auto"/>
              </w:rPr>
              <w:t>S-1</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333-174925</w:t>
            </w:r>
          </w:p>
        </w:tc>
        <w:tc>
          <w:tcPr>
            <w:tcW w:w="1180" w:type="dxa"/>
            <w:vAlign w:val="bottom"/>
          </w:tcPr>
          <w:p>
            <w:pPr>
              <w:jc w:val="center"/>
              <w:spacing w:after="0"/>
              <w:rPr>
                <w:sz w:val="20"/>
                <w:szCs w:val="20"/>
                <w:color w:val="auto"/>
              </w:rPr>
            </w:pPr>
            <w:r>
              <w:rPr>
                <w:rFonts w:ascii="Arial" w:cs="Arial" w:eastAsia="Arial" w:hAnsi="Arial"/>
                <w:sz w:val="14"/>
                <w:szCs w:val="14"/>
                <w:color w:val="auto"/>
              </w:rPr>
              <w:t>10.18</w:t>
            </w:r>
          </w:p>
        </w:tc>
        <w:tc>
          <w:tcPr>
            <w:tcW w:w="840" w:type="dxa"/>
            <w:vAlign w:val="bottom"/>
          </w:tcPr>
          <w:p>
            <w:pPr>
              <w:jc w:val="center"/>
              <w:ind w:left="170"/>
              <w:spacing w:after="0"/>
              <w:rPr>
                <w:sz w:val="20"/>
                <w:szCs w:val="20"/>
                <w:color w:val="auto"/>
              </w:rPr>
            </w:pPr>
            <w:r>
              <w:rPr>
                <w:rFonts w:ascii="Arial" w:cs="Arial" w:eastAsia="Arial" w:hAnsi="Arial"/>
                <w:sz w:val="14"/>
                <w:szCs w:val="14"/>
                <w:color w:val="auto"/>
                <w:w w:val="96"/>
              </w:rPr>
              <w:t>6/15/2011</w:t>
            </w:r>
          </w:p>
        </w:tc>
        <w:tc>
          <w:tcPr>
            <w:tcW w:w="0" w:type="dxa"/>
            <w:vAlign w:val="bottom"/>
          </w:tcPr>
          <w:p>
            <w:pPr>
              <w:spacing w:after="0"/>
              <w:rPr>
                <w:sz w:val="1"/>
                <w:szCs w:val="1"/>
                <w:color w:val="auto"/>
              </w:rPr>
            </w:pPr>
          </w:p>
        </w:tc>
      </w:tr>
      <w:tr>
        <w:trPr>
          <w:trHeight w:val="656"/>
        </w:trPr>
        <w:tc>
          <w:tcPr>
            <w:tcW w:w="540" w:type="dxa"/>
            <w:vAlign w:val="bottom"/>
          </w:tcPr>
          <w:p>
            <w:pPr>
              <w:jc w:val="center"/>
              <w:ind w:right="130"/>
              <w:spacing w:after="0"/>
              <w:rPr>
                <w:sz w:val="20"/>
                <w:szCs w:val="20"/>
                <w:color w:val="auto"/>
              </w:rPr>
            </w:pPr>
            <w:r>
              <w:rPr>
                <w:rFonts w:ascii="Arial" w:cs="Arial" w:eastAsia="Arial" w:hAnsi="Arial"/>
                <w:sz w:val="14"/>
                <w:szCs w:val="14"/>
                <w:color w:val="auto"/>
              </w:rPr>
              <w:t>10-K</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001-35480</w:t>
            </w:r>
          </w:p>
        </w:tc>
        <w:tc>
          <w:tcPr>
            <w:tcW w:w="1180" w:type="dxa"/>
            <w:vAlign w:val="bottom"/>
          </w:tcPr>
          <w:p>
            <w:pPr>
              <w:jc w:val="center"/>
              <w:spacing w:after="0"/>
              <w:rPr>
                <w:sz w:val="20"/>
                <w:szCs w:val="20"/>
                <w:color w:val="auto"/>
              </w:rPr>
            </w:pPr>
            <w:r>
              <w:rPr>
                <w:rFonts w:ascii="Arial" w:cs="Arial" w:eastAsia="Arial" w:hAnsi="Arial"/>
                <w:sz w:val="14"/>
                <w:szCs w:val="14"/>
                <w:color w:val="auto"/>
              </w:rPr>
              <w:t>10.8</w:t>
            </w:r>
          </w:p>
        </w:tc>
        <w:tc>
          <w:tcPr>
            <w:tcW w:w="840" w:type="dxa"/>
            <w:vAlign w:val="bottom"/>
          </w:tcPr>
          <w:p>
            <w:pPr>
              <w:jc w:val="center"/>
              <w:ind w:left="150"/>
              <w:spacing w:after="0"/>
              <w:rPr>
                <w:sz w:val="20"/>
                <w:szCs w:val="20"/>
                <w:color w:val="auto"/>
              </w:rPr>
            </w:pPr>
            <w:r>
              <w:rPr>
                <w:rFonts w:ascii="Arial" w:cs="Arial" w:eastAsia="Arial" w:hAnsi="Arial"/>
                <w:sz w:val="14"/>
                <w:szCs w:val="14"/>
                <w:color w:val="auto"/>
                <w:w w:val="99"/>
              </w:rPr>
              <w:t>2/13/2023</w:t>
            </w:r>
          </w:p>
        </w:tc>
        <w:tc>
          <w:tcPr>
            <w:tcW w:w="0" w:type="dxa"/>
            <w:vAlign w:val="bottom"/>
          </w:tcPr>
          <w:p>
            <w:pPr>
              <w:spacing w:after="0"/>
              <w:rPr>
                <w:sz w:val="1"/>
                <w:szCs w:val="1"/>
                <w:color w:val="auto"/>
              </w:rPr>
            </w:pPr>
          </w:p>
        </w:tc>
      </w:tr>
      <w:tr>
        <w:trPr>
          <w:trHeight w:val="551"/>
        </w:trPr>
        <w:tc>
          <w:tcPr>
            <w:tcW w:w="540" w:type="dxa"/>
            <w:vAlign w:val="bottom"/>
          </w:tcPr>
          <w:p>
            <w:pPr>
              <w:jc w:val="center"/>
              <w:ind w:right="15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001-35480</w:t>
            </w:r>
          </w:p>
        </w:tc>
        <w:tc>
          <w:tcPr>
            <w:tcW w:w="1180" w:type="dxa"/>
            <w:vAlign w:val="bottom"/>
          </w:tcPr>
          <w:p>
            <w:pPr>
              <w:jc w:val="center"/>
              <w:spacing w:after="0"/>
              <w:rPr>
                <w:sz w:val="20"/>
                <w:szCs w:val="20"/>
                <w:color w:val="auto"/>
              </w:rPr>
            </w:pPr>
            <w:r>
              <w:rPr>
                <w:rFonts w:ascii="Arial" w:cs="Arial" w:eastAsia="Arial" w:hAnsi="Arial"/>
                <w:sz w:val="14"/>
                <w:szCs w:val="14"/>
                <w:color w:val="auto"/>
              </w:rPr>
              <w:t>10.3</w:t>
            </w:r>
          </w:p>
        </w:tc>
        <w:tc>
          <w:tcPr>
            <w:tcW w:w="840" w:type="dxa"/>
            <w:vAlign w:val="bottom"/>
          </w:tcPr>
          <w:p>
            <w:pPr>
              <w:jc w:val="center"/>
              <w:ind w:left="150"/>
              <w:spacing w:after="0"/>
              <w:rPr>
                <w:sz w:val="20"/>
                <w:szCs w:val="20"/>
                <w:color w:val="auto"/>
              </w:rPr>
            </w:pPr>
            <w:r>
              <w:rPr>
                <w:rFonts w:ascii="Arial" w:cs="Arial" w:eastAsia="Arial" w:hAnsi="Arial"/>
                <w:sz w:val="14"/>
                <w:szCs w:val="14"/>
                <w:color w:val="auto"/>
                <w:w w:val="99"/>
              </w:rPr>
              <w:t>4/26/2022</w:t>
            </w:r>
          </w:p>
        </w:tc>
        <w:tc>
          <w:tcPr>
            <w:tcW w:w="0" w:type="dxa"/>
            <w:vAlign w:val="bottom"/>
          </w:tcPr>
          <w:p>
            <w:pPr>
              <w:spacing w:after="0"/>
              <w:rPr>
                <w:sz w:val="1"/>
                <w:szCs w:val="1"/>
                <w:color w:val="auto"/>
              </w:rPr>
            </w:pPr>
          </w:p>
        </w:tc>
      </w:tr>
      <w:tr>
        <w:trPr>
          <w:trHeight w:val="551"/>
        </w:trPr>
        <w:tc>
          <w:tcPr>
            <w:tcW w:w="540" w:type="dxa"/>
            <w:vAlign w:val="bottom"/>
          </w:tcPr>
          <w:p>
            <w:pPr>
              <w:jc w:val="center"/>
              <w:ind w:right="15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001-35480</w:t>
            </w:r>
          </w:p>
        </w:tc>
        <w:tc>
          <w:tcPr>
            <w:tcW w:w="1180" w:type="dxa"/>
            <w:vAlign w:val="bottom"/>
          </w:tcPr>
          <w:p>
            <w:pPr>
              <w:jc w:val="center"/>
              <w:spacing w:after="0"/>
              <w:rPr>
                <w:sz w:val="20"/>
                <w:szCs w:val="20"/>
                <w:color w:val="auto"/>
              </w:rPr>
            </w:pPr>
            <w:r>
              <w:rPr>
                <w:rFonts w:ascii="Arial" w:cs="Arial" w:eastAsia="Arial" w:hAnsi="Arial"/>
                <w:sz w:val="14"/>
                <w:szCs w:val="14"/>
                <w:color w:val="auto"/>
              </w:rPr>
              <w:t>10.1</w:t>
            </w:r>
          </w:p>
        </w:tc>
        <w:tc>
          <w:tcPr>
            <w:tcW w:w="840" w:type="dxa"/>
            <w:vAlign w:val="bottom"/>
          </w:tcPr>
          <w:p>
            <w:pPr>
              <w:jc w:val="center"/>
              <w:ind w:left="150"/>
              <w:spacing w:after="0"/>
              <w:rPr>
                <w:sz w:val="20"/>
                <w:szCs w:val="20"/>
                <w:color w:val="auto"/>
              </w:rPr>
            </w:pPr>
            <w:r>
              <w:rPr>
                <w:rFonts w:ascii="Arial" w:cs="Arial" w:eastAsia="Arial" w:hAnsi="Arial"/>
                <w:sz w:val="14"/>
                <w:szCs w:val="14"/>
                <w:color w:val="auto"/>
                <w:w w:val="99"/>
              </w:rPr>
              <w:t>7/27/2023</w:t>
            </w:r>
          </w:p>
        </w:tc>
        <w:tc>
          <w:tcPr>
            <w:tcW w:w="0" w:type="dxa"/>
            <w:vAlign w:val="bottom"/>
          </w:tcPr>
          <w:p>
            <w:pPr>
              <w:spacing w:after="0"/>
              <w:rPr>
                <w:sz w:val="1"/>
                <w:szCs w:val="1"/>
                <w:color w:val="auto"/>
              </w:rPr>
            </w:pPr>
          </w:p>
        </w:tc>
      </w:tr>
      <w:tr>
        <w:trPr>
          <w:trHeight w:val="498"/>
        </w:trPr>
        <w:tc>
          <w:tcPr>
            <w:tcW w:w="540" w:type="dxa"/>
            <w:vAlign w:val="bottom"/>
          </w:tcPr>
          <w:p>
            <w:pPr>
              <w:jc w:val="center"/>
              <w:ind w:right="130"/>
              <w:spacing w:after="0"/>
              <w:rPr>
                <w:sz w:val="20"/>
                <w:szCs w:val="20"/>
                <w:color w:val="auto"/>
              </w:rPr>
            </w:pPr>
            <w:r>
              <w:rPr>
                <w:rFonts w:ascii="Arial" w:cs="Arial" w:eastAsia="Arial" w:hAnsi="Arial"/>
                <w:sz w:val="14"/>
                <w:szCs w:val="14"/>
                <w:color w:val="auto"/>
              </w:rPr>
              <w:t>10-K</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001-35480</w:t>
            </w:r>
          </w:p>
        </w:tc>
        <w:tc>
          <w:tcPr>
            <w:tcW w:w="1180" w:type="dxa"/>
            <w:vAlign w:val="bottom"/>
          </w:tcPr>
          <w:p>
            <w:pPr>
              <w:jc w:val="center"/>
              <w:spacing w:after="0"/>
              <w:rPr>
                <w:sz w:val="20"/>
                <w:szCs w:val="20"/>
                <w:color w:val="auto"/>
              </w:rPr>
            </w:pPr>
            <w:r>
              <w:rPr>
                <w:rFonts w:ascii="Arial" w:cs="Arial" w:eastAsia="Arial" w:hAnsi="Arial"/>
                <w:sz w:val="14"/>
                <w:szCs w:val="14"/>
                <w:color w:val="auto"/>
                <w:w w:val="96"/>
              </w:rPr>
              <w:t>10.11</w:t>
            </w:r>
          </w:p>
        </w:tc>
        <w:tc>
          <w:tcPr>
            <w:tcW w:w="840" w:type="dxa"/>
            <w:vAlign w:val="bottom"/>
          </w:tcPr>
          <w:p>
            <w:pPr>
              <w:jc w:val="center"/>
              <w:ind w:left="150"/>
              <w:spacing w:after="0"/>
              <w:rPr>
                <w:sz w:val="20"/>
                <w:szCs w:val="20"/>
                <w:color w:val="auto"/>
              </w:rPr>
            </w:pPr>
            <w:r>
              <w:rPr>
                <w:rFonts w:ascii="Arial" w:cs="Arial" w:eastAsia="Arial" w:hAnsi="Arial"/>
                <w:sz w:val="14"/>
                <w:szCs w:val="14"/>
                <w:color w:val="auto"/>
                <w:w w:val="99"/>
              </w:rPr>
              <w:t>2/16/2021</w:t>
            </w:r>
          </w:p>
        </w:tc>
        <w:tc>
          <w:tcPr>
            <w:tcW w:w="0" w:type="dxa"/>
            <w:vAlign w:val="bottom"/>
          </w:tcPr>
          <w:p>
            <w:pPr>
              <w:spacing w:after="0"/>
              <w:rPr>
                <w:sz w:val="1"/>
                <w:szCs w:val="1"/>
                <w:color w:val="auto"/>
              </w:rPr>
            </w:pPr>
          </w:p>
        </w:tc>
      </w:tr>
      <w:tr>
        <w:trPr>
          <w:trHeight w:val="511"/>
        </w:trPr>
        <w:tc>
          <w:tcPr>
            <w:tcW w:w="540" w:type="dxa"/>
            <w:vAlign w:val="bottom"/>
          </w:tcPr>
          <w:p>
            <w:pPr>
              <w:jc w:val="center"/>
              <w:ind w:right="13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001-35480</w:t>
            </w:r>
          </w:p>
        </w:tc>
        <w:tc>
          <w:tcPr>
            <w:tcW w:w="1180" w:type="dxa"/>
            <w:vAlign w:val="bottom"/>
          </w:tcPr>
          <w:p>
            <w:pPr>
              <w:jc w:val="center"/>
              <w:spacing w:after="0"/>
              <w:rPr>
                <w:sz w:val="20"/>
                <w:szCs w:val="20"/>
                <w:color w:val="auto"/>
              </w:rPr>
            </w:pPr>
            <w:r>
              <w:rPr>
                <w:rFonts w:ascii="Arial" w:cs="Arial" w:eastAsia="Arial" w:hAnsi="Arial"/>
                <w:sz w:val="14"/>
                <w:szCs w:val="14"/>
                <w:color w:val="auto"/>
              </w:rPr>
              <w:t>10.1</w:t>
            </w:r>
          </w:p>
        </w:tc>
        <w:tc>
          <w:tcPr>
            <w:tcW w:w="840" w:type="dxa"/>
            <w:vAlign w:val="bottom"/>
          </w:tcPr>
          <w:p>
            <w:pPr>
              <w:jc w:val="center"/>
              <w:ind w:left="150"/>
              <w:spacing w:after="0"/>
              <w:rPr>
                <w:sz w:val="20"/>
                <w:szCs w:val="20"/>
                <w:color w:val="auto"/>
              </w:rPr>
            </w:pPr>
            <w:r>
              <w:rPr>
                <w:rFonts w:ascii="Arial" w:cs="Arial" w:eastAsia="Arial" w:hAnsi="Arial"/>
                <w:sz w:val="14"/>
                <w:szCs w:val="14"/>
                <w:color w:val="auto"/>
                <w:w w:val="99"/>
              </w:rPr>
              <w:t>12/5/2017</w:t>
            </w:r>
          </w:p>
        </w:tc>
        <w:tc>
          <w:tcPr>
            <w:tcW w:w="0" w:type="dxa"/>
            <w:vAlign w:val="bottom"/>
          </w:tcPr>
          <w:p>
            <w:pPr>
              <w:spacing w:after="0"/>
              <w:rPr>
                <w:sz w:val="1"/>
                <w:szCs w:val="1"/>
                <w:color w:val="auto"/>
              </w:rPr>
            </w:pPr>
          </w:p>
        </w:tc>
      </w:tr>
      <w:tr>
        <w:trPr>
          <w:trHeight w:val="525"/>
        </w:trPr>
        <w:tc>
          <w:tcPr>
            <w:tcW w:w="540" w:type="dxa"/>
            <w:vAlign w:val="bottom"/>
          </w:tcPr>
          <w:p>
            <w:pPr>
              <w:jc w:val="center"/>
              <w:ind w:right="15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001-35480</w:t>
            </w:r>
          </w:p>
        </w:tc>
        <w:tc>
          <w:tcPr>
            <w:tcW w:w="1180" w:type="dxa"/>
            <w:vAlign w:val="bottom"/>
          </w:tcPr>
          <w:p>
            <w:pPr>
              <w:jc w:val="center"/>
              <w:spacing w:after="0"/>
              <w:rPr>
                <w:sz w:val="20"/>
                <w:szCs w:val="20"/>
                <w:color w:val="auto"/>
              </w:rPr>
            </w:pPr>
            <w:r>
              <w:rPr>
                <w:rFonts w:ascii="Arial" w:cs="Arial" w:eastAsia="Arial" w:hAnsi="Arial"/>
                <w:sz w:val="14"/>
                <w:szCs w:val="14"/>
                <w:color w:val="auto"/>
              </w:rPr>
              <w:t>10.5</w:t>
            </w:r>
          </w:p>
        </w:tc>
        <w:tc>
          <w:tcPr>
            <w:tcW w:w="840" w:type="dxa"/>
            <w:vAlign w:val="bottom"/>
          </w:tcPr>
          <w:p>
            <w:pPr>
              <w:jc w:val="center"/>
              <w:ind w:left="150"/>
              <w:spacing w:after="0"/>
              <w:rPr>
                <w:sz w:val="20"/>
                <w:szCs w:val="20"/>
                <w:color w:val="auto"/>
              </w:rPr>
            </w:pPr>
            <w:r>
              <w:rPr>
                <w:rFonts w:ascii="Arial" w:cs="Arial" w:eastAsia="Arial" w:hAnsi="Arial"/>
                <w:sz w:val="14"/>
                <w:szCs w:val="14"/>
                <w:color w:val="auto"/>
                <w:w w:val="99"/>
              </w:rPr>
              <w:t>5/8/2013</w:t>
            </w:r>
          </w:p>
        </w:tc>
        <w:tc>
          <w:tcPr>
            <w:tcW w:w="0" w:type="dxa"/>
            <w:vAlign w:val="bottom"/>
          </w:tcPr>
          <w:p>
            <w:pPr>
              <w:spacing w:after="0"/>
              <w:rPr>
                <w:sz w:val="1"/>
                <w:szCs w:val="1"/>
                <w:color w:val="auto"/>
              </w:rPr>
            </w:pPr>
          </w:p>
        </w:tc>
      </w:tr>
      <w:tr>
        <w:trPr>
          <w:trHeight w:val="511"/>
        </w:trPr>
        <w:tc>
          <w:tcPr>
            <w:tcW w:w="540" w:type="dxa"/>
            <w:vAlign w:val="bottom"/>
          </w:tcPr>
          <w:p>
            <w:pPr>
              <w:jc w:val="center"/>
              <w:ind w:right="13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001-35480</w:t>
            </w:r>
          </w:p>
        </w:tc>
        <w:tc>
          <w:tcPr>
            <w:tcW w:w="1180" w:type="dxa"/>
            <w:vAlign w:val="bottom"/>
          </w:tcPr>
          <w:p>
            <w:pPr>
              <w:jc w:val="center"/>
              <w:spacing w:after="0"/>
              <w:rPr>
                <w:sz w:val="20"/>
                <w:szCs w:val="20"/>
                <w:color w:val="auto"/>
              </w:rPr>
            </w:pPr>
            <w:r>
              <w:rPr>
                <w:rFonts w:ascii="Arial" w:cs="Arial" w:eastAsia="Arial" w:hAnsi="Arial"/>
                <w:sz w:val="14"/>
                <w:szCs w:val="14"/>
                <w:color w:val="auto"/>
              </w:rPr>
              <w:t>10.2</w:t>
            </w:r>
          </w:p>
        </w:tc>
        <w:tc>
          <w:tcPr>
            <w:tcW w:w="840" w:type="dxa"/>
            <w:vAlign w:val="bottom"/>
          </w:tcPr>
          <w:p>
            <w:pPr>
              <w:jc w:val="center"/>
              <w:ind w:left="150"/>
              <w:spacing w:after="0"/>
              <w:rPr>
                <w:sz w:val="20"/>
                <w:szCs w:val="20"/>
                <w:color w:val="auto"/>
              </w:rPr>
            </w:pPr>
            <w:r>
              <w:rPr>
                <w:rFonts w:ascii="Arial" w:cs="Arial" w:eastAsia="Arial" w:hAnsi="Arial"/>
                <w:sz w:val="14"/>
                <w:szCs w:val="14"/>
                <w:color w:val="auto"/>
                <w:w w:val="99"/>
              </w:rPr>
              <w:t>8/17/2018</w:t>
            </w:r>
          </w:p>
        </w:tc>
        <w:tc>
          <w:tcPr>
            <w:tcW w:w="0" w:type="dxa"/>
            <w:vAlign w:val="bottom"/>
          </w:tcPr>
          <w:p>
            <w:pPr>
              <w:spacing w:after="0"/>
              <w:rPr>
                <w:sz w:val="1"/>
                <w:szCs w:val="1"/>
                <w:color w:val="auto"/>
              </w:rPr>
            </w:pPr>
          </w:p>
        </w:tc>
      </w:tr>
      <w:tr>
        <w:trPr>
          <w:trHeight w:val="525"/>
        </w:trPr>
        <w:tc>
          <w:tcPr>
            <w:tcW w:w="540" w:type="dxa"/>
            <w:vAlign w:val="bottom"/>
          </w:tcPr>
          <w:p>
            <w:pPr>
              <w:jc w:val="center"/>
              <w:ind w:right="13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001-35480</w:t>
            </w:r>
          </w:p>
        </w:tc>
        <w:tc>
          <w:tcPr>
            <w:tcW w:w="1180" w:type="dxa"/>
            <w:vAlign w:val="bottom"/>
          </w:tcPr>
          <w:p>
            <w:pPr>
              <w:jc w:val="center"/>
              <w:spacing w:after="0"/>
              <w:rPr>
                <w:sz w:val="20"/>
                <w:szCs w:val="20"/>
                <w:color w:val="auto"/>
              </w:rPr>
            </w:pPr>
            <w:r>
              <w:rPr>
                <w:rFonts w:ascii="Arial" w:cs="Arial" w:eastAsia="Arial" w:hAnsi="Arial"/>
                <w:sz w:val="14"/>
                <w:szCs w:val="14"/>
                <w:color w:val="auto"/>
              </w:rPr>
              <w:t>10.1</w:t>
            </w:r>
          </w:p>
        </w:tc>
        <w:tc>
          <w:tcPr>
            <w:tcW w:w="840" w:type="dxa"/>
            <w:vAlign w:val="bottom"/>
          </w:tcPr>
          <w:p>
            <w:pPr>
              <w:jc w:val="center"/>
              <w:ind w:left="150"/>
              <w:spacing w:after="0"/>
              <w:rPr>
                <w:sz w:val="20"/>
                <w:szCs w:val="20"/>
                <w:color w:val="auto"/>
              </w:rPr>
            </w:pPr>
            <w:r>
              <w:rPr>
                <w:rFonts w:ascii="Arial" w:cs="Arial" w:eastAsia="Arial" w:hAnsi="Arial"/>
                <w:sz w:val="14"/>
                <w:szCs w:val="14"/>
                <w:color w:val="auto"/>
                <w:w w:val="99"/>
              </w:rPr>
              <w:t>2/6/2019</w:t>
            </w:r>
          </w:p>
        </w:tc>
        <w:tc>
          <w:tcPr>
            <w:tcW w:w="0" w:type="dxa"/>
            <w:vAlign w:val="bottom"/>
          </w:tcPr>
          <w:p>
            <w:pPr>
              <w:spacing w:after="0"/>
              <w:rPr>
                <w:sz w:val="1"/>
                <w:szCs w:val="1"/>
                <w:color w:val="auto"/>
              </w:rPr>
            </w:pPr>
          </w:p>
        </w:tc>
      </w:tr>
    </w:tbl>
    <w:p>
      <w:pPr>
        <w:spacing w:after="0" w:line="433" w:lineRule="exact"/>
        <w:rPr>
          <w:sz w:val="20"/>
          <w:szCs w:val="20"/>
          <w:color w:val="auto"/>
        </w:rPr>
      </w:pPr>
    </w:p>
    <w:p>
      <w:pPr>
        <w:sectPr>
          <w:pgSz w:w="11900" w:h="16838" w:orient="portrait"/>
          <w:cols w:equalWidth="0" w:num="2">
            <w:col w:w="5600" w:space="300"/>
            <w:col w:w="4620"/>
          </w:cols>
          <w:pgMar w:left="620" w:top="280" w:right="759" w:bottom="1440" w:gutter="0" w:footer="0" w:header="0"/>
          <w:type w:val="continuous"/>
        </w:sectPr>
      </w:pPr>
    </w:p>
    <w:p>
      <w:pPr>
        <w:ind w:left="10420"/>
        <w:spacing w:after="0" w:line="182" w:lineRule="auto"/>
        <w:rPr>
          <w:sz w:val="20"/>
          <w:szCs w:val="20"/>
          <w:color w:val="auto"/>
        </w:rPr>
      </w:pPr>
      <w:r>
        <w:rPr>
          <w:rFonts w:ascii="Arial" w:cs="Arial" w:eastAsia="Arial" w:hAnsi="Arial"/>
          <w:sz w:val="9"/>
          <w:szCs w:val="9"/>
          <w:color w:val="auto"/>
        </w:rPr>
        <w:t>X</w:t>
      </w:r>
    </w:p>
    <w:p>
      <w:pPr>
        <w:sectPr>
          <w:pgSz w:w="11900" w:h="16838" w:orient="portrait"/>
          <w:cols w:equalWidth="0" w:num="1">
            <w:col w:w="10520"/>
          </w:cols>
          <w:pgMar w:left="620" w:top="280" w:right="759" w:bottom="1440" w:gutter="0" w:footer="0" w:header="0"/>
          <w:type w:val="continuous"/>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jc w:val="center"/>
              <w:ind w:right="130"/>
              <w:spacing w:after="0"/>
              <w:rPr>
                <w:sz w:val="20"/>
                <w:szCs w:val="20"/>
                <w:color w:val="auto"/>
              </w:rPr>
            </w:pPr>
            <w:r>
              <w:rPr>
                <w:rFonts w:ascii="Arial" w:cs="Arial" w:eastAsia="Arial" w:hAnsi="Arial"/>
                <w:sz w:val="14"/>
                <w:szCs w:val="14"/>
                <w:color w:val="0000FF"/>
                <w:w w:val="95"/>
              </w:rPr>
              <w:t>10.17</w:t>
            </w:r>
            <w:r>
              <w:rPr>
                <w:rFonts w:ascii="Arial" w:cs="Arial" w:eastAsia="Arial" w:hAnsi="Arial"/>
                <w:sz w:val="18"/>
                <w:szCs w:val="18"/>
                <w:color w:val="000000"/>
                <w:w w:val="95"/>
                <w:vertAlign w:val="superscript"/>
              </w:rPr>
              <w:t>#</w:t>
            </w:r>
          </w:p>
        </w:tc>
        <w:tc>
          <w:tcPr>
            <w:tcW w:w="5060" w:type="dxa"/>
            <w:vAlign w:val="bottom"/>
          </w:tcPr>
          <w:p>
            <w:pPr>
              <w:ind w:left="220"/>
              <w:spacing w:after="0"/>
              <w:rPr>
                <w:sz w:val="20"/>
                <w:szCs w:val="20"/>
                <w:color w:val="auto"/>
              </w:rPr>
            </w:pPr>
            <w:r>
              <w:rPr>
                <w:rFonts w:ascii="Arial" w:cs="Arial" w:eastAsia="Arial" w:hAnsi="Arial"/>
                <w:sz w:val="14"/>
                <w:szCs w:val="14"/>
                <w:color w:val="0000FF"/>
                <w:w w:val="99"/>
              </w:rPr>
              <w:t>Amendment No. 1 to Master Supply Agreement, dated December 10, 2018, by</w:t>
            </w: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60" w:type="dxa"/>
            <w:vAlign w:val="bottom"/>
          </w:tcPr>
          <w:p>
            <w:pPr>
              <w:ind w:left="220"/>
              <w:spacing w:after="0"/>
              <w:rPr>
                <w:sz w:val="20"/>
                <w:szCs w:val="20"/>
                <w:color w:val="auto"/>
              </w:rPr>
            </w:pPr>
            <w:r>
              <w:rPr>
                <w:rFonts w:ascii="Arial" w:cs="Arial" w:eastAsia="Arial" w:hAnsi="Arial"/>
                <w:sz w:val="14"/>
                <w:szCs w:val="14"/>
                <w:color w:val="0000FF"/>
              </w:rPr>
              <w:t>and between Enphase Energy, Inc. and SunPower Corporation.</w:t>
            </w:r>
          </w:p>
        </w:tc>
        <w:tc>
          <w:tcPr>
            <w:tcW w:w="0" w:type="dxa"/>
            <w:vAlign w:val="bottom"/>
          </w:tcPr>
          <w:p>
            <w:pPr>
              <w:spacing w:after="0"/>
              <w:rPr>
                <w:sz w:val="1"/>
                <w:szCs w:val="1"/>
                <w:color w:val="auto"/>
              </w:rPr>
            </w:pPr>
          </w:p>
        </w:tc>
      </w:tr>
      <w:tr>
        <w:trPr>
          <w:trHeight w:val="314"/>
        </w:trPr>
        <w:tc>
          <w:tcPr>
            <w:tcW w:w="600" w:type="dxa"/>
            <w:vAlign w:val="bottom"/>
          </w:tcPr>
          <w:p>
            <w:pPr>
              <w:jc w:val="center"/>
              <w:ind w:right="130"/>
              <w:spacing w:after="0"/>
              <w:rPr>
                <w:sz w:val="20"/>
                <w:szCs w:val="20"/>
                <w:color w:val="auto"/>
              </w:rPr>
            </w:pPr>
            <w:r>
              <w:rPr>
                <w:rFonts w:ascii="Arial" w:cs="Arial" w:eastAsia="Arial" w:hAnsi="Arial"/>
                <w:sz w:val="14"/>
                <w:szCs w:val="14"/>
                <w:color w:val="0000FF"/>
                <w:w w:val="95"/>
              </w:rPr>
              <w:t>10.18</w:t>
            </w:r>
            <w:r>
              <w:rPr>
                <w:rFonts w:ascii="Arial" w:cs="Arial" w:eastAsia="Arial" w:hAnsi="Arial"/>
                <w:sz w:val="18"/>
                <w:szCs w:val="18"/>
                <w:color w:val="000000"/>
                <w:w w:val="95"/>
                <w:vertAlign w:val="superscript"/>
              </w:rPr>
              <w:t>#</w:t>
            </w:r>
          </w:p>
        </w:tc>
        <w:tc>
          <w:tcPr>
            <w:tcW w:w="5060" w:type="dxa"/>
            <w:vAlign w:val="bottom"/>
          </w:tcPr>
          <w:p>
            <w:pPr>
              <w:ind w:left="220"/>
              <w:spacing w:after="0"/>
              <w:rPr>
                <w:rFonts w:ascii="Arial" w:cs="Arial" w:eastAsia="Arial" w:hAnsi="Arial"/>
                <w:sz w:val="14"/>
                <w:szCs w:val="14"/>
                <w:color w:val="0000FF"/>
              </w:rPr>
            </w:pPr>
            <w:hyperlink r:id="rId325">
              <w:r>
                <w:rPr>
                  <w:rFonts w:ascii="Arial" w:cs="Arial" w:eastAsia="Arial" w:hAnsi="Arial"/>
                  <w:sz w:val="14"/>
                  <w:szCs w:val="14"/>
                  <w:color w:val="0000FF"/>
                </w:rPr>
                <w:t>Amendment No. 2 to Master Supply Agreement, dated June 12, 2018, by and</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60" w:type="dxa"/>
            <w:vAlign w:val="bottom"/>
          </w:tcPr>
          <w:p>
            <w:pPr>
              <w:ind w:left="220"/>
              <w:spacing w:after="0"/>
              <w:rPr>
                <w:rFonts w:ascii="Arial" w:cs="Arial" w:eastAsia="Arial" w:hAnsi="Arial"/>
                <w:sz w:val="14"/>
                <w:szCs w:val="14"/>
                <w:color w:val="0000FF"/>
              </w:rPr>
            </w:pPr>
            <w:hyperlink r:id="rId325">
              <w:r>
                <w:rPr>
                  <w:rFonts w:ascii="Arial" w:cs="Arial" w:eastAsia="Arial" w:hAnsi="Arial"/>
                  <w:sz w:val="14"/>
                  <w:szCs w:val="14"/>
                  <w:color w:val="0000FF"/>
                </w:rPr>
                <w:t>between Enphase Energy, Inc. and SunPower Corporation.</w:t>
              </w:r>
            </w:hyperlink>
          </w:p>
        </w:tc>
        <w:tc>
          <w:tcPr>
            <w:tcW w:w="0" w:type="dxa"/>
            <w:vAlign w:val="bottom"/>
          </w:tcPr>
          <w:p>
            <w:pPr>
              <w:spacing w:after="0"/>
              <w:rPr>
                <w:sz w:val="1"/>
                <w:szCs w:val="1"/>
                <w:color w:val="auto"/>
              </w:rPr>
            </w:pPr>
          </w:p>
        </w:tc>
      </w:tr>
      <w:tr>
        <w:trPr>
          <w:trHeight w:val="314"/>
        </w:trPr>
        <w:tc>
          <w:tcPr>
            <w:tcW w:w="600" w:type="dxa"/>
            <w:vAlign w:val="bottom"/>
          </w:tcPr>
          <w:p>
            <w:pPr>
              <w:jc w:val="center"/>
              <w:ind w:right="130"/>
              <w:spacing w:after="0"/>
              <w:rPr>
                <w:sz w:val="20"/>
                <w:szCs w:val="20"/>
                <w:color w:val="auto"/>
              </w:rPr>
            </w:pPr>
            <w:r>
              <w:rPr>
                <w:rFonts w:ascii="Arial" w:cs="Arial" w:eastAsia="Arial" w:hAnsi="Arial"/>
                <w:sz w:val="14"/>
                <w:szCs w:val="14"/>
                <w:color w:val="0000FF"/>
                <w:w w:val="95"/>
              </w:rPr>
              <w:t>10.19</w:t>
            </w:r>
            <w:r>
              <w:rPr>
                <w:rFonts w:ascii="Arial" w:cs="Arial" w:eastAsia="Arial" w:hAnsi="Arial"/>
                <w:sz w:val="18"/>
                <w:szCs w:val="18"/>
                <w:color w:val="000000"/>
                <w:w w:val="95"/>
                <w:vertAlign w:val="superscript"/>
              </w:rPr>
              <w:t>#</w:t>
            </w:r>
          </w:p>
        </w:tc>
        <w:tc>
          <w:tcPr>
            <w:tcW w:w="5060" w:type="dxa"/>
            <w:vAlign w:val="bottom"/>
          </w:tcPr>
          <w:p>
            <w:pPr>
              <w:ind w:left="220"/>
              <w:spacing w:after="0"/>
              <w:rPr>
                <w:rFonts w:ascii="Arial" w:cs="Arial" w:eastAsia="Arial" w:hAnsi="Arial"/>
                <w:sz w:val="14"/>
                <w:szCs w:val="14"/>
                <w:color w:val="0000FF"/>
              </w:rPr>
            </w:pPr>
            <w:hyperlink r:id="rId326">
              <w:r>
                <w:rPr>
                  <w:rFonts w:ascii="Arial" w:cs="Arial" w:eastAsia="Arial" w:hAnsi="Arial"/>
                  <w:sz w:val="14"/>
                  <w:szCs w:val="14"/>
                  <w:color w:val="0000FF"/>
                </w:rPr>
                <w:t>Amendment No. 3 to Master Supply Agreement, dated June 12, 2018, by and</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60" w:type="dxa"/>
            <w:vAlign w:val="bottom"/>
          </w:tcPr>
          <w:p>
            <w:pPr>
              <w:ind w:left="220"/>
              <w:spacing w:after="0"/>
              <w:rPr>
                <w:rFonts w:ascii="Arial" w:cs="Arial" w:eastAsia="Arial" w:hAnsi="Arial"/>
                <w:sz w:val="14"/>
                <w:szCs w:val="14"/>
                <w:color w:val="0000FF"/>
              </w:rPr>
            </w:pPr>
            <w:hyperlink r:id="rId326">
              <w:r>
                <w:rPr>
                  <w:rFonts w:ascii="Arial" w:cs="Arial" w:eastAsia="Arial" w:hAnsi="Arial"/>
                  <w:sz w:val="14"/>
                  <w:szCs w:val="14"/>
                  <w:color w:val="0000FF"/>
                </w:rPr>
                <w:t>between Enphase Energy, Inc. and SunPower Corporation.</w:t>
              </w:r>
            </w:hyperlink>
          </w:p>
        </w:tc>
        <w:tc>
          <w:tcPr>
            <w:tcW w:w="0" w:type="dxa"/>
            <w:vAlign w:val="bottom"/>
          </w:tcPr>
          <w:p>
            <w:pPr>
              <w:spacing w:after="0"/>
              <w:rPr>
                <w:sz w:val="1"/>
                <w:szCs w:val="1"/>
                <w:color w:val="auto"/>
              </w:rPr>
            </w:pPr>
          </w:p>
        </w:tc>
      </w:tr>
      <w:tr>
        <w:trPr>
          <w:trHeight w:val="300"/>
        </w:trPr>
        <w:tc>
          <w:tcPr>
            <w:tcW w:w="600" w:type="dxa"/>
            <w:vAlign w:val="bottom"/>
            <w:vMerge w:val="restart"/>
          </w:tcPr>
          <w:p>
            <w:pPr>
              <w:jc w:val="center"/>
              <w:ind w:right="130"/>
              <w:spacing w:after="0"/>
              <w:rPr>
                <w:rFonts w:ascii="Arial" w:cs="Arial" w:eastAsia="Arial" w:hAnsi="Arial"/>
                <w:sz w:val="14"/>
                <w:szCs w:val="14"/>
                <w:color w:val="0000FF"/>
              </w:rPr>
            </w:pPr>
            <w:hyperlink r:id="rId327">
              <w:r>
                <w:rPr>
                  <w:rFonts w:ascii="Arial" w:cs="Arial" w:eastAsia="Arial" w:hAnsi="Arial"/>
                  <w:sz w:val="14"/>
                  <w:szCs w:val="14"/>
                  <w:color w:val="0000FF"/>
                </w:rPr>
                <w:t>10.20</w:t>
              </w:r>
            </w:hyperlink>
          </w:p>
        </w:tc>
        <w:tc>
          <w:tcPr>
            <w:tcW w:w="5060" w:type="dxa"/>
            <w:vAlign w:val="bottom"/>
          </w:tcPr>
          <w:p>
            <w:pPr>
              <w:ind w:left="220"/>
              <w:spacing w:after="0"/>
              <w:rPr>
                <w:rFonts w:ascii="Arial" w:cs="Arial" w:eastAsia="Arial" w:hAnsi="Arial"/>
                <w:sz w:val="14"/>
                <w:szCs w:val="14"/>
                <w:color w:val="0000FF"/>
              </w:rPr>
            </w:pPr>
            <w:hyperlink r:id="rId327">
              <w:r>
                <w:rPr>
                  <w:rFonts w:ascii="Arial" w:cs="Arial" w:eastAsia="Arial" w:hAnsi="Arial"/>
                  <w:sz w:val="14"/>
                  <w:szCs w:val="14"/>
                  <w:color w:val="0000FF"/>
                </w:rPr>
                <w:t>Amendment No. 4 to Master Supply Agreement, dated January 4, 2021, by</w:t>
              </w:r>
            </w:hyperlink>
          </w:p>
        </w:tc>
        <w:tc>
          <w:tcPr>
            <w:tcW w:w="0" w:type="dxa"/>
            <w:vAlign w:val="bottom"/>
          </w:tcPr>
          <w:p>
            <w:pPr>
              <w:spacing w:after="0"/>
              <w:rPr>
                <w:sz w:val="1"/>
                <w:szCs w:val="1"/>
                <w:color w:val="auto"/>
              </w:rPr>
            </w:pPr>
          </w:p>
        </w:tc>
      </w:tr>
      <w:tr>
        <w:trPr>
          <w:trHeight w:val="93"/>
        </w:trPr>
        <w:tc>
          <w:tcPr>
            <w:tcW w:w="600" w:type="dxa"/>
            <w:vAlign w:val="bottom"/>
            <w:vMerge w:val="continue"/>
          </w:tcPr>
          <w:p>
            <w:pPr>
              <w:spacing w:after="0"/>
              <w:rPr>
                <w:sz w:val="8"/>
                <w:szCs w:val="8"/>
                <w:color w:val="auto"/>
              </w:rPr>
            </w:pPr>
          </w:p>
        </w:tc>
        <w:tc>
          <w:tcPr>
            <w:tcW w:w="5060" w:type="dxa"/>
            <w:vAlign w:val="bottom"/>
            <w:vMerge w:val="restart"/>
          </w:tcPr>
          <w:p>
            <w:pPr>
              <w:ind w:left="220"/>
              <w:spacing w:after="0"/>
              <w:rPr>
                <w:rFonts w:ascii="Arial" w:cs="Arial" w:eastAsia="Arial" w:hAnsi="Arial"/>
                <w:sz w:val="14"/>
                <w:szCs w:val="14"/>
                <w:color w:val="0000FF"/>
              </w:rPr>
            </w:pPr>
            <w:hyperlink r:id="rId327">
              <w:r>
                <w:rPr>
                  <w:rFonts w:ascii="Arial" w:cs="Arial" w:eastAsia="Arial" w:hAnsi="Arial"/>
                  <w:sz w:val="14"/>
                  <w:szCs w:val="14"/>
                  <w:color w:val="0000FF"/>
                </w:rPr>
                <w:t>and between Enphase Energy, Inc. and SunPower Corporation.</w:t>
              </w:r>
            </w:hyperlink>
          </w:p>
        </w:tc>
        <w:tc>
          <w:tcPr>
            <w:tcW w:w="0" w:type="dxa"/>
            <w:vAlign w:val="bottom"/>
          </w:tcPr>
          <w:p>
            <w:pPr>
              <w:spacing w:after="0"/>
              <w:rPr>
                <w:sz w:val="1"/>
                <w:szCs w:val="1"/>
                <w:color w:val="auto"/>
              </w:rPr>
            </w:pPr>
          </w:p>
        </w:tc>
      </w:tr>
      <w:tr>
        <w:trPr>
          <w:trHeight w:val="92"/>
        </w:trPr>
        <w:tc>
          <w:tcPr>
            <w:tcW w:w="600" w:type="dxa"/>
            <w:vAlign w:val="bottom"/>
          </w:tcPr>
          <w:p>
            <w:pPr>
              <w:spacing w:after="0"/>
              <w:rPr>
                <w:sz w:val="7"/>
                <w:szCs w:val="7"/>
                <w:color w:val="auto"/>
              </w:rPr>
            </w:pPr>
          </w:p>
        </w:tc>
        <w:tc>
          <w:tcPr>
            <w:tcW w:w="5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600" w:type="dxa"/>
            <w:vAlign w:val="bottom"/>
          </w:tcPr>
          <w:p>
            <w:pPr>
              <w:jc w:val="center"/>
              <w:ind w:right="130"/>
              <w:spacing w:after="0"/>
              <w:rPr>
                <w:sz w:val="20"/>
                <w:szCs w:val="20"/>
                <w:color w:val="auto"/>
              </w:rPr>
            </w:pPr>
            <w:r>
              <w:rPr>
                <w:rFonts w:ascii="Arial" w:cs="Arial" w:eastAsia="Arial" w:hAnsi="Arial"/>
                <w:sz w:val="14"/>
                <w:szCs w:val="14"/>
                <w:color w:val="0000FF"/>
                <w:w w:val="95"/>
              </w:rPr>
              <w:t>10.21</w:t>
            </w:r>
            <w:r>
              <w:rPr>
                <w:rFonts w:ascii="Arial" w:cs="Arial" w:eastAsia="Arial" w:hAnsi="Arial"/>
                <w:sz w:val="18"/>
                <w:szCs w:val="18"/>
                <w:color w:val="000000"/>
                <w:w w:val="95"/>
                <w:vertAlign w:val="superscript"/>
              </w:rPr>
              <w:t>#</w:t>
            </w:r>
          </w:p>
        </w:tc>
        <w:tc>
          <w:tcPr>
            <w:tcW w:w="5060" w:type="dxa"/>
            <w:vAlign w:val="bottom"/>
          </w:tcPr>
          <w:p>
            <w:pPr>
              <w:ind w:left="220"/>
              <w:spacing w:after="0"/>
              <w:rPr>
                <w:rFonts w:ascii="Arial" w:cs="Arial" w:eastAsia="Arial" w:hAnsi="Arial"/>
                <w:sz w:val="14"/>
                <w:szCs w:val="14"/>
                <w:color w:val="0000FF"/>
              </w:rPr>
            </w:pPr>
            <w:hyperlink r:id="rId328">
              <w:r>
                <w:rPr>
                  <w:rFonts w:ascii="Arial" w:cs="Arial" w:eastAsia="Arial" w:hAnsi="Arial"/>
                  <w:sz w:val="14"/>
                  <w:szCs w:val="14"/>
                  <w:color w:val="0000FF"/>
                </w:rPr>
                <w:t>Amendment No. 5 to Master Supply Agreement, dated July 6, 2022, by and</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60" w:type="dxa"/>
            <w:vAlign w:val="bottom"/>
          </w:tcPr>
          <w:p>
            <w:pPr>
              <w:ind w:left="220"/>
              <w:spacing w:after="0"/>
              <w:rPr>
                <w:rFonts w:ascii="Arial" w:cs="Arial" w:eastAsia="Arial" w:hAnsi="Arial"/>
                <w:sz w:val="14"/>
                <w:szCs w:val="14"/>
                <w:color w:val="0000FF"/>
              </w:rPr>
            </w:pPr>
            <w:hyperlink r:id="rId328">
              <w:r>
                <w:rPr>
                  <w:rFonts w:ascii="Arial" w:cs="Arial" w:eastAsia="Arial" w:hAnsi="Arial"/>
                  <w:sz w:val="14"/>
                  <w:szCs w:val="14"/>
                  <w:color w:val="0000FF"/>
                </w:rPr>
                <w:t>between Enphase Energy, Inc. and SunPower Corporation.</w:t>
              </w:r>
            </w:hyperlink>
          </w:p>
        </w:tc>
        <w:tc>
          <w:tcPr>
            <w:tcW w:w="0" w:type="dxa"/>
            <w:vAlign w:val="bottom"/>
          </w:tcPr>
          <w:p>
            <w:pPr>
              <w:spacing w:after="0"/>
              <w:rPr>
                <w:sz w:val="1"/>
                <w:szCs w:val="1"/>
                <w:color w:val="auto"/>
              </w:rPr>
            </w:pPr>
          </w:p>
        </w:tc>
      </w:tr>
      <w:tr>
        <w:trPr>
          <w:trHeight w:val="195"/>
        </w:trPr>
        <w:tc>
          <w:tcPr>
            <w:tcW w:w="600" w:type="dxa"/>
            <w:vAlign w:val="bottom"/>
            <w:vMerge w:val="restart"/>
          </w:tcPr>
          <w:p>
            <w:pPr>
              <w:jc w:val="center"/>
              <w:ind w:right="130"/>
              <w:spacing w:after="0"/>
              <w:rPr>
                <w:rFonts w:ascii="Arial" w:cs="Arial" w:eastAsia="Arial" w:hAnsi="Arial"/>
                <w:sz w:val="14"/>
                <w:szCs w:val="14"/>
                <w:color w:val="0000FF"/>
              </w:rPr>
            </w:pPr>
            <w:hyperlink r:id="rId329">
              <w:r>
                <w:rPr>
                  <w:rFonts w:ascii="Arial" w:cs="Arial" w:eastAsia="Arial" w:hAnsi="Arial"/>
                  <w:sz w:val="14"/>
                  <w:szCs w:val="14"/>
                  <w:color w:val="0000FF"/>
                </w:rPr>
                <w:t>10.22</w:t>
              </w:r>
            </w:hyperlink>
          </w:p>
        </w:tc>
        <w:tc>
          <w:tcPr>
            <w:tcW w:w="5060" w:type="dxa"/>
            <w:vAlign w:val="bottom"/>
          </w:tcPr>
          <w:p>
            <w:pPr>
              <w:ind w:left="220"/>
              <w:spacing w:after="0"/>
              <w:rPr>
                <w:rFonts w:ascii="Arial" w:cs="Arial" w:eastAsia="Arial" w:hAnsi="Arial"/>
                <w:sz w:val="14"/>
                <w:szCs w:val="14"/>
                <w:color w:val="0000FF"/>
              </w:rPr>
            </w:pPr>
            <w:hyperlink r:id="rId330">
              <w:r>
                <w:rPr>
                  <w:rFonts w:ascii="Arial" w:cs="Arial" w:eastAsia="Arial" w:hAnsi="Arial"/>
                  <w:sz w:val="14"/>
                  <w:szCs w:val="14"/>
                  <w:color w:val="0000FF"/>
                </w:rPr>
                <w:t>Amendment No. 6 to Master Supply Agreement, dated July 27, 2022, by and</w:t>
              </w:r>
            </w:hyperlink>
          </w:p>
        </w:tc>
        <w:tc>
          <w:tcPr>
            <w:tcW w:w="0" w:type="dxa"/>
            <w:vAlign w:val="bottom"/>
          </w:tcPr>
          <w:p>
            <w:pPr>
              <w:spacing w:after="0"/>
              <w:rPr>
                <w:sz w:val="1"/>
                <w:szCs w:val="1"/>
                <w:color w:val="auto"/>
              </w:rPr>
            </w:pPr>
          </w:p>
        </w:tc>
      </w:tr>
      <w:tr>
        <w:trPr>
          <w:trHeight w:val="93"/>
        </w:trPr>
        <w:tc>
          <w:tcPr>
            <w:tcW w:w="600" w:type="dxa"/>
            <w:vAlign w:val="bottom"/>
            <w:vMerge w:val="continue"/>
          </w:tcPr>
          <w:p>
            <w:pPr>
              <w:spacing w:after="0"/>
              <w:rPr>
                <w:sz w:val="8"/>
                <w:szCs w:val="8"/>
                <w:color w:val="auto"/>
              </w:rPr>
            </w:pPr>
          </w:p>
        </w:tc>
        <w:tc>
          <w:tcPr>
            <w:tcW w:w="5060" w:type="dxa"/>
            <w:vAlign w:val="bottom"/>
            <w:vMerge w:val="restart"/>
          </w:tcPr>
          <w:p>
            <w:pPr>
              <w:ind w:left="220"/>
              <w:spacing w:after="0"/>
              <w:rPr>
                <w:rFonts w:ascii="Arial" w:cs="Arial" w:eastAsia="Arial" w:hAnsi="Arial"/>
                <w:sz w:val="14"/>
                <w:szCs w:val="14"/>
                <w:color w:val="0000FF"/>
              </w:rPr>
            </w:pPr>
            <w:hyperlink r:id="rId330">
              <w:r>
                <w:rPr>
                  <w:rFonts w:ascii="Arial" w:cs="Arial" w:eastAsia="Arial" w:hAnsi="Arial"/>
                  <w:sz w:val="14"/>
                  <w:szCs w:val="14"/>
                  <w:color w:val="0000FF"/>
                </w:rPr>
                <w:t>between Enphase Energy, Inc. and SunPower Corporation.</w:t>
              </w:r>
            </w:hyperlink>
          </w:p>
        </w:tc>
        <w:tc>
          <w:tcPr>
            <w:tcW w:w="0" w:type="dxa"/>
            <w:vAlign w:val="bottom"/>
          </w:tcPr>
          <w:p>
            <w:pPr>
              <w:spacing w:after="0"/>
              <w:rPr>
                <w:sz w:val="1"/>
                <w:szCs w:val="1"/>
                <w:color w:val="auto"/>
              </w:rPr>
            </w:pPr>
          </w:p>
        </w:tc>
      </w:tr>
      <w:tr>
        <w:trPr>
          <w:trHeight w:val="92"/>
        </w:trPr>
        <w:tc>
          <w:tcPr>
            <w:tcW w:w="600" w:type="dxa"/>
            <w:vAlign w:val="bottom"/>
          </w:tcPr>
          <w:p>
            <w:pPr>
              <w:spacing w:after="0"/>
              <w:rPr>
                <w:sz w:val="7"/>
                <w:szCs w:val="7"/>
                <w:color w:val="auto"/>
              </w:rPr>
            </w:pPr>
          </w:p>
        </w:tc>
        <w:tc>
          <w:tcPr>
            <w:tcW w:w="5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600" w:type="dxa"/>
            <w:vAlign w:val="bottom"/>
            <w:vMerge w:val="restart"/>
          </w:tcPr>
          <w:p>
            <w:pPr>
              <w:jc w:val="center"/>
              <w:ind w:right="130"/>
              <w:spacing w:after="0"/>
              <w:rPr>
                <w:rFonts w:ascii="Arial" w:cs="Arial" w:eastAsia="Arial" w:hAnsi="Arial"/>
                <w:sz w:val="14"/>
                <w:szCs w:val="14"/>
                <w:color w:val="0000FF"/>
                <w:w w:val="95"/>
              </w:rPr>
            </w:pPr>
            <w:hyperlink r:id="rId331">
              <w:r>
                <w:rPr>
                  <w:rFonts w:ascii="Arial" w:cs="Arial" w:eastAsia="Arial" w:hAnsi="Arial"/>
                  <w:sz w:val="14"/>
                  <w:szCs w:val="14"/>
                  <w:color w:val="0000FF"/>
                  <w:w w:val="95"/>
                </w:rPr>
                <w:t>10.23</w:t>
              </w:r>
            </w:hyperlink>
            <w:r>
              <w:rPr>
                <w:rFonts w:ascii="Arial" w:cs="Arial" w:eastAsia="Arial" w:hAnsi="Arial"/>
                <w:sz w:val="18"/>
                <w:szCs w:val="18"/>
                <w:color w:val="000000"/>
                <w:w w:val="95"/>
                <w:vertAlign w:val="superscript"/>
              </w:rPr>
              <w:t>#</w:t>
            </w:r>
          </w:p>
        </w:tc>
        <w:tc>
          <w:tcPr>
            <w:tcW w:w="5060" w:type="dxa"/>
            <w:vAlign w:val="bottom"/>
          </w:tcPr>
          <w:p>
            <w:pPr>
              <w:ind w:left="220"/>
              <w:spacing w:after="0"/>
              <w:rPr>
                <w:rFonts w:ascii="Arial" w:cs="Arial" w:eastAsia="Arial" w:hAnsi="Arial"/>
                <w:sz w:val="14"/>
                <w:szCs w:val="14"/>
                <w:color w:val="0000FF"/>
              </w:rPr>
            </w:pPr>
            <w:hyperlink r:id="rId331">
              <w:r>
                <w:rPr>
                  <w:rFonts w:ascii="Arial" w:cs="Arial" w:eastAsia="Arial" w:hAnsi="Arial"/>
                  <w:sz w:val="14"/>
                  <w:szCs w:val="14"/>
                  <w:color w:val="0000FF"/>
                </w:rPr>
                <w:t>Salcomp Manufacturing Services Agreement by and between Enphase</w:t>
              </w:r>
            </w:hyperlink>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5060" w:type="dxa"/>
            <w:vAlign w:val="bottom"/>
          </w:tcPr>
          <w:p>
            <w:pPr>
              <w:ind w:left="220"/>
              <w:spacing w:after="0"/>
              <w:rPr>
                <w:rFonts w:ascii="Arial" w:cs="Arial" w:eastAsia="Arial" w:hAnsi="Arial"/>
                <w:sz w:val="14"/>
                <w:szCs w:val="14"/>
                <w:color w:val="0000FF"/>
              </w:rPr>
            </w:pPr>
            <w:hyperlink r:id="rId331">
              <w:r>
                <w:rPr>
                  <w:rFonts w:ascii="Arial" w:cs="Arial" w:eastAsia="Arial" w:hAnsi="Arial"/>
                  <w:sz w:val="14"/>
                  <w:szCs w:val="14"/>
                  <w:color w:val="0000FF"/>
                </w:rPr>
                <w:t>Energy, Inc. and Salcomp Manufacturing India Private Ltd., dated October 1,</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60" w:type="dxa"/>
            <w:vAlign w:val="bottom"/>
          </w:tcPr>
          <w:p>
            <w:pPr>
              <w:ind w:left="220"/>
              <w:spacing w:after="0"/>
              <w:rPr>
                <w:rFonts w:ascii="Arial" w:cs="Arial" w:eastAsia="Arial" w:hAnsi="Arial"/>
                <w:sz w:val="14"/>
                <w:szCs w:val="14"/>
                <w:color w:val="0000FF"/>
              </w:rPr>
            </w:pPr>
            <w:hyperlink r:id="rId331">
              <w:r>
                <w:rPr>
                  <w:rFonts w:ascii="Arial" w:cs="Arial" w:eastAsia="Arial" w:hAnsi="Arial"/>
                  <w:sz w:val="14"/>
                  <w:szCs w:val="14"/>
                  <w:color w:val="0000FF"/>
                </w:rPr>
                <w:t>2019.</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-1792605</wp:posOffset>
            </wp:positionV>
            <wp:extent cx="7136130" cy="2495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2">
                      <a:extLst>
                        <a:ext uri="{28A0092B-C50C-407E-A947-70E740481C1C}"/>
                      </a:extLst>
                    </a:blip>
                    <a:srcRect/>
                    <a:stretch>
                      <a:fillRect/>
                    </a:stretch>
                  </pic:blipFill>
                  <pic:spPr bwMode="auto">
                    <a:xfrm>
                      <a:off x="0" y="0"/>
                      <a:ext cx="7136130" cy="2495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-1159510</wp:posOffset>
            </wp:positionV>
            <wp:extent cx="7136130" cy="2495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3">
                      <a:extLst>
                        <a:ext uri="{28A0092B-C50C-407E-A947-70E740481C1C}"/>
                      </a:extLst>
                    </a:blip>
                    <a:srcRect/>
                    <a:stretch>
                      <a:fillRect/>
                    </a:stretch>
                  </pic:blipFill>
                  <pic:spPr bwMode="auto">
                    <a:xfrm>
                      <a:off x="0" y="0"/>
                      <a:ext cx="7136130" cy="2495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-660400</wp:posOffset>
            </wp:positionV>
            <wp:extent cx="7136130" cy="2495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4">
                      <a:extLst>
                        <a:ext uri="{28A0092B-C50C-407E-A947-70E740481C1C}"/>
                      </a:extLst>
                    </a:blip>
                    <a:srcRect/>
                    <a:stretch>
                      <a:fillRect/>
                    </a:stretch>
                  </pic:blipFill>
                  <pic:spPr bwMode="auto">
                    <a:xfrm>
                      <a:off x="0" y="0"/>
                      <a:ext cx="7136130" cy="2495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71755</wp:posOffset>
            </wp:positionV>
            <wp:extent cx="7136130" cy="382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5">
                      <a:extLst>
                        <a:ext uri="{28A0092B-C50C-407E-A947-70E740481C1C}"/>
                      </a:extLst>
                    </a:blip>
                    <a:srcRect/>
                    <a:stretch>
                      <a:fillRect/>
                    </a:stretch>
                  </pic:blipFill>
                  <pic:spPr bwMode="auto">
                    <a:xfrm>
                      <a:off x="0" y="0"/>
                      <a:ext cx="7136130" cy="382905"/>
                    </a:xfrm>
                    <a:prstGeom prst="rect">
                      <a:avLst/>
                    </a:prstGeom>
                    <a:noFill/>
                  </pic:spPr>
                </pic:pic>
              </a:graphicData>
            </a:graphic>
          </wp:anchor>
        </w:drawing>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80" w:type="dxa"/>
            <w:vAlign w:val="bottom"/>
            <w:vMerge w:val="restart"/>
          </w:tcPr>
          <w:p>
            <w:pPr>
              <w:jc w:val="right"/>
              <w:ind w:right="150"/>
              <w:spacing w:after="0"/>
              <w:rPr>
                <w:rFonts w:ascii="Arial" w:cs="Arial" w:eastAsia="Arial" w:hAnsi="Arial"/>
                <w:sz w:val="14"/>
                <w:szCs w:val="14"/>
                <w:color w:val="0000FF"/>
                <w:w w:val="96"/>
              </w:rPr>
            </w:pPr>
            <w:hyperlink r:id="rId336">
              <w:r>
                <w:rPr>
                  <w:rFonts w:ascii="Arial" w:cs="Arial" w:eastAsia="Arial" w:hAnsi="Arial"/>
                  <w:sz w:val="14"/>
                  <w:szCs w:val="14"/>
                  <w:color w:val="0000FF"/>
                  <w:w w:val="96"/>
                </w:rPr>
                <w:t>10.24</w:t>
              </w:r>
            </w:hyperlink>
          </w:p>
        </w:tc>
        <w:tc>
          <w:tcPr>
            <w:tcW w:w="4960" w:type="dxa"/>
            <w:vAlign w:val="bottom"/>
          </w:tcPr>
          <w:p>
            <w:pPr>
              <w:ind w:left="220"/>
              <w:spacing w:after="0"/>
              <w:rPr>
                <w:rFonts w:ascii="Arial" w:cs="Arial" w:eastAsia="Arial" w:hAnsi="Arial"/>
                <w:sz w:val="14"/>
                <w:szCs w:val="14"/>
                <w:color w:val="0000FF"/>
                <w:w w:val="99"/>
              </w:rPr>
            </w:pPr>
            <w:hyperlink r:id="rId336">
              <w:r>
                <w:rPr>
                  <w:rFonts w:ascii="Arial" w:cs="Arial" w:eastAsia="Arial" w:hAnsi="Arial"/>
                  <w:sz w:val="14"/>
                  <w:szCs w:val="14"/>
                  <w:color w:val="0000FF"/>
                  <w:w w:val="99"/>
                </w:rPr>
                <w:t>Bayside Parkway Lease by and between Enphase Energy, Inc. and Dollinger</w:t>
              </w:r>
            </w:hyperlink>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4960" w:type="dxa"/>
            <w:vAlign w:val="bottom"/>
            <w:vMerge w:val="restart"/>
          </w:tcPr>
          <w:p>
            <w:pPr>
              <w:ind w:left="220"/>
              <w:spacing w:after="0"/>
              <w:rPr>
                <w:rFonts w:ascii="Arial" w:cs="Arial" w:eastAsia="Arial" w:hAnsi="Arial"/>
                <w:sz w:val="14"/>
                <w:szCs w:val="14"/>
                <w:color w:val="0000FF"/>
              </w:rPr>
            </w:pPr>
            <w:hyperlink r:id="rId336">
              <w:r>
                <w:rPr>
                  <w:rFonts w:ascii="Arial" w:cs="Arial" w:eastAsia="Arial" w:hAnsi="Arial"/>
                  <w:sz w:val="14"/>
                  <w:szCs w:val="14"/>
                  <w:color w:val="0000FF"/>
                </w:rPr>
                <w:t>Bayside Associates, dated April 12, 2018.</w:t>
              </w:r>
            </w:hyperlink>
          </w:p>
        </w:tc>
        <w:tc>
          <w:tcPr>
            <w:tcW w:w="0" w:type="dxa"/>
            <w:vAlign w:val="bottom"/>
          </w:tcPr>
          <w:p>
            <w:pPr>
              <w:spacing w:after="0"/>
              <w:rPr>
                <w:sz w:val="1"/>
                <w:szCs w:val="1"/>
                <w:color w:val="auto"/>
              </w:rPr>
            </w:pPr>
          </w:p>
        </w:tc>
      </w:tr>
      <w:tr>
        <w:trPr>
          <w:trHeight w:val="92"/>
        </w:trPr>
        <w:tc>
          <w:tcPr>
            <w:tcW w:w="580" w:type="dxa"/>
            <w:vAlign w:val="bottom"/>
          </w:tcPr>
          <w:p>
            <w:pPr>
              <w:spacing w:after="0"/>
              <w:rPr>
                <w:sz w:val="7"/>
                <w:szCs w:val="7"/>
                <w:color w:val="auto"/>
              </w:rPr>
            </w:pPr>
          </w:p>
        </w:tc>
        <w:tc>
          <w:tcPr>
            <w:tcW w:w="4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629920</wp:posOffset>
            </wp:positionV>
            <wp:extent cx="693610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7">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560" w:type="dxa"/>
            <w:vAlign w:val="bottom"/>
          </w:tcPr>
          <w:p>
            <w:pPr>
              <w:ind w:left="2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10.21</w:t>
            </w:r>
          </w:p>
        </w:tc>
        <w:tc>
          <w:tcPr>
            <w:tcW w:w="940" w:type="dxa"/>
            <w:vAlign w:val="bottom"/>
          </w:tcPr>
          <w:p>
            <w:pPr>
              <w:jc w:val="right"/>
              <w:spacing w:after="0"/>
              <w:rPr>
                <w:sz w:val="20"/>
                <w:szCs w:val="20"/>
                <w:color w:val="auto"/>
              </w:rPr>
            </w:pPr>
            <w:r>
              <w:rPr>
                <w:rFonts w:ascii="Arial" w:cs="Arial" w:eastAsia="Arial" w:hAnsi="Arial"/>
                <w:sz w:val="14"/>
                <w:szCs w:val="14"/>
                <w:color w:val="auto"/>
              </w:rPr>
              <w:t>2/16/2021</w:t>
            </w:r>
          </w:p>
        </w:tc>
      </w:tr>
      <w:tr>
        <w:trPr>
          <w:trHeight w:val="498"/>
        </w:trPr>
        <w:tc>
          <w:tcPr>
            <w:tcW w:w="560" w:type="dxa"/>
            <w:vAlign w:val="bottom"/>
          </w:tcPr>
          <w:p>
            <w:pPr>
              <w:ind w:left="2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10.22</w:t>
            </w:r>
          </w:p>
        </w:tc>
        <w:tc>
          <w:tcPr>
            <w:tcW w:w="940" w:type="dxa"/>
            <w:vAlign w:val="bottom"/>
          </w:tcPr>
          <w:p>
            <w:pPr>
              <w:jc w:val="right"/>
              <w:spacing w:after="0"/>
              <w:rPr>
                <w:sz w:val="20"/>
                <w:szCs w:val="20"/>
                <w:color w:val="auto"/>
              </w:rPr>
            </w:pPr>
            <w:r>
              <w:rPr>
                <w:rFonts w:ascii="Arial" w:cs="Arial" w:eastAsia="Arial" w:hAnsi="Arial"/>
                <w:sz w:val="14"/>
                <w:szCs w:val="14"/>
                <w:color w:val="auto"/>
              </w:rPr>
              <w:t>2/16/2021</w:t>
            </w:r>
          </w:p>
        </w:tc>
      </w:tr>
      <w:tr>
        <w:trPr>
          <w:trHeight w:val="498"/>
        </w:trPr>
        <w:tc>
          <w:tcPr>
            <w:tcW w:w="560" w:type="dxa"/>
            <w:vAlign w:val="bottom"/>
          </w:tcPr>
          <w:p>
            <w:pPr>
              <w:spacing w:after="0"/>
              <w:rPr>
                <w:sz w:val="20"/>
                <w:szCs w:val="20"/>
                <w:color w:val="auto"/>
              </w:rPr>
            </w:pPr>
            <w:r>
              <w:rPr>
                <w:rFonts w:ascii="Arial" w:cs="Arial" w:eastAsia="Arial" w:hAnsi="Arial"/>
                <w:sz w:val="14"/>
                <w:szCs w:val="14"/>
                <w:color w:val="auto"/>
              </w:rPr>
              <w:t>10-Q</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10.1</w:t>
            </w:r>
          </w:p>
        </w:tc>
        <w:tc>
          <w:tcPr>
            <w:tcW w:w="940" w:type="dxa"/>
            <w:vAlign w:val="bottom"/>
          </w:tcPr>
          <w:p>
            <w:pPr>
              <w:jc w:val="right"/>
              <w:spacing w:after="0"/>
              <w:rPr>
                <w:sz w:val="20"/>
                <w:szCs w:val="20"/>
                <w:color w:val="auto"/>
              </w:rPr>
            </w:pPr>
            <w:r>
              <w:rPr>
                <w:rFonts w:ascii="Arial" w:cs="Arial" w:eastAsia="Arial" w:hAnsi="Arial"/>
                <w:sz w:val="14"/>
                <w:szCs w:val="14"/>
                <w:color w:val="auto"/>
              </w:rPr>
              <w:t>7/26/2022</w:t>
            </w:r>
          </w:p>
        </w:tc>
      </w:tr>
      <w:tr>
        <w:trPr>
          <w:trHeight w:val="393"/>
        </w:trPr>
        <w:tc>
          <w:tcPr>
            <w:tcW w:w="560" w:type="dxa"/>
            <w:vAlign w:val="bottom"/>
          </w:tcPr>
          <w:p>
            <w:pPr>
              <w:spacing w:after="0"/>
              <w:rPr>
                <w:sz w:val="20"/>
                <w:szCs w:val="20"/>
                <w:color w:val="auto"/>
              </w:rPr>
            </w:pPr>
            <w:r>
              <w:rPr>
                <w:rFonts w:ascii="Arial" w:cs="Arial" w:eastAsia="Arial" w:hAnsi="Arial"/>
                <w:sz w:val="14"/>
                <w:szCs w:val="14"/>
                <w:color w:val="auto"/>
              </w:rPr>
              <w:t>10-Q</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w:t>
            </w:r>
          </w:p>
        </w:tc>
        <w:tc>
          <w:tcPr>
            <w:tcW w:w="940" w:type="dxa"/>
            <w:vAlign w:val="bottom"/>
          </w:tcPr>
          <w:p>
            <w:pPr>
              <w:jc w:val="right"/>
              <w:spacing w:after="0"/>
              <w:rPr>
                <w:sz w:val="20"/>
                <w:szCs w:val="20"/>
                <w:color w:val="auto"/>
              </w:rPr>
            </w:pPr>
            <w:r>
              <w:rPr>
                <w:rFonts w:ascii="Arial" w:cs="Arial" w:eastAsia="Arial" w:hAnsi="Arial"/>
                <w:sz w:val="14"/>
                <w:szCs w:val="14"/>
                <w:color w:val="auto"/>
              </w:rPr>
              <w:t>7/26/2022</w:t>
            </w:r>
          </w:p>
        </w:tc>
      </w:tr>
      <w:tr>
        <w:trPr>
          <w:trHeight w:val="393"/>
        </w:trPr>
        <w:tc>
          <w:tcPr>
            <w:tcW w:w="560" w:type="dxa"/>
            <w:vAlign w:val="bottom"/>
          </w:tcPr>
          <w:p>
            <w:pPr>
              <w:ind w:left="2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10.24</w:t>
            </w:r>
          </w:p>
        </w:tc>
        <w:tc>
          <w:tcPr>
            <w:tcW w:w="940" w:type="dxa"/>
            <w:vAlign w:val="bottom"/>
          </w:tcPr>
          <w:p>
            <w:pPr>
              <w:jc w:val="right"/>
              <w:spacing w:after="0"/>
              <w:rPr>
                <w:sz w:val="20"/>
                <w:szCs w:val="20"/>
                <w:color w:val="auto"/>
              </w:rPr>
            </w:pPr>
            <w:r>
              <w:rPr>
                <w:rFonts w:ascii="Arial" w:cs="Arial" w:eastAsia="Arial" w:hAnsi="Arial"/>
                <w:sz w:val="14"/>
                <w:szCs w:val="14"/>
                <w:color w:val="auto"/>
              </w:rPr>
              <w:t>2/13/2023</w:t>
            </w:r>
          </w:p>
        </w:tc>
      </w:tr>
      <w:tr>
        <w:trPr>
          <w:trHeight w:val="577"/>
        </w:trPr>
        <w:tc>
          <w:tcPr>
            <w:tcW w:w="560" w:type="dxa"/>
            <w:vAlign w:val="bottom"/>
          </w:tcPr>
          <w:p>
            <w:pPr>
              <w:ind w:left="2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10.24</w:t>
            </w:r>
          </w:p>
        </w:tc>
        <w:tc>
          <w:tcPr>
            <w:tcW w:w="940" w:type="dxa"/>
            <w:vAlign w:val="bottom"/>
          </w:tcPr>
          <w:p>
            <w:pPr>
              <w:jc w:val="right"/>
              <w:spacing w:after="0"/>
              <w:rPr>
                <w:sz w:val="20"/>
                <w:szCs w:val="20"/>
                <w:color w:val="auto"/>
              </w:rPr>
            </w:pPr>
            <w:r>
              <w:rPr>
                <w:rFonts w:ascii="Arial" w:cs="Arial" w:eastAsia="Arial" w:hAnsi="Arial"/>
                <w:sz w:val="14"/>
                <w:szCs w:val="14"/>
                <w:color w:val="auto"/>
              </w:rPr>
              <w:t>2/16/2021</w:t>
            </w:r>
          </w:p>
        </w:tc>
      </w:tr>
      <w:tr>
        <w:trPr>
          <w:trHeight w:val="682"/>
        </w:trPr>
        <w:tc>
          <w:tcPr>
            <w:tcW w:w="560" w:type="dxa"/>
            <w:vAlign w:val="bottom"/>
          </w:tcPr>
          <w:p>
            <w:pPr>
              <w:ind w:left="2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10.45</w:t>
            </w:r>
          </w:p>
        </w:tc>
        <w:tc>
          <w:tcPr>
            <w:tcW w:w="940" w:type="dxa"/>
            <w:vAlign w:val="bottom"/>
          </w:tcPr>
          <w:p>
            <w:pPr>
              <w:jc w:val="right"/>
              <w:spacing w:after="0"/>
              <w:rPr>
                <w:sz w:val="20"/>
                <w:szCs w:val="20"/>
                <w:color w:val="auto"/>
              </w:rPr>
            </w:pPr>
            <w:r>
              <w:rPr>
                <w:rFonts w:ascii="Arial" w:cs="Arial" w:eastAsia="Arial" w:hAnsi="Arial"/>
                <w:sz w:val="14"/>
                <w:szCs w:val="14"/>
                <w:color w:val="auto"/>
              </w:rPr>
              <w:t>3/15/2019</w:t>
            </w:r>
          </w:p>
        </w:tc>
      </w:tr>
    </w:tbl>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855" w:lineRule="exact"/>
        <w:rPr>
          <w:sz w:val="20"/>
          <w:szCs w:val="20"/>
          <w:color w:val="auto"/>
        </w:rPr>
      </w:pPr>
    </w:p>
    <w:p>
      <w:pPr>
        <w:sectPr>
          <w:pgSz w:w="11900" w:h="16838" w:orient="portrait"/>
          <w:cols w:equalWidth="0" w:num="3">
            <w:col w:w="5660" w:space="240"/>
            <w:col w:w="3800" w:space="720"/>
            <w:col w:w="100"/>
          </w:cols>
          <w:pgMar w:left="620" w:top="280"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0"/>
          <w:szCs w:val="10"/>
          <w:color w:val="828282"/>
        </w:rPr>
        <w:t>Enphase Energy, Inc. | 2023 Form 10-K |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72390</wp:posOffset>
            </wp:positionV>
            <wp:extent cx="7161530"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20"/>
          </w:cols>
          <w:pgMar w:left="620" w:top="280" w:right="759" w:bottom="1440" w:gutter="0" w:footer="0" w:header="0"/>
          <w:type w:val="continuous"/>
        </w:sectPr>
      </w:pPr>
    </w:p>
    <w:bookmarkStart w:id="127" w:name="page128"/>
    <w:bookmarkEnd w:id="127"/>
    <w:p>
      <w:pPr>
        <w:ind w:left="180"/>
        <w:spacing w:after="0"/>
        <w:rPr>
          <w:sz w:val="20"/>
          <w:szCs w:val="20"/>
          <w:color w:val="auto"/>
        </w:rPr>
      </w:pPr>
      <w:r>
        <w:rPr>
          <w:rFonts w:ascii="Arial" w:cs="Arial" w:eastAsia="Arial" w:hAnsi="Arial"/>
          <w:sz w:val="17"/>
          <w:szCs w:val="17"/>
          <w:i w:val="1"/>
          <w:iCs w:val="1"/>
          <w:color w:val="0000FF"/>
        </w:rPr>
        <w:t>Table of Contents</w:t>
      </w:r>
    </w:p>
    <w:p>
      <w:pPr>
        <w:sectPr>
          <w:pgSz w:w="11900" w:h="16838" w:orient="portrait"/>
          <w:cols w:equalWidth="0" w:num="1">
            <w:col w:w="10520"/>
          </w:cols>
          <w:pgMar w:left="620" w:top="28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vMerge w:val="restart"/>
          </w:tcPr>
          <w:p>
            <w:pPr>
              <w:jc w:val="center"/>
              <w:ind w:right="131"/>
              <w:spacing w:after="0"/>
              <w:rPr>
                <w:rFonts w:ascii="Arial" w:cs="Arial" w:eastAsia="Arial" w:hAnsi="Arial"/>
                <w:sz w:val="14"/>
                <w:szCs w:val="14"/>
                <w:color w:val="0000FF"/>
              </w:rPr>
            </w:pPr>
            <w:hyperlink r:id="rId339">
              <w:r>
                <w:rPr>
                  <w:rFonts w:ascii="Arial" w:cs="Arial" w:eastAsia="Arial" w:hAnsi="Arial"/>
                  <w:sz w:val="14"/>
                  <w:szCs w:val="14"/>
                  <w:color w:val="0000FF"/>
                </w:rPr>
                <w:t>10.25</w:t>
              </w:r>
            </w:hyperlink>
          </w:p>
        </w:tc>
        <w:tc>
          <w:tcPr>
            <w:tcW w:w="5060" w:type="dxa"/>
            <w:vAlign w:val="bottom"/>
          </w:tcPr>
          <w:p>
            <w:pPr>
              <w:ind w:left="220"/>
              <w:spacing w:after="0"/>
              <w:rPr>
                <w:rFonts w:ascii="Arial" w:cs="Arial" w:eastAsia="Arial" w:hAnsi="Arial"/>
                <w:sz w:val="14"/>
                <w:szCs w:val="14"/>
                <w:color w:val="0000FF"/>
              </w:rPr>
            </w:pPr>
            <w:hyperlink r:id="rId339">
              <w:r>
                <w:rPr>
                  <w:rFonts w:ascii="Arial" w:cs="Arial" w:eastAsia="Arial" w:hAnsi="Arial"/>
                  <w:sz w:val="14"/>
                  <w:szCs w:val="14"/>
                  <w:color w:val="0000FF"/>
                </w:rPr>
                <w:t>Bayside Parkway Lease by and between Enphase Energy, Inc. and Dollinger</w:t>
              </w:r>
            </w:hyperlink>
          </w:p>
        </w:tc>
        <w:tc>
          <w:tcPr>
            <w:tcW w:w="0" w:type="dxa"/>
            <w:vAlign w:val="bottom"/>
          </w:tcPr>
          <w:p>
            <w:pPr>
              <w:spacing w:after="0"/>
              <w:rPr>
                <w:sz w:val="1"/>
                <w:szCs w:val="1"/>
                <w:color w:val="auto"/>
              </w:rPr>
            </w:pPr>
          </w:p>
        </w:tc>
      </w:tr>
      <w:tr>
        <w:trPr>
          <w:trHeight w:val="93"/>
        </w:trPr>
        <w:tc>
          <w:tcPr>
            <w:tcW w:w="600" w:type="dxa"/>
            <w:vAlign w:val="bottom"/>
            <w:vMerge w:val="continue"/>
          </w:tcPr>
          <w:p>
            <w:pPr>
              <w:spacing w:after="0"/>
              <w:rPr>
                <w:sz w:val="8"/>
                <w:szCs w:val="8"/>
                <w:color w:val="auto"/>
              </w:rPr>
            </w:pPr>
          </w:p>
        </w:tc>
        <w:tc>
          <w:tcPr>
            <w:tcW w:w="5060" w:type="dxa"/>
            <w:vAlign w:val="bottom"/>
            <w:vMerge w:val="restart"/>
          </w:tcPr>
          <w:p>
            <w:pPr>
              <w:ind w:left="220"/>
              <w:spacing w:after="0"/>
              <w:rPr>
                <w:rFonts w:ascii="Arial" w:cs="Arial" w:eastAsia="Arial" w:hAnsi="Arial"/>
                <w:sz w:val="14"/>
                <w:szCs w:val="14"/>
                <w:color w:val="0000FF"/>
              </w:rPr>
            </w:pPr>
            <w:hyperlink r:id="rId339">
              <w:r>
                <w:rPr>
                  <w:rFonts w:ascii="Arial" w:cs="Arial" w:eastAsia="Arial" w:hAnsi="Arial"/>
                  <w:sz w:val="14"/>
                  <w:szCs w:val="14"/>
                  <w:color w:val="0000FF"/>
                </w:rPr>
                <w:t>Bayside Associates, amendment dated March 17, 2020.</w:t>
              </w:r>
            </w:hyperlink>
          </w:p>
        </w:tc>
        <w:tc>
          <w:tcPr>
            <w:tcW w:w="0" w:type="dxa"/>
            <w:vAlign w:val="bottom"/>
          </w:tcPr>
          <w:p>
            <w:pPr>
              <w:spacing w:after="0"/>
              <w:rPr>
                <w:sz w:val="1"/>
                <w:szCs w:val="1"/>
                <w:color w:val="auto"/>
              </w:rPr>
            </w:pPr>
          </w:p>
        </w:tc>
      </w:tr>
      <w:tr>
        <w:trPr>
          <w:trHeight w:val="92"/>
        </w:trPr>
        <w:tc>
          <w:tcPr>
            <w:tcW w:w="600" w:type="dxa"/>
            <w:vAlign w:val="bottom"/>
          </w:tcPr>
          <w:p>
            <w:pPr>
              <w:spacing w:after="0"/>
              <w:rPr>
                <w:sz w:val="7"/>
                <w:szCs w:val="7"/>
                <w:color w:val="auto"/>
              </w:rPr>
            </w:pPr>
          </w:p>
        </w:tc>
        <w:tc>
          <w:tcPr>
            <w:tcW w:w="5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9"/>
        </w:trPr>
        <w:tc>
          <w:tcPr>
            <w:tcW w:w="600" w:type="dxa"/>
            <w:vAlign w:val="bottom"/>
            <w:vMerge w:val="restart"/>
          </w:tcPr>
          <w:p>
            <w:pPr>
              <w:jc w:val="center"/>
              <w:ind w:right="131"/>
              <w:spacing w:after="0"/>
              <w:rPr>
                <w:rFonts w:ascii="Arial" w:cs="Arial" w:eastAsia="Arial" w:hAnsi="Arial"/>
                <w:sz w:val="14"/>
                <w:szCs w:val="14"/>
                <w:color w:val="0000FF"/>
              </w:rPr>
            </w:pPr>
            <w:hyperlink r:id="rId340">
              <w:r>
                <w:rPr>
                  <w:rFonts w:ascii="Arial" w:cs="Arial" w:eastAsia="Arial" w:hAnsi="Arial"/>
                  <w:sz w:val="14"/>
                  <w:szCs w:val="14"/>
                  <w:color w:val="0000FF"/>
                </w:rPr>
                <w:t>10.26</w:t>
              </w:r>
            </w:hyperlink>
          </w:p>
        </w:tc>
        <w:tc>
          <w:tcPr>
            <w:tcW w:w="5060" w:type="dxa"/>
            <w:vAlign w:val="bottom"/>
          </w:tcPr>
          <w:p>
            <w:pPr>
              <w:ind w:left="220"/>
              <w:spacing w:after="0"/>
              <w:rPr>
                <w:rFonts w:ascii="Arial" w:cs="Arial" w:eastAsia="Arial" w:hAnsi="Arial"/>
                <w:sz w:val="14"/>
                <w:szCs w:val="14"/>
                <w:color w:val="0000FF"/>
              </w:rPr>
            </w:pPr>
            <w:hyperlink r:id="rId340">
              <w:r>
                <w:rPr>
                  <w:rFonts w:ascii="Arial" w:cs="Arial" w:eastAsia="Arial" w:hAnsi="Arial"/>
                  <w:sz w:val="14"/>
                  <w:szCs w:val="14"/>
                  <w:color w:val="0000FF"/>
                </w:rPr>
                <w:t>Bayside Parkway Lease by and between Enphase Energy, Inc. and Dollinger</w:t>
              </w:r>
            </w:hyperlink>
          </w:p>
        </w:tc>
        <w:tc>
          <w:tcPr>
            <w:tcW w:w="0" w:type="dxa"/>
            <w:vAlign w:val="bottom"/>
          </w:tcPr>
          <w:p>
            <w:pPr>
              <w:spacing w:after="0"/>
              <w:rPr>
                <w:sz w:val="1"/>
                <w:szCs w:val="1"/>
                <w:color w:val="auto"/>
              </w:rPr>
            </w:pPr>
          </w:p>
        </w:tc>
      </w:tr>
      <w:tr>
        <w:trPr>
          <w:trHeight w:val="93"/>
        </w:trPr>
        <w:tc>
          <w:tcPr>
            <w:tcW w:w="600" w:type="dxa"/>
            <w:vAlign w:val="bottom"/>
            <w:vMerge w:val="continue"/>
          </w:tcPr>
          <w:p>
            <w:pPr>
              <w:spacing w:after="0"/>
              <w:rPr>
                <w:sz w:val="8"/>
                <w:szCs w:val="8"/>
                <w:color w:val="auto"/>
              </w:rPr>
            </w:pPr>
          </w:p>
        </w:tc>
        <w:tc>
          <w:tcPr>
            <w:tcW w:w="5060" w:type="dxa"/>
            <w:vAlign w:val="bottom"/>
            <w:vMerge w:val="restart"/>
          </w:tcPr>
          <w:p>
            <w:pPr>
              <w:ind w:left="220"/>
              <w:spacing w:after="0"/>
              <w:rPr>
                <w:rFonts w:ascii="Arial" w:cs="Arial" w:eastAsia="Arial" w:hAnsi="Arial"/>
                <w:sz w:val="14"/>
                <w:szCs w:val="14"/>
                <w:color w:val="0000FF"/>
              </w:rPr>
            </w:pPr>
            <w:hyperlink r:id="rId340">
              <w:r>
                <w:rPr>
                  <w:rFonts w:ascii="Arial" w:cs="Arial" w:eastAsia="Arial" w:hAnsi="Arial"/>
                  <w:sz w:val="14"/>
                  <w:szCs w:val="14"/>
                  <w:color w:val="0000FF"/>
                </w:rPr>
                <w:t>Bayside Associates, amendment dated May 9, 2020.</w:t>
              </w:r>
            </w:hyperlink>
          </w:p>
        </w:tc>
        <w:tc>
          <w:tcPr>
            <w:tcW w:w="0" w:type="dxa"/>
            <w:vAlign w:val="bottom"/>
          </w:tcPr>
          <w:p>
            <w:pPr>
              <w:spacing w:after="0"/>
              <w:rPr>
                <w:sz w:val="1"/>
                <w:szCs w:val="1"/>
                <w:color w:val="auto"/>
              </w:rPr>
            </w:pPr>
          </w:p>
        </w:tc>
      </w:tr>
      <w:tr>
        <w:trPr>
          <w:trHeight w:val="92"/>
        </w:trPr>
        <w:tc>
          <w:tcPr>
            <w:tcW w:w="600" w:type="dxa"/>
            <w:vAlign w:val="bottom"/>
          </w:tcPr>
          <w:p>
            <w:pPr>
              <w:spacing w:after="0"/>
              <w:rPr>
                <w:sz w:val="7"/>
                <w:szCs w:val="7"/>
                <w:color w:val="auto"/>
              </w:rPr>
            </w:pPr>
          </w:p>
        </w:tc>
        <w:tc>
          <w:tcPr>
            <w:tcW w:w="5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3"/>
        </w:trPr>
        <w:tc>
          <w:tcPr>
            <w:tcW w:w="600" w:type="dxa"/>
            <w:vAlign w:val="bottom"/>
          </w:tcPr>
          <w:p>
            <w:pPr>
              <w:jc w:val="center"/>
              <w:ind w:right="131"/>
              <w:spacing w:after="0"/>
              <w:rPr>
                <w:rFonts w:ascii="Arial" w:cs="Arial" w:eastAsia="Arial" w:hAnsi="Arial"/>
                <w:sz w:val="14"/>
                <w:szCs w:val="14"/>
                <w:color w:val="0000FF"/>
              </w:rPr>
            </w:pPr>
            <w:hyperlink r:id="rId341">
              <w:r>
                <w:rPr>
                  <w:rFonts w:ascii="Arial" w:cs="Arial" w:eastAsia="Arial" w:hAnsi="Arial"/>
                  <w:sz w:val="14"/>
                  <w:szCs w:val="14"/>
                  <w:color w:val="0000FF"/>
                </w:rPr>
                <w:t>10.27</w:t>
              </w:r>
            </w:hyperlink>
          </w:p>
        </w:tc>
        <w:tc>
          <w:tcPr>
            <w:tcW w:w="5060" w:type="dxa"/>
            <w:vAlign w:val="bottom"/>
          </w:tcPr>
          <w:p>
            <w:pPr>
              <w:ind w:left="220"/>
              <w:spacing w:after="0"/>
              <w:rPr>
                <w:rFonts w:ascii="Arial" w:cs="Arial" w:eastAsia="Arial" w:hAnsi="Arial"/>
                <w:sz w:val="14"/>
                <w:szCs w:val="14"/>
                <w:color w:val="0000FF"/>
              </w:rPr>
            </w:pPr>
            <w:hyperlink r:id="rId341">
              <w:r>
                <w:rPr>
                  <w:rFonts w:ascii="Arial" w:cs="Arial" w:eastAsia="Arial" w:hAnsi="Arial"/>
                  <w:sz w:val="14"/>
                  <w:szCs w:val="14"/>
                  <w:color w:val="0000FF"/>
                </w:rPr>
                <w:t>Form of Convertible Note Hedge Transaction Confirmation (2020).</w:t>
              </w:r>
            </w:hyperlink>
          </w:p>
        </w:tc>
        <w:tc>
          <w:tcPr>
            <w:tcW w:w="0" w:type="dxa"/>
            <w:vAlign w:val="bottom"/>
          </w:tcPr>
          <w:p>
            <w:pPr>
              <w:spacing w:after="0"/>
              <w:rPr>
                <w:sz w:val="1"/>
                <w:szCs w:val="1"/>
                <w:color w:val="auto"/>
              </w:rPr>
            </w:pPr>
          </w:p>
        </w:tc>
      </w:tr>
      <w:tr>
        <w:trPr>
          <w:trHeight w:val="433"/>
        </w:trPr>
        <w:tc>
          <w:tcPr>
            <w:tcW w:w="600" w:type="dxa"/>
            <w:vAlign w:val="bottom"/>
          </w:tcPr>
          <w:p>
            <w:pPr>
              <w:jc w:val="center"/>
              <w:ind w:right="131"/>
              <w:spacing w:after="0"/>
              <w:rPr>
                <w:rFonts w:ascii="Arial" w:cs="Arial" w:eastAsia="Arial" w:hAnsi="Arial"/>
                <w:sz w:val="14"/>
                <w:szCs w:val="14"/>
                <w:color w:val="0000FF"/>
              </w:rPr>
            </w:pPr>
            <w:hyperlink r:id="rId342">
              <w:r>
                <w:rPr>
                  <w:rFonts w:ascii="Arial" w:cs="Arial" w:eastAsia="Arial" w:hAnsi="Arial"/>
                  <w:sz w:val="14"/>
                  <w:szCs w:val="14"/>
                  <w:color w:val="0000FF"/>
                </w:rPr>
                <w:t>10.28</w:t>
              </w:r>
            </w:hyperlink>
          </w:p>
        </w:tc>
        <w:tc>
          <w:tcPr>
            <w:tcW w:w="5060" w:type="dxa"/>
            <w:vAlign w:val="bottom"/>
          </w:tcPr>
          <w:p>
            <w:pPr>
              <w:ind w:left="220"/>
              <w:spacing w:after="0"/>
              <w:rPr>
                <w:rFonts w:ascii="Arial" w:cs="Arial" w:eastAsia="Arial" w:hAnsi="Arial"/>
                <w:sz w:val="14"/>
                <w:szCs w:val="14"/>
                <w:color w:val="0000FF"/>
              </w:rPr>
            </w:pPr>
            <w:hyperlink r:id="rId342">
              <w:r>
                <w:rPr>
                  <w:rFonts w:ascii="Arial" w:cs="Arial" w:eastAsia="Arial" w:hAnsi="Arial"/>
                  <w:sz w:val="14"/>
                  <w:szCs w:val="14"/>
                  <w:color w:val="0000FF"/>
                </w:rPr>
                <w:t>Form of Warrant Confirmation (2020).</w:t>
              </w:r>
            </w:hyperlink>
          </w:p>
        </w:tc>
        <w:tc>
          <w:tcPr>
            <w:tcW w:w="0" w:type="dxa"/>
            <w:vAlign w:val="bottom"/>
          </w:tcPr>
          <w:p>
            <w:pPr>
              <w:spacing w:after="0"/>
              <w:rPr>
                <w:sz w:val="1"/>
                <w:szCs w:val="1"/>
                <w:color w:val="auto"/>
              </w:rPr>
            </w:pPr>
          </w:p>
        </w:tc>
      </w:tr>
      <w:tr>
        <w:trPr>
          <w:trHeight w:val="433"/>
        </w:trPr>
        <w:tc>
          <w:tcPr>
            <w:tcW w:w="600" w:type="dxa"/>
            <w:vAlign w:val="bottom"/>
          </w:tcPr>
          <w:p>
            <w:pPr>
              <w:jc w:val="center"/>
              <w:ind w:right="131"/>
              <w:spacing w:after="0"/>
              <w:rPr>
                <w:rFonts w:ascii="Arial" w:cs="Arial" w:eastAsia="Arial" w:hAnsi="Arial"/>
                <w:sz w:val="14"/>
                <w:szCs w:val="14"/>
                <w:color w:val="0000FF"/>
              </w:rPr>
            </w:pPr>
            <w:hyperlink r:id="rId343">
              <w:r>
                <w:rPr>
                  <w:rFonts w:ascii="Arial" w:cs="Arial" w:eastAsia="Arial" w:hAnsi="Arial"/>
                  <w:sz w:val="14"/>
                  <w:szCs w:val="14"/>
                  <w:color w:val="0000FF"/>
                </w:rPr>
                <w:t>10.29</w:t>
              </w:r>
            </w:hyperlink>
          </w:p>
        </w:tc>
        <w:tc>
          <w:tcPr>
            <w:tcW w:w="5060" w:type="dxa"/>
            <w:vAlign w:val="bottom"/>
          </w:tcPr>
          <w:p>
            <w:pPr>
              <w:ind w:left="220"/>
              <w:spacing w:after="0"/>
              <w:rPr>
                <w:rFonts w:ascii="Arial" w:cs="Arial" w:eastAsia="Arial" w:hAnsi="Arial"/>
                <w:sz w:val="14"/>
                <w:szCs w:val="14"/>
                <w:color w:val="0000FF"/>
              </w:rPr>
            </w:pPr>
            <w:hyperlink r:id="rId343">
              <w:r>
                <w:rPr>
                  <w:rFonts w:ascii="Arial" w:cs="Arial" w:eastAsia="Arial" w:hAnsi="Arial"/>
                  <w:sz w:val="14"/>
                  <w:szCs w:val="14"/>
                  <w:color w:val="0000FF"/>
                </w:rPr>
                <w:t>Form of Convertible Note Hedge Transaction Confirmation (2021).</w:t>
              </w:r>
            </w:hyperlink>
          </w:p>
        </w:tc>
        <w:tc>
          <w:tcPr>
            <w:tcW w:w="0" w:type="dxa"/>
            <w:vAlign w:val="bottom"/>
          </w:tcPr>
          <w:p>
            <w:pPr>
              <w:spacing w:after="0"/>
              <w:rPr>
                <w:sz w:val="1"/>
                <w:szCs w:val="1"/>
                <w:color w:val="auto"/>
              </w:rPr>
            </w:pPr>
          </w:p>
        </w:tc>
      </w:tr>
      <w:tr>
        <w:trPr>
          <w:trHeight w:val="433"/>
        </w:trPr>
        <w:tc>
          <w:tcPr>
            <w:tcW w:w="600" w:type="dxa"/>
            <w:vAlign w:val="bottom"/>
          </w:tcPr>
          <w:p>
            <w:pPr>
              <w:jc w:val="center"/>
              <w:ind w:right="131"/>
              <w:spacing w:after="0"/>
              <w:rPr>
                <w:rFonts w:ascii="Arial" w:cs="Arial" w:eastAsia="Arial" w:hAnsi="Arial"/>
                <w:sz w:val="14"/>
                <w:szCs w:val="14"/>
                <w:color w:val="0000FF"/>
              </w:rPr>
            </w:pPr>
            <w:hyperlink r:id="rId344">
              <w:r>
                <w:rPr>
                  <w:rFonts w:ascii="Arial" w:cs="Arial" w:eastAsia="Arial" w:hAnsi="Arial"/>
                  <w:sz w:val="14"/>
                  <w:szCs w:val="14"/>
                  <w:color w:val="0000FF"/>
                </w:rPr>
                <w:t>10.30</w:t>
              </w:r>
            </w:hyperlink>
          </w:p>
        </w:tc>
        <w:tc>
          <w:tcPr>
            <w:tcW w:w="5060" w:type="dxa"/>
            <w:vAlign w:val="bottom"/>
          </w:tcPr>
          <w:p>
            <w:pPr>
              <w:ind w:left="220"/>
              <w:spacing w:after="0"/>
              <w:rPr>
                <w:rFonts w:ascii="Arial" w:cs="Arial" w:eastAsia="Arial" w:hAnsi="Arial"/>
                <w:sz w:val="14"/>
                <w:szCs w:val="14"/>
                <w:color w:val="0000FF"/>
              </w:rPr>
            </w:pPr>
            <w:hyperlink r:id="rId344">
              <w:r>
                <w:rPr>
                  <w:rFonts w:ascii="Arial" w:cs="Arial" w:eastAsia="Arial" w:hAnsi="Arial"/>
                  <w:sz w:val="14"/>
                  <w:szCs w:val="14"/>
                  <w:color w:val="0000FF"/>
                </w:rPr>
                <w:t>Form of Warrant Confirmation (2021).</w:t>
              </w:r>
            </w:hyperlink>
          </w:p>
        </w:tc>
        <w:tc>
          <w:tcPr>
            <w:tcW w:w="0" w:type="dxa"/>
            <w:vAlign w:val="bottom"/>
          </w:tcPr>
          <w:p>
            <w:pPr>
              <w:spacing w:after="0"/>
              <w:rPr>
                <w:sz w:val="1"/>
                <w:szCs w:val="1"/>
                <w:color w:val="auto"/>
              </w:rPr>
            </w:pPr>
          </w:p>
        </w:tc>
      </w:tr>
      <w:tr>
        <w:trPr>
          <w:trHeight w:val="433"/>
        </w:trPr>
        <w:tc>
          <w:tcPr>
            <w:tcW w:w="600" w:type="dxa"/>
            <w:vAlign w:val="bottom"/>
          </w:tcPr>
          <w:p>
            <w:pPr>
              <w:jc w:val="center"/>
              <w:ind w:right="131"/>
              <w:spacing w:after="0"/>
              <w:rPr>
                <w:rFonts w:ascii="Arial" w:cs="Arial" w:eastAsia="Arial" w:hAnsi="Arial"/>
                <w:sz w:val="14"/>
                <w:szCs w:val="14"/>
                <w:color w:val="0000FF"/>
              </w:rPr>
            </w:pPr>
            <w:hyperlink r:id="rId345">
              <w:r>
                <w:rPr>
                  <w:rFonts w:ascii="Arial" w:cs="Arial" w:eastAsia="Arial" w:hAnsi="Arial"/>
                  <w:sz w:val="14"/>
                  <w:szCs w:val="14"/>
                  <w:color w:val="0000FF"/>
                </w:rPr>
                <w:t>10.31</w:t>
              </w:r>
            </w:hyperlink>
          </w:p>
        </w:tc>
        <w:tc>
          <w:tcPr>
            <w:tcW w:w="5060" w:type="dxa"/>
            <w:vAlign w:val="bottom"/>
          </w:tcPr>
          <w:p>
            <w:pPr>
              <w:ind w:left="220"/>
              <w:spacing w:after="0"/>
              <w:rPr>
                <w:rFonts w:ascii="Arial" w:cs="Arial" w:eastAsia="Arial" w:hAnsi="Arial"/>
                <w:sz w:val="14"/>
                <w:szCs w:val="14"/>
                <w:color w:val="0000FF"/>
              </w:rPr>
            </w:pPr>
            <w:hyperlink r:id="rId345">
              <w:r>
                <w:rPr>
                  <w:rFonts w:ascii="Arial" w:cs="Arial" w:eastAsia="Arial" w:hAnsi="Arial"/>
                  <w:sz w:val="14"/>
                  <w:szCs w:val="14"/>
                  <w:color w:val="0000FF"/>
                </w:rPr>
                <w:t>Additional Call Option Transaction Confirmation (2021).</w:t>
              </w:r>
            </w:hyperlink>
          </w:p>
        </w:tc>
        <w:tc>
          <w:tcPr>
            <w:tcW w:w="0" w:type="dxa"/>
            <w:vAlign w:val="bottom"/>
          </w:tcPr>
          <w:p>
            <w:pPr>
              <w:spacing w:after="0"/>
              <w:rPr>
                <w:sz w:val="1"/>
                <w:szCs w:val="1"/>
                <w:color w:val="auto"/>
              </w:rPr>
            </w:pPr>
          </w:p>
        </w:tc>
      </w:tr>
      <w:tr>
        <w:trPr>
          <w:trHeight w:val="433"/>
        </w:trPr>
        <w:tc>
          <w:tcPr>
            <w:tcW w:w="600" w:type="dxa"/>
            <w:vAlign w:val="bottom"/>
          </w:tcPr>
          <w:p>
            <w:pPr>
              <w:jc w:val="center"/>
              <w:ind w:right="131"/>
              <w:spacing w:after="0"/>
              <w:rPr>
                <w:rFonts w:ascii="Arial" w:cs="Arial" w:eastAsia="Arial" w:hAnsi="Arial"/>
                <w:sz w:val="14"/>
                <w:szCs w:val="14"/>
                <w:color w:val="0000FF"/>
              </w:rPr>
            </w:pPr>
            <w:hyperlink r:id="rId346">
              <w:r>
                <w:rPr>
                  <w:rFonts w:ascii="Arial" w:cs="Arial" w:eastAsia="Arial" w:hAnsi="Arial"/>
                  <w:sz w:val="14"/>
                  <w:szCs w:val="14"/>
                  <w:color w:val="0000FF"/>
                </w:rPr>
                <w:t>10.32</w:t>
              </w:r>
            </w:hyperlink>
          </w:p>
        </w:tc>
        <w:tc>
          <w:tcPr>
            <w:tcW w:w="5060" w:type="dxa"/>
            <w:vAlign w:val="bottom"/>
          </w:tcPr>
          <w:p>
            <w:pPr>
              <w:ind w:left="220"/>
              <w:spacing w:after="0"/>
              <w:rPr>
                <w:rFonts w:ascii="Arial" w:cs="Arial" w:eastAsia="Arial" w:hAnsi="Arial"/>
                <w:sz w:val="14"/>
                <w:szCs w:val="14"/>
                <w:color w:val="0000FF"/>
              </w:rPr>
            </w:pPr>
            <w:hyperlink r:id="rId346">
              <w:r>
                <w:rPr>
                  <w:rFonts w:ascii="Arial" w:cs="Arial" w:eastAsia="Arial" w:hAnsi="Arial"/>
                  <w:sz w:val="14"/>
                  <w:szCs w:val="14"/>
                  <w:color w:val="0000FF"/>
                </w:rPr>
                <w:t>Additional Warrant Confirmations (2021).</w:t>
              </w:r>
            </w:hyperlink>
          </w:p>
        </w:tc>
        <w:tc>
          <w:tcPr>
            <w:tcW w:w="0" w:type="dxa"/>
            <w:vAlign w:val="bottom"/>
          </w:tcPr>
          <w:p>
            <w:pPr>
              <w:spacing w:after="0"/>
              <w:rPr>
                <w:sz w:val="1"/>
                <w:szCs w:val="1"/>
                <w:color w:val="auto"/>
              </w:rPr>
            </w:pPr>
          </w:p>
        </w:tc>
      </w:tr>
      <w:tr>
        <w:trPr>
          <w:trHeight w:val="327"/>
        </w:trPr>
        <w:tc>
          <w:tcPr>
            <w:tcW w:w="600" w:type="dxa"/>
            <w:vAlign w:val="bottom"/>
            <w:vMerge w:val="restart"/>
          </w:tcPr>
          <w:p>
            <w:pPr>
              <w:jc w:val="center"/>
              <w:ind w:right="131"/>
              <w:spacing w:after="0"/>
              <w:rPr>
                <w:rFonts w:ascii="Arial" w:cs="Arial" w:eastAsia="Arial" w:hAnsi="Arial"/>
                <w:sz w:val="14"/>
                <w:szCs w:val="14"/>
                <w:color w:val="0000FF"/>
              </w:rPr>
            </w:pPr>
            <w:hyperlink r:id="rId347">
              <w:r>
                <w:rPr>
                  <w:rFonts w:ascii="Arial" w:cs="Arial" w:eastAsia="Arial" w:hAnsi="Arial"/>
                  <w:sz w:val="14"/>
                  <w:szCs w:val="14"/>
                  <w:color w:val="0000FF"/>
                </w:rPr>
                <w:t>10.33</w:t>
              </w:r>
            </w:hyperlink>
          </w:p>
        </w:tc>
        <w:tc>
          <w:tcPr>
            <w:tcW w:w="5060" w:type="dxa"/>
            <w:vAlign w:val="bottom"/>
          </w:tcPr>
          <w:p>
            <w:pPr>
              <w:ind w:left="220"/>
              <w:spacing w:after="0"/>
              <w:rPr>
                <w:rFonts w:ascii="Arial" w:cs="Arial" w:eastAsia="Arial" w:hAnsi="Arial"/>
                <w:sz w:val="14"/>
                <w:szCs w:val="14"/>
                <w:color w:val="0000FF"/>
              </w:rPr>
            </w:pPr>
            <w:hyperlink r:id="rId347">
              <w:r>
                <w:rPr>
                  <w:rFonts w:ascii="Arial" w:cs="Arial" w:eastAsia="Arial" w:hAnsi="Arial"/>
                  <w:sz w:val="14"/>
                  <w:szCs w:val="14"/>
                  <w:color w:val="0000FF"/>
                </w:rPr>
                <w:t>Purchase Agreement, dated March 4, 2020 by and among the Registrant and</w:t>
              </w:r>
            </w:hyperlink>
          </w:p>
        </w:tc>
        <w:tc>
          <w:tcPr>
            <w:tcW w:w="0" w:type="dxa"/>
            <w:vAlign w:val="bottom"/>
          </w:tcPr>
          <w:p>
            <w:pPr>
              <w:spacing w:after="0"/>
              <w:rPr>
                <w:sz w:val="1"/>
                <w:szCs w:val="1"/>
                <w:color w:val="auto"/>
              </w:rPr>
            </w:pPr>
          </w:p>
        </w:tc>
      </w:tr>
      <w:tr>
        <w:trPr>
          <w:trHeight w:val="106"/>
        </w:trPr>
        <w:tc>
          <w:tcPr>
            <w:tcW w:w="600" w:type="dxa"/>
            <w:vAlign w:val="bottom"/>
            <w:vMerge w:val="continue"/>
          </w:tcPr>
          <w:p>
            <w:pPr>
              <w:spacing w:after="0"/>
              <w:rPr>
                <w:sz w:val="9"/>
                <w:szCs w:val="9"/>
                <w:color w:val="auto"/>
              </w:rPr>
            </w:pPr>
          </w:p>
        </w:tc>
        <w:tc>
          <w:tcPr>
            <w:tcW w:w="5060" w:type="dxa"/>
            <w:vAlign w:val="bottom"/>
            <w:vMerge w:val="restart"/>
          </w:tcPr>
          <w:p>
            <w:pPr>
              <w:ind w:left="220"/>
              <w:spacing w:after="0"/>
              <w:rPr>
                <w:rFonts w:ascii="Arial" w:cs="Arial" w:eastAsia="Arial" w:hAnsi="Arial"/>
                <w:sz w:val="14"/>
                <w:szCs w:val="14"/>
                <w:color w:val="0000FF"/>
              </w:rPr>
            </w:pPr>
            <w:hyperlink r:id="rId347">
              <w:r>
                <w:rPr>
                  <w:rFonts w:ascii="Arial" w:cs="Arial" w:eastAsia="Arial" w:hAnsi="Arial"/>
                  <w:sz w:val="14"/>
                  <w:szCs w:val="14"/>
                  <w:color w:val="0000FF"/>
                </w:rPr>
                <w:t>Barclays Capital Inc.</w:t>
              </w:r>
            </w:hyperlink>
          </w:p>
        </w:tc>
        <w:tc>
          <w:tcPr>
            <w:tcW w:w="0" w:type="dxa"/>
            <w:vAlign w:val="bottom"/>
          </w:tcPr>
          <w:p>
            <w:pPr>
              <w:spacing w:after="0"/>
              <w:rPr>
                <w:sz w:val="1"/>
                <w:szCs w:val="1"/>
                <w:color w:val="auto"/>
              </w:rPr>
            </w:pPr>
          </w:p>
        </w:tc>
      </w:tr>
      <w:tr>
        <w:trPr>
          <w:trHeight w:val="79"/>
        </w:trPr>
        <w:tc>
          <w:tcPr>
            <w:tcW w:w="600" w:type="dxa"/>
            <w:vAlign w:val="bottom"/>
          </w:tcPr>
          <w:p>
            <w:pPr>
              <w:spacing w:after="0"/>
              <w:rPr>
                <w:sz w:val="6"/>
                <w:szCs w:val="6"/>
                <w:color w:val="auto"/>
              </w:rPr>
            </w:pPr>
          </w:p>
        </w:tc>
        <w:tc>
          <w:tcPr>
            <w:tcW w:w="5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4"/>
        </w:trPr>
        <w:tc>
          <w:tcPr>
            <w:tcW w:w="600" w:type="dxa"/>
            <w:vAlign w:val="bottom"/>
          </w:tcPr>
          <w:p>
            <w:pPr>
              <w:jc w:val="center"/>
              <w:ind w:right="131"/>
              <w:spacing w:after="0"/>
              <w:rPr>
                <w:rFonts w:ascii="Arial" w:cs="Arial" w:eastAsia="Arial" w:hAnsi="Arial"/>
                <w:sz w:val="14"/>
                <w:szCs w:val="14"/>
                <w:color w:val="0000FF"/>
              </w:rPr>
            </w:pPr>
            <w:hyperlink r:id="rId348">
              <w:r>
                <w:rPr>
                  <w:rFonts w:ascii="Arial" w:cs="Arial" w:eastAsia="Arial" w:hAnsi="Arial"/>
                  <w:sz w:val="14"/>
                  <w:szCs w:val="14"/>
                  <w:color w:val="0000FF"/>
                </w:rPr>
                <w:t>10.34</w:t>
              </w:r>
            </w:hyperlink>
          </w:p>
        </w:tc>
        <w:tc>
          <w:tcPr>
            <w:tcW w:w="5060" w:type="dxa"/>
            <w:vAlign w:val="bottom"/>
          </w:tcPr>
          <w:p>
            <w:pPr>
              <w:ind w:left="220"/>
              <w:spacing w:after="0"/>
              <w:rPr>
                <w:rFonts w:ascii="Arial" w:cs="Arial" w:eastAsia="Arial" w:hAnsi="Arial"/>
                <w:sz w:val="14"/>
                <w:szCs w:val="14"/>
                <w:color w:val="0000FF"/>
              </w:rPr>
            </w:pPr>
            <w:hyperlink r:id="rId348">
              <w:r>
                <w:rPr>
                  <w:rFonts w:ascii="Arial" w:cs="Arial" w:eastAsia="Arial" w:hAnsi="Arial"/>
                  <w:sz w:val="14"/>
                  <w:szCs w:val="14"/>
                  <w:color w:val="0000FF"/>
                </w:rPr>
                <w:t>Form of Exchange Agreement for the 2025 Notes.</w:t>
              </w:r>
            </w:hyperlink>
          </w:p>
        </w:tc>
        <w:tc>
          <w:tcPr>
            <w:tcW w:w="0" w:type="dxa"/>
            <w:vAlign w:val="bottom"/>
          </w:tcPr>
          <w:p>
            <w:pPr>
              <w:spacing w:after="0"/>
              <w:rPr>
                <w:sz w:val="1"/>
                <w:szCs w:val="1"/>
                <w:color w:val="auto"/>
              </w:rPr>
            </w:pPr>
          </w:p>
        </w:tc>
      </w:tr>
      <w:tr>
        <w:trPr>
          <w:trHeight w:val="314"/>
        </w:trPr>
        <w:tc>
          <w:tcPr>
            <w:tcW w:w="600" w:type="dxa"/>
            <w:vAlign w:val="bottom"/>
          </w:tcPr>
          <w:p>
            <w:pPr>
              <w:spacing w:after="0"/>
              <w:rPr>
                <w:sz w:val="24"/>
                <w:szCs w:val="24"/>
                <w:color w:val="auto"/>
              </w:rPr>
            </w:pPr>
          </w:p>
        </w:tc>
        <w:tc>
          <w:tcPr>
            <w:tcW w:w="5060" w:type="dxa"/>
            <w:vAlign w:val="bottom"/>
          </w:tcPr>
          <w:p>
            <w:pPr>
              <w:ind w:left="220"/>
              <w:spacing w:after="0"/>
              <w:rPr>
                <w:rFonts w:ascii="Arial" w:cs="Arial" w:eastAsia="Arial" w:hAnsi="Arial"/>
                <w:sz w:val="14"/>
                <w:szCs w:val="14"/>
                <w:color w:val="0000FF"/>
              </w:rPr>
            </w:pPr>
            <w:hyperlink r:id="rId349">
              <w:r>
                <w:rPr>
                  <w:rFonts w:ascii="Arial" w:cs="Arial" w:eastAsia="Arial" w:hAnsi="Arial"/>
                  <w:sz w:val="14"/>
                  <w:szCs w:val="14"/>
                  <w:color w:val="0000FF"/>
                </w:rPr>
                <w:t>Partial Unwind Agreements for Base Call Option Confirmations dated May 30,</w:t>
              </w:r>
            </w:hyperlink>
          </w:p>
        </w:tc>
        <w:tc>
          <w:tcPr>
            <w:tcW w:w="0" w:type="dxa"/>
            <w:vAlign w:val="bottom"/>
          </w:tcPr>
          <w:p>
            <w:pPr>
              <w:spacing w:after="0"/>
              <w:rPr>
                <w:sz w:val="1"/>
                <w:szCs w:val="1"/>
                <w:color w:val="auto"/>
              </w:rPr>
            </w:pPr>
          </w:p>
        </w:tc>
      </w:tr>
      <w:tr>
        <w:trPr>
          <w:trHeight w:val="170"/>
        </w:trPr>
        <w:tc>
          <w:tcPr>
            <w:tcW w:w="600" w:type="dxa"/>
            <w:vAlign w:val="bottom"/>
            <w:vMerge w:val="restart"/>
          </w:tcPr>
          <w:p>
            <w:pPr>
              <w:jc w:val="center"/>
              <w:ind w:right="131"/>
              <w:spacing w:after="0"/>
              <w:rPr>
                <w:rFonts w:ascii="Arial" w:cs="Arial" w:eastAsia="Arial" w:hAnsi="Arial"/>
                <w:sz w:val="14"/>
                <w:szCs w:val="14"/>
                <w:color w:val="0000FF"/>
              </w:rPr>
            </w:pPr>
            <w:hyperlink r:id="rId349">
              <w:r>
                <w:rPr>
                  <w:rFonts w:ascii="Arial" w:cs="Arial" w:eastAsia="Arial" w:hAnsi="Arial"/>
                  <w:sz w:val="14"/>
                  <w:szCs w:val="14"/>
                  <w:color w:val="0000FF"/>
                </w:rPr>
                <w:t>10.35</w:t>
              </w:r>
            </w:hyperlink>
          </w:p>
        </w:tc>
        <w:tc>
          <w:tcPr>
            <w:tcW w:w="5060" w:type="dxa"/>
            <w:vAlign w:val="bottom"/>
          </w:tcPr>
          <w:p>
            <w:pPr>
              <w:ind w:left="220"/>
              <w:spacing w:after="0"/>
              <w:rPr>
                <w:rFonts w:ascii="Arial" w:cs="Arial" w:eastAsia="Arial" w:hAnsi="Arial"/>
                <w:sz w:val="14"/>
                <w:szCs w:val="14"/>
                <w:color w:val="0000FF"/>
              </w:rPr>
            </w:pPr>
            <w:hyperlink r:id="rId349">
              <w:r>
                <w:rPr>
                  <w:rFonts w:ascii="Arial" w:cs="Arial" w:eastAsia="Arial" w:hAnsi="Arial"/>
                  <w:sz w:val="14"/>
                  <w:szCs w:val="14"/>
                  <w:color w:val="0000FF"/>
                </w:rPr>
                <w:t>2019 and Additional Call Option Confirmations dated June 4, 2019, made as</w:t>
              </w:r>
            </w:hyperlink>
          </w:p>
        </w:tc>
        <w:tc>
          <w:tcPr>
            <w:tcW w:w="0" w:type="dxa"/>
            <w:vAlign w:val="bottom"/>
          </w:tcPr>
          <w:p>
            <w:pPr>
              <w:spacing w:after="0"/>
              <w:rPr>
                <w:sz w:val="1"/>
                <w:szCs w:val="1"/>
                <w:color w:val="auto"/>
              </w:rPr>
            </w:pPr>
          </w:p>
        </w:tc>
      </w:tr>
      <w:tr>
        <w:trPr>
          <w:trHeight w:val="93"/>
        </w:trPr>
        <w:tc>
          <w:tcPr>
            <w:tcW w:w="600" w:type="dxa"/>
            <w:vAlign w:val="bottom"/>
            <w:vMerge w:val="continue"/>
          </w:tcPr>
          <w:p>
            <w:pPr>
              <w:spacing w:after="0"/>
              <w:rPr>
                <w:sz w:val="8"/>
                <w:szCs w:val="8"/>
                <w:color w:val="auto"/>
              </w:rPr>
            </w:pPr>
          </w:p>
        </w:tc>
        <w:tc>
          <w:tcPr>
            <w:tcW w:w="5060" w:type="dxa"/>
            <w:vAlign w:val="bottom"/>
            <w:vMerge w:val="restart"/>
          </w:tcPr>
          <w:p>
            <w:pPr>
              <w:ind w:left="220"/>
              <w:spacing w:after="0" w:line="157" w:lineRule="exact"/>
              <w:rPr>
                <w:rFonts w:ascii="Arial" w:cs="Arial" w:eastAsia="Arial" w:hAnsi="Arial"/>
                <w:sz w:val="14"/>
                <w:szCs w:val="14"/>
                <w:color w:val="0000FF"/>
                <w:w w:val="98"/>
              </w:rPr>
            </w:pPr>
            <w:hyperlink r:id="rId349">
              <w:r>
                <w:rPr>
                  <w:rFonts w:ascii="Arial" w:cs="Arial" w:eastAsia="Arial" w:hAnsi="Arial"/>
                  <w:sz w:val="14"/>
                  <w:szCs w:val="14"/>
                  <w:color w:val="0000FF"/>
                  <w:w w:val="98"/>
                </w:rPr>
                <w:t>of February 24, 2021, between Enphase Energy, Inc. and Barclays Capital Inc.</w:t>
              </w:r>
            </w:hyperlink>
          </w:p>
        </w:tc>
        <w:tc>
          <w:tcPr>
            <w:tcW w:w="0" w:type="dxa"/>
            <w:vAlign w:val="bottom"/>
          </w:tcPr>
          <w:p>
            <w:pPr>
              <w:spacing w:after="0"/>
              <w:rPr>
                <w:sz w:val="1"/>
                <w:szCs w:val="1"/>
                <w:color w:val="auto"/>
              </w:rPr>
            </w:pPr>
          </w:p>
        </w:tc>
      </w:tr>
      <w:tr>
        <w:trPr>
          <w:trHeight w:val="65"/>
        </w:trPr>
        <w:tc>
          <w:tcPr>
            <w:tcW w:w="600" w:type="dxa"/>
            <w:vAlign w:val="bottom"/>
          </w:tcPr>
          <w:p>
            <w:pPr>
              <w:spacing w:after="0"/>
              <w:rPr>
                <w:sz w:val="5"/>
                <w:szCs w:val="5"/>
                <w:color w:val="auto"/>
              </w:rPr>
            </w:pPr>
          </w:p>
        </w:tc>
        <w:tc>
          <w:tcPr>
            <w:tcW w:w="5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60" w:type="dxa"/>
            <w:vAlign w:val="bottom"/>
          </w:tcPr>
          <w:p>
            <w:pPr>
              <w:ind w:left="220"/>
              <w:spacing w:after="0"/>
              <w:rPr>
                <w:rFonts w:ascii="Arial" w:cs="Arial" w:eastAsia="Arial" w:hAnsi="Arial"/>
                <w:sz w:val="14"/>
                <w:szCs w:val="14"/>
                <w:color w:val="0000FF"/>
              </w:rPr>
            </w:pPr>
            <w:hyperlink r:id="rId349">
              <w:r>
                <w:rPr>
                  <w:rFonts w:ascii="Arial" w:cs="Arial" w:eastAsia="Arial" w:hAnsi="Arial"/>
                  <w:sz w:val="14"/>
                  <w:szCs w:val="14"/>
                  <w:color w:val="0000FF"/>
                </w:rPr>
                <w:t>and between Enphase Energy, Inc. and Credit Suisse Capital LLC.</w:t>
              </w:r>
            </w:hyperlink>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5060" w:type="dxa"/>
            <w:vAlign w:val="bottom"/>
          </w:tcPr>
          <w:p>
            <w:pPr>
              <w:ind w:left="220"/>
              <w:spacing w:after="0"/>
              <w:rPr>
                <w:rFonts w:ascii="Arial" w:cs="Arial" w:eastAsia="Arial" w:hAnsi="Arial"/>
                <w:sz w:val="14"/>
                <w:szCs w:val="14"/>
                <w:color w:val="0000FF"/>
              </w:rPr>
            </w:pPr>
            <w:hyperlink r:id="rId350">
              <w:r>
                <w:rPr>
                  <w:rFonts w:ascii="Arial" w:cs="Arial" w:eastAsia="Arial" w:hAnsi="Arial"/>
                  <w:sz w:val="14"/>
                  <w:szCs w:val="14"/>
                  <w:color w:val="0000FF"/>
                </w:rPr>
                <w:t>Partial Unwind Agreements for Base Warrants Confirmations dated May 30,</w:t>
              </w:r>
            </w:hyperlink>
          </w:p>
        </w:tc>
        <w:tc>
          <w:tcPr>
            <w:tcW w:w="0" w:type="dxa"/>
            <w:vAlign w:val="bottom"/>
          </w:tcPr>
          <w:p>
            <w:pPr>
              <w:spacing w:after="0"/>
              <w:rPr>
                <w:sz w:val="1"/>
                <w:szCs w:val="1"/>
                <w:color w:val="auto"/>
              </w:rPr>
            </w:pPr>
          </w:p>
        </w:tc>
      </w:tr>
      <w:tr>
        <w:trPr>
          <w:trHeight w:val="170"/>
        </w:trPr>
        <w:tc>
          <w:tcPr>
            <w:tcW w:w="600" w:type="dxa"/>
            <w:vAlign w:val="bottom"/>
            <w:vMerge w:val="restart"/>
          </w:tcPr>
          <w:p>
            <w:pPr>
              <w:jc w:val="center"/>
              <w:ind w:right="131"/>
              <w:spacing w:after="0"/>
              <w:rPr>
                <w:rFonts w:ascii="Arial" w:cs="Arial" w:eastAsia="Arial" w:hAnsi="Arial"/>
                <w:sz w:val="14"/>
                <w:szCs w:val="14"/>
                <w:color w:val="0000FF"/>
              </w:rPr>
            </w:pPr>
            <w:hyperlink r:id="rId350">
              <w:r>
                <w:rPr>
                  <w:rFonts w:ascii="Arial" w:cs="Arial" w:eastAsia="Arial" w:hAnsi="Arial"/>
                  <w:sz w:val="14"/>
                  <w:szCs w:val="14"/>
                  <w:color w:val="0000FF"/>
                </w:rPr>
                <w:t>10.36</w:t>
              </w:r>
            </w:hyperlink>
          </w:p>
        </w:tc>
        <w:tc>
          <w:tcPr>
            <w:tcW w:w="5060" w:type="dxa"/>
            <w:vAlign w:val="bottom"/>
          </w:tcPr>
          <w:p>
            <w:pPr>
              <w:ind w:left="220"/>
              <w:spacing w:after="0"/>
              <w:rPr>
                <w:rFonts w:ascii="Arial" w:cs="Arial" w:eastAsia="Arial" w:hAnsi="Arial"/>
                <w:sz w:val="14"/>
                <w:szCs w:val="14"/>
                <w:color w:val="0000FF"/>
              </w:rPr>
            </w:pPr>
            <w:hyperlink r:id="rId350">
              <w:r>
                <w:rPr>
                  <w:rFonts w:ascii="Arial" w:cs="Arial" w:eastAsia="Arial" w:hAnsi="Arial"/>
                  <w:sz w:val="14"/>
                  <w:szCs w:val="14"/>
                  <w:color w:val="0000FF"/>
                </w:rPr>
                <w:t>2019 and Additional Warrants Confirmations dated June 4, 2019, made as of</w:t>
              </w:r>
            </w:hyperlink>
          </w:p>
        </w:tc>
        <w:tc>
          <w:tcPr>
            <w:tcW w:w="0" w:type="dxa"/>
            <w:vAlign w:val="bottom"/>
          </w:tcPr>
          <w:p>
            <w:pPr>
              <w:spacing w:after="0"/>
              <w:rPr>
                <w:sz w:val="1"/>
                <w:szCs w:val="1"/>
                <w:color w:val="auto"/>
              </w:rPr>
            </w:pPr>
          </w:p>
        </w:tc>
      </w:tr>
      <w:tr>
        <w:trPr>
          <w:trHeight w:val="93"/>
        </w:trPr>
        <w:tc>
          <w:tcPr>
            <w:tcW w:w="600" w:type="dxa"/>
            <w:vAlign w:val="bottom"/>
            <w:vMerge w:val="continue"/>
          </w:tcPr>
          <w:p>
            <w:pPr>
              <w:spacing w:after="0"/>
              <w:rPr>
                <w:sz w:val="8"/>
                <w:szCs w:val="8"/>
                <w:color w:val="auto"/>
              </w:rPr>
            </w:pPr>
          </w:p>
        </w:tc>
        <w:tc>
          <w:tcPr>
            <w:tcW w:w="5060" w:type="dxa"/>
            <w:vAlign w:val="bottom"/>
            <w:vMerge w:val="restart"/>
          </w:tcPr>
          <w:p>
            <w:pPr>
              <w:ind w:left="220"/>
              <w:spacing w:after="0" w:line="157" w:lineRule="exact"/>
              <w:rPr>
                <w:rFonts w:ascii="Arial" w:cs="Arial" w:eastAsia="Arial" w:hAnsi="Arial"/>
                <w:sz w:val="14"/>
                <w:szCs w:val="14"/>
                <w:color w:val="0000FF"/>
              </w:rPr>
            </w:pPr>
            <w:hyperlink r:id="rId350">
              <w:r>
                <w:rPr>
                  <w:rFonts w:ascii="Arial" w:cs="Arial" w:eastAsia="Arial" w:hAnsi="Arial"/>
                  <w:sz w:val="14"/>
                  <w:szCs w:val="14"/>
                  <w:color w:val="0000FF"/>
                </w:rPr>
                <w:t>February 24, 2021, between Enphase Energy, Inc. and Barclays Capital Inc.</w:t>
              </w:r>
            </w:hyperlink>
          </w:p>
        </w:tc>
        <w:tc>
          <w:tcPr>
            <w:tcW w:w="0" w:type="dxa"/>
            <w:vAlign w:val="bottom"/>
          </w:tcPr>
          <w:p>
            <w:pPr>
              <w:spacing w:after="0"/>
              <w:rPr>
                <w:sz w:val="1"/>
                <w:szCs w:val="1"/>
                <w:color w:val="auto"/>
              </w:rPr>
            </w:pPr>
          </w:p>
        </w:tc>
      </w:tr>
      <w:tr>
        <w:trPr>
          <w:trHeight w:val="65"/>
        </w:trPr>
        <w:tc>
          <w:tcPr>
            <w:tcW w:w="600" w:type="dxa"/>
            <w:vAlign w:val="bottom"/>
          </w:tcPr>
          <w:p>
            <w:pPr>
              <w:spacing w:after="0"/>
              <w:rPr>
                <w:sz w:val="5"/>
                <w:szCs w:val="5"/>
                <w:color w:val="auto"/>
              </w:rPr>
            </w:pPr>
          </w:p>
        </w:tc>
        <w:tc>
          <w:tcPr>
            <w:tcW w:w="5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60" w:type="dxa"/>
            <w:vAlign w:val="bottom"/>
          </w:tcPr>
          <w:p>
            <w:pPr>
              <w:ind w:left="220"/>
              <w:spacing w:after="0"/>
              <w:rPr>
                <w:rFonts w:ascii="Arial" w:cs="Arial" w:eastAsia="Arial" w:hAnsi="Arial"/>
                <w:sz w:val="14"/>
                <w:szCs w:val="14"/>
                <w:color w:val="0000FF"/>
              </w:rPr>
            </w:pPr>
            <w:hyperlink r:id="rId350">
              <w:r>
                <w:rPr>
                  <w:rFonts w:ascii="Arial" w:cs="Arial" w:eastAsia="Arial" w:hAnsi="Arial"/>
                  <w:sz w:val="14"/>
                  <w:szCs w:val="14"/>
                  <w:color w:val="0000FF"/>
                </w:rPr>
                <w:t>and between Enphase Energy, Inc. and Credit Suisse Capital LLC.</w:t>
              </w:r>
            </w:hyperlink>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5060" w:type="dxa"/>
            <w:vAlign w:val="bottom"/>
          </w:tcPr>
          <w:p>
            <w:pPr>
              <w:ind w:left="220"/>
              <w:spacing w:after="0"/>
              <w:rPr>
                <w:rFonts w:ascii="Arial" w:cs="Arial" w:eastAsia="Arial" w:hAnsi="Arial"/>
                <w:sz w:val="14"/>
                <w:szCs w:val="14"/>
                <w:color w:val="0000FF"/>
                <w:w w:val="99"/>
              </w:rPr>
            </w:pPr>
            <w:hyperlink r:id="rId351">
              <w:r>
                <w:rPr>
                  <w:rFonts w:ascii="Arial" w:cs="Arial" w:eastAsia="Arial" w:hAnsi="Arial"/>
                  <w:sz w:val="14"/>
                  <w:szCs w:val="14"/>
                  <w:color w:val="0000FF"/>
                  <w:w w:val="99"/>
                </w:rPr>
                <w:t>Partial Unwind Agreements for Base Call Option Confirmations dated March 4,</w:t>
              </w:r>
            </w:hyperlink>
          </w:p>
        </w:tc>
        <w:tc>
          <w:tcPr>
            <w:tcW w:w="0" w:type="dxa"/>
            <w:vAlign w:val="bottom"/>
          </w:tcPr>
          <w:p>
            <w:pPr>
              <w:spacing w:after="0"/>
              <w:rPr>
                <w:sz w:val="1"/>
                <w:szCs w:val="1"/>
                <w:color w:val="auto"/>
              </w:rPr>
            </w:pPr>
          </w:p>
        </w:tc>
      </w:tr>
      <w:tr>
        <w:trPr>
          <w:trHeight w:val="170"/>
        </w:trPr>
        <w:tc>
          <w:tcPr>
            <w:tcW w:w="600" w:type="dxa"/>
            <w:vAlign w:val="bottom"/>
            <w:vMerge w:val="restart"/>
          </w:tcPr>
          <w:p>
            <w:pPr>
              <w:jc w:val="center"/>
              <w:ind w:right="131"/>
              <w:spacing w:after="0"/>
              <w:rPr>
                <w:rFonts w:ascii="Arial" w:cs="Arial" w:eastAsia="Arial" w:hAnsi="Arial"/>
                <w:sz w:val="14"/>
                <w:szCs w:val="14"/>
                <w:color w:val="0000FF"/>
              </w:rPr>
            </w:pPr>
            <w:hyperlink r:id="rId351">
              <w:r>
                <w:rPr>
                  <w:rFonts w:ascii="Arial" w:cs="Arial" w:eastAsia="Arial" w:hAnsi="Arial"/>
                  <w:sz w:val="14"/>
                  <w:szCs w:val="14"/>
                  <w:color w:val="0000FF"/>
                </w:rPr>
                <w:t>10.37</w:t>
              </w:r>
            </w:hyperlink>
          </w:p>
        </w:tc>
        <w:tc>
          <w:tcPr>
            <w:tcW w:w="5060" w:type="dxa"/>
            <w:vAlign w:val="bottom"/>
          </w:tcPr>
          <w:p>
            <w:pPr>
              <w:ind w:left="220"/>
              <w:spacing w:after="0"/>
              <w:rPr>
                <w:rFonts w:ascii="Arial" w:cs="Arial" w:eastAsia="Arial" w:hAnsi="Arial"/>
                <w:sz w:val="14"/>
                <w:szCs w:val="14"/>
                <w:color w:val="0000FF"/>
              </w:rPr>
            </w:pPr>
            <w:hyperlink r:id="rId351">
              <w:r>
                <w:rPr>
                  <w:rFonts w:ascii="Arial" w:cs="Arial" w:eastAsia="Arial" w:hAnsi="Arial"/>
                  <w:sz w:val="14"/>
                  <w:szCs w:val="14"/>
                  <w:color w:val="0000FF"/>
                </w:rPr>
                <w:t>2020, made as of February 24, 2021, between Enphase Energy, Inc. and</w:t>
              </w:r>
            </w:hyperlink>
          </w:p>
        </w:tc>
        <w:tc>
          <w:tcPr>
            <w:tcW w:w="0" w:type="dxa"/>
            <w:vAlign w:val="bottom"/>
          </w:tcPr>
          <w:p>
            <w:pPr>
              <w:spacing w:after="0"/>
              <w:rPr>
                <w:sz w:val="1"/>
                <w:szCs w:val="1"/>
                <w:color w:val="auto"/>
              </w:rPr>
            </w:pPr>
          </w:p>
        </w:tc>
      </w:tr>
      <w:tr>
        <w:trPr>
          <w:trHeight w:val="157"/>
        </w:trPr>
        <w:tc>
          <w:tcPr>
            <w:tcW w:w="600" w:type="dxa"/>
            <w:vAlign w:val="bottom"/>
            <w:vMerge w:val="continue"/>
          </w:tcPr>
          <w:p>
            <w:pPr>
              <w:spacing w:after="0"/>
              <w:rPr>
                <w:sz w:val="13"/>
                <w:szCs w:val="13"/>
                <w:color w:val="auto"/>
              </w:rPr>
            </w:pPr>
          </w:p>
        </w:tc>
        <w:tc>
          <w:tcPr>
            <w:tcW w:w="5060" w:type="dxa"/>
            <w:vAlign w:val="bottom"/>
          </w:tcPr>
          <w:p>
            <w:pPr>
              <w:ind w:left="220"/>
              <w:spacing w:after="0" w:line="157" w:lineRule="exact"/>
              <w:rPr>
                <w:rFonts w:ascii="Arial" w:cs="Arial" w:eastAsia="Arial" w:hAnsi="Arial"/>
                <w:sz w:val="14"/>
                <w:szCs w:val="14"/>
                <w:color w:val="0000FF"/>
              </w:rPr>
            </w:pPr>
            <w:hyperlink r:id="rId351">
              <w:r>
                <w:rPr>
                  <w:rFonts w:ascii="Arial" w:cs="Arial" w:eastAsia="Arial" w:hAnsi="Arial"/>
                  <w:sz w:val="14"/>
                  <w:szCs w:val="14"/>
                  <w:color w:val="0000FF"/>
                </w:rPr>
                <w:t>Barclays Capital Inc., between Enphase Energy, Inc. and Credit Suisse</w:t>
              </w:r>
            </w:hyperlink>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5060" w:type="dxa"/>
            <w:vAlign w:val="bottom"/>
          </w:tcPr>
          <w:p>
            <w:pPr>
              <w:ind w:left="220"/>
              <w:spacing w:after="0"/>
              <w:rPr>
                <w:rFonts w:ascii="Arial" w:cs="Arial" w:eastAsia="Arial" w:hAnsi="Arial"/>
                <w:sz w:val="14"/>
                <w:szCs w:val="14"/>
                <w:color w:val="0000FF"/>
              </w:rPr>
            </w:pPr>
            <w:hyperlink r:id="rId351">
              <w:r>
                <w:rPr>
                  <w:rFonts w:ascii="Arial" w:cs="Arial" w:eastAsia="Arial" w:hAnsi="Arial"/>
                  <w:sz w:val="14"/>
                  <w:szCs w:val="14"/>
                  <w:color w:val="0000FF"/>
                </w:rPr>
                <w:t>Capital LLC, and between Enphase Energy, Inc. and Goldman Sachs &amp; Co.</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60" w:type="dxa"/>
            <w:vAlign w:val="bottom"/>
          </w:tcPr>
          <w:p>
            <w:pPr>
              <w:ind w:left="220"/>
              <w:spacing w:after="0"/>
              <w:rPr>
                <w:rFonts w:ascii="Arial" w:cs="Arial" w:eastAsia="Arial" w:hAnsi="Arial"/>
                <w:sz w:val="14"/>
                <w:szCs w:val="14"/>
                <w:color w:val="0000FF"/>
              </w:rPr>
            </w:pPr>
            <w:hyperlink r:id="rId351">
              <w:r>
                <w:rPr>
                  <w:rFonts w:ascii="Arial" w:cs="Arial" w:eastAsia="Arial" w:hAnsi="Arial"/>
                  <w:sz w:val="14"/>
                  <w:szCs w:val="14"/>
                  <w:color w:val="0000FF"/>
                </w:rPr>
                <w:t>LLC.</w:t>
              </w:r>
            </w:hyperlink>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5060" w:type="dxa"/>
            <w:vAlign w:val="bottom"/>
          </w:tcPr>
          <w:p>
            <w:pPr>
              <w:ind w:left="220"/>
              <w:spacing w:after="0"/>
              <w:rPr>
                <w:rFonts w:ascii="Arial" w:cs="Arial" w:eastAsia="Arial" w:hAnsi="Arial"/>
                <w:sz w:val="14"/>
                <w:szCs w:val="14"/>
                <w:color w:val="0000FF"/>
              </w:rPr>
            </w:pPr>
            <w:hyperlink r:id="rId352">
              <w:r>
                <w:rPr>
                  <w:rFonts w:ascii="Arial" w:cs="Arial" w:eastAsia="Arial" w:hAnsi="Arial"/>
                  <w:sz w:val="14"/>
                  <w:szCs w:val="14"/>
                  <w:color w:val="0000FF"/>
                </w:rPr>
                <w:t>Partial Unwind Agreements for Base Warrants Confirmations dated March 4,</w:t>
              </w:r>
            </w:hyperlink>
          </w:p>
        </w:tc>
        <w:tc>
          <w:tcPr>
            <w:tcW w:w="0" w:type="dxa"/>
            <w:vAlign w:val="bottom"/>
          </w:tcPr>
          <w:p>
            <w:pPr>
              <w:spacing w:after="0"/>
              <w:rPr>
                <w:sz w:val="1"/>
                <w:szCs w:val="1"/>
                <w:color w:val="auto"/>
              </w:rPr>
            </w:pPr>
          </w:p>
        </w:tc>
      </w:tr>
      <w:tr>
        <w:trPr>
          <w:trHeight w:val="170"/>
        </w:trPr>
        <w:tc>
          <w:tcPr>
            <w:tcW w:w="600" w:type="dxa"/>
            <w:vAlign w:val="bottom"/>
            <w:vMerge w:val="restart"/>
          </w:tcPr>
          <w:p>
            <w:pPr>
              <w:jc w:val="center"/>
              <w:ind w:right="131"/>
              <w:spacing w:after="0"/>
              <w:rPr>
                <w:rFonts w:ascii="Arial" w:cs="Arial" w:eastAsia="Arial" w:hAnsi="Arial"/>
                <w:sz w:val="14"/>
                <w:szCs w:val="14"/>
                <w:color w:val="0000FF"/>
              </w:rPr>
            </w:pPr>
            <w:hyperlink r:id="rId352">
              <w:r>
                <w:rPr>
                  <w:rFonts w:ascii="Arial" w:cs="Arial" w:eastAsia="Arial" w:hAnsi="Arial"/>
                  <w:sz w:val="14"/>
                  <w:szCs w:val="14"/>
                  <w:color w:val="0000FF"/>
                </w:rPr>
                <w:t>10.38</w:t>
              </w:r>
            </w:hyperlink>
          </w:p>
        </w:tc>
        <w:tc>
          <w:tcPr>
            <w:tcW w:w="5060" w:type="dxa"/>
            <w:vAlign w:val="bottom"/>
          </w:tcPr>
          <w:p>
            <w:pPr>
              <w:ind w:left="220"/>
              <w:spacing w:after="0"/>
              <w:rPr>
                <w:rFonts w:ascii="Arial" w:cs="Arial" w:eastAsia="Arial" w:hAnsi="Arial"/>
                <w:sz w:val="14"/>
                <w:szCs w:val="14"/>
                <w:color w:val="0000FF"/>
              </w:rPr>
            </w:pPr>
            <w:hyperlink r:id="rId352">
              <w:r>
                <w:rPr>
                  <w:rFonts w:ascii="Arial" w:cs="Arial" w:eastAsia="Arial" w:hAnsi="Arial"/>
                  <w:sz w:val="14"/>
                  <w:szCs w:val="14"/>
                  <w:color w:val="0000FF"/>
                </w:rPr>
                <w:t>2020, made as of February 24, 2021, between Enphase Energy, Inc. and</w:t>
              </w:r>
            </w:hyperlink>
          </w:p>
        </w:tc>
        <w:tc>
          <w:tcPr>
            <w:tcW w:w="0" w:type="dxa"/>
            <w:vAlign w:val="bottom"/>
          </w:tcPr>
          <w:p>
            <w:pPr>
              <w:spacing w:after="0"/>
              <w:rPr>
                <w:sz w:val="1"/>
                <w:szCs w:val="1"/>
                <w:color w:val="auto"/>
              </w:rPr>
            </w:pPr>
          </w:p>
        </w:tc>
      </w:tr>
      <w:tr>
        <w:trPr>
          <w:trHeight w:val="157"/>
        </w:trPr>
        <w:tc>
          <w:tcPr>
            <w:tcW w:w="600" w:type="dxa"/>
            <w:vAlign w:val="bottom"/>
            <w:vMerge w:val="continue"/>
          </w:tcPr>
          <w:p>
            <w:pPr>
              <w:spacing w:after="0"/>
              <w:rPr>
                <w:sz w:val="13"/>
                <w:szCs w:val="13"/>
                <w:color w:val="auto"/>
              </w:rPr>
            </w:pPr>
          </w:p>
        </w:tc>
        <w:tc>
          <w:tcPr>
            <w:tcW w:w="5060" w:type="dxa"/>
            <w:vAlign w:val="bottom"/>
          </w:tcPr>
          <w:p>
            <w:pPr>
              <w:ind w:left="220"/>
              <w:spacing w:after="0" w:line="157" w:lineRule="exact"/>
              <w:rPr>
                <w:rFonts w:ascii="Arial" w:cs="Arial" w:eastAsia="Arial" w:hAnsi="Arial"/>
                <w:sz w:val="14"/>
                <w:szCs w:val="14"/>
                <w:color w:val="0000FF"/>
              </w:rPr>
            </w:pPr>
            <w:hyperlink r:id="rId352">
              <w:r>
                <w:rPr>
                  <w:rFonts w:ascii="Arial" w:cs="Arial" w:eastAsia="Arial" w:hAnsi="Arial"/>
                  <w:sz w:val="14"/>
                  <w:szCs w:val="14"/>
                  <w:color w:val="0000FF"/>
                </w:rPr>
                <w:t>Barclays Capital Inc., between Enphase Energy, Inc. and Credit Suisse</w:t>
              </w:r>
            </w:hyperlink>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5060" w:type="dxa"/>
            <w:vAlign w:val="bottom"/>
          </w:tcPr>
          <w:p>
            <w:pPr>
              <w:ind w:left="220"/>
              <w:spacing w:after="0"/>
              <w:rPr>
                <w:rFonts w:ascii="Arial" w:cs="Arial" w:eastAsia="Arial" w:hAnsi="Arial"/>
                <w:sz w:val="14"/>
                <w:szCs w:val="14"/>
                <w:color w:val="0000FF"/>
              </w:rPr>
            </w:pPr>
            <w:hyperlink r:id="rId352">
              <w:r>
                <w:rPr>
                  <w:rFonts w:ascii="Arial" w:cs="Arial" w:eastAsia="Arial" w:hAnsi="Arial"/>
                  <w:sz w:val="14"/>
                  <w:szCs w:val="14"/>
                  <w:color w:val="0000FF"/>
                </w:rPr>
                <w:t>Capital LLC, and between Enphase Energy, Inc. and Goldman Sachs &amp; Co.</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60" w:type="dxa"/>
            <w:vAlign w:val="bottom"/>
          </w:tcPr>
          <w:p>
            <w:pPr>
              <w:ind w:left="220"/>
              <w:spacing w:after="0"/>
              <w:rPr>
                <w:rFonts w:ascii="Arial" w:cs="Arial" w:eastAsia="Arial" w:hAnsi="Arial"/>
                <w:sz w:val="14"/>
                <w:szCs w:val="14"/>
                <w:color w:val="0000FF"/>
              </w:rPr>
            </w:pPr>
            <w:hyperlink r:id="rId352">
              <w:r>
                <w:rPr>
                  <w:rFonts w:ascii="Arial" w:cs="Arial" w:eastAsia="Arial" w:hAnsi="Arial"/>
                  <w:sz w:val="14"/>
                  <w:szCs w:val="14"/>
                  <w:color w:val="0000FF"/>
                </w:rPr>
                <w:t>LLC.</w:t>
              </w:r>
            </w:hyperlink>
          </w:p>
        </w:tc>
        <w:tc>
          <w:tcPr>
            <w:tcW w:w="0" w:type="dxa"/>
            <w:vAlign w:val="bottom"/>
          </w:tcPr>
          <w:p>
            <w:pPr>
              <w:spacing w:after="0"/>
              <w:rPr>
                <w:sz w:val="1"/>
                <w:szCs w:val="1"/>
                <w:color w:val="auto"/>
              </w:rPr>
            </w:pPr>
          </w:p>
        </w:tc>
      </w:tr>
      <w:tr>
        <w:trPr>
          <w:trHeight w:val="209"/>
        </w:trPr>
        <w:tc>
          <w:tcPr>
            <w:tcW w:w="600" w:type="dxa"/>
            <w:vAlign w:val="bottom"/>
            <w:vMerge w:val="restart"/>
          </w:tcPr>
          <w:p>
            <w:pPr>
              <w:jc w:val="center"/>
              <w:ind w:right="131"/>
              <w:spacing w:after="0"/>
              <w:rPr>
                <w:rFonts w:ascii="Arial" w:cs="Arial" w:eastAsia="Arial" w:hAnsi="Arial"/>
                <w:sz w:val="14"/>
                <w:szCs w:val="14"/>
                <w:color w:val="0000FF"/>
              </w:rPr>
            </w:pPr>
            <w:hyperlink r:id="rId352">
              <w:r>
                <w:rPr>
                  <w:rFonts w:ascii="Arial" w:cs="Arial" w:eastAsia="Arial" w:hAnsi="Arial"/>
                  <w:sz w:val="14"/>
                  <w:szCs w:val="14"/>
                  <w:color w:val="0000FF"/>
                </w:rPr>
                <w:t>10.39</w:t>
              </w:r>
            </w:hyperlink>
          </w:p>
        </w:tc>
        <w:tc>
          <w:tcPr>
            <w:tcW w:w="5060" w:type="dxa"/>
            <w:vAlign w:val="bottom"/>
          </w:tcPr>
          <w:p>
            <w:pPr>
              <w:ind w:left="220"/>
              <w:spacing w:after="0"/>
              <w:rPr>
                <w:rFonts w:ascii="Arial" w:cs="Arial" w:eastAsia="Arial" w:hAnsi="Arial"/>
                <w:sz w:val="14"/>
                <w:szCs w:val="14"/>
                <w:color w:val="0000FF"/>
              </w:rPr>
            </w:pPr>
            <w:hyperlink r:id="rId353">
              <w:r>
                <w:rPr>
                  <w:rFonts w:ascii="Arial" w:cs="Arial" w:eastAsia="Arial" w:hAnsi="Arial"/>
                  <w:sz w:val="14"/>
                  <w:szCs w:val="14"/>
                  <w:color w:val="0000FF"/>
                </w:rPr>
                <w:t>Partial Unwind Agreement for Base Call Option Confirmations dated May 30,</w:t>
              </w:r>
            </w:hyperlink>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5060" w:type="dxa"/>
            <w:vAlign w:val="bottom"/>
          </w:tcPr>
          <w:p>
            <w:pPr>
              <w:ind w:left="220"/>
              <w:spacing w:after="0"/>
              <w:rPr>
                <w:rFonts w:ascii="Arial" w:cs="Arial" w:eastAsia="Arial" w:hAnsi="Arial"/>
                <w:sz w:val="14"/>
                <w:szCs w:val="14"/>
                <w:color w:val="0000FF"/>
              </w:rPr>
            </w:pPr>
            <w:hyperlink r:id="rId353">
              <w:r>
                <w:rPr>
                  <w:rFonts w:ascii="Arial" w:cs="Arial" w:eastAsia="Arial" w:hAnsi="Arial"/>
                  <w:sz w:val="14"/>
                  <w:szCs w:val="14"/>
                  <w:color w:val="0000FF"/>
                </w:rPr>
                <w:t>2019 and Additional Warrants Confirmation dated June 4, 2019, made as of</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60" w:type="dxa"/>
            <w:vAlign w:val="bottom"/>
          </w:tcPr>
          <w:p>
            <w:pPr>
              <w:ind w:left="220"/>
              <w:spacing w:after="0"/>
              <w:rPr>
                <w:rFonts w:ascii="Arial" w:cs="Arial" w:eastAsia="Arial" w:hAnsi="Arial"/>
                <w:sz w:val="14"/>
                <w:szCs w:val="14"/>
                <w:color w:val="0000FF"/>
              </w:rPr>
            </w:pPr>
            <w:hyperlink r:id="rId353">
              <w:r>
                <w:rPr>
                  <w:rFonts w:ascii="Arial" w:cs="Arial" w:eastAsia="Arial" w:hAnsi="Arial"/>
                  <w:sz w:val="14"/>
                  <w:szCs w:val="14"/>
                  <w:color w:val="0000FF"/>
                </w:rPr>
                <w:t>March 4, 2021, between Enphase Energy, Inc. and Barclays Bank PLC</w:t>
              </w:r>
              <w:r>
                <w:rPr>
                  <w:rFonts w:ascii="Arial" w:cs="Arial" w:eastAsia="Arial" w:hAnsi="Arial"/>
                  <w:sz w:val="14"/>
                  <w:szCs w:val="14"/>
                  <w:color w:val="000000"/>
                </w:rPr>
                <w:t>.</w:t>
              </w:r>
            </w:hyperlink>
          </w:p>
        </w:tc>
        <w:tc>
          <w:tcPr>
            <w:tcW w:w="0" w:type="dxa"/>
            <w:vAlign w:val="bottom"/>
          </w:tcPr>
          <w:p>
            <w:pPr>
              <w:spacing w:after="0"/>
              <w:rPr>
                <w:sz w:val="1"/>
                <w:szCs w:val="1"/>
                <w:color w:val="auto"/>
              </w:rPr>
            </w:pPr>
          </w:p>
        </w:tc>
      </w:tr>
      <w:tr>
        <w:trPr>
          <w:trHeight w:val="315"/>
        </w:trPr>
        <w:tc>
          <w:tcPr>
            <w:tcW w:w="600" w:type="dxa"/>
            <w:vAlign w:val="bottom"/>
          </w:tcPr>
          <w:p>
            <w:pPr>
              <w:jc w:val="center"/>
              <w:ind w:right="131"/>
              <w:spacing w:after="0"/>
              <w:rPr>
                <w:sz w:val="20"/>
                <w:szCs w:val="20"/>
                <w:color w:val="auto"/>
              </w:rPr>
            </w:pPr>
            <w:r>
              <w:rPr>
                <w:rFonts w:ascii="Arial" w:cs="Arial" w:eastAsia="Arial" w:hAnsi="Arial"/>
                <w:sz w:val="14"/>
                <w:szCs w:val="14"/>
                <w:color w:val="0000FF"/>
                <w:w w:val="95"/>
              </w:rPr>
              <w:t>10.40</w:t>
            </w:r>
            <w:r>
              <w:rPr>
                <w:rFonts w:ascii="Arial" w:cs="Arial" w:eastAsia="Arial" w:hAnsi="Arial"/>
                <w:sz w:val="18"/>
                <w:szCs w:val="18"/>
                <w:color w:val="000000"/>
                <w:w w:val="95"/>
                <w:vertAlign w:val="superscript"/>
              </w:rPr>
              <w:t>+</w:t>
            </w:r>
          </w:p>
        </w:tc>
        <w:tc>
          <w:tcPr>
            <w:tcW w:w="5060" w:type="dxa"/>
            <w:vAlign w:val="bottom"/>
          </w:tcPr>
          <w:p>
            <w:pPr>
              <w:ind w:left="220"/>
              <w:spacing w:after="0"/>
              <w:rPr>
                <w:rFonts w:ascii="Arial" w:cs="Arial" w:eastAsia="Arial" w:hAnsi="Arial"/>
                <w:sz w:val="14"/>
                <w:szCs w:val="14"/>
                <w:color w:val="0000FF"/>
                <w:w w:val="98"/>
              </w:rPr>
            </w:pPr>
            <w:hyperlink r:id="rId354">
              <w:r>
                <w:rPr>
                  <w:rFonts w:ascii="Arial" w:cs="Arial" w:eastAsia="Arial" w:hAnsi="Arial"/>
                  <w:sz w:val="14"/>
                  <w:szCs w:val="14"/>
                  <w:color w:val="0000FF"/>
                  <w:w w:val="98"/>
                </w:rPr>
                <w:t>Offer Letter, dated January 16, 2018, and 2019 Merit Focal Review, dated May</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60" w:type="dxa"/>
            <w:vAlign w:val="bottom"/>
          </w:tcPr>
          <w:p>
            <w:pPr>
              <w:ind w:left="220"/>
              <w:spacing w:after="0"/>
              <w:rPr>
                <w:rFonts w:ascii="Arial" w:cs="Arial" w:eastAsia="Arial" w:hAnsi="Arial"/>
                <w:sz w:val="14"/>
                <w:szCs w:val="14"/>
                <w:color w:val="0000FF"/>
              </w:rPr>
            </w:pPr>
            <w:hyperlink r:id="rId354">
              <w:r>
                <w:rPr>
                  <w:rFonts w:ascii="Arial" w:cs="Arial" w:eastAsia="Arial" w:hAnsi="Arial"/>
                  <w:sz w:val="14"/>
                  <w:szCs w:val="14"/>
                  <w:color w:val="0000FF"/>
                </w:rPr>
                <w:t>10, 2019, to Jeffery McNeil.</w:t>
              </w:r>
            </w:hyperlink>
          </w:p>
        </w:tc>
        <w:tc>
          <w:tcPr>
            <w:tcW w:w="0" w:type="dxa"/>
            <w:vAlign w:val="bottom"/>
          </w:tcPr>
          <w:p>
            <w:pPr>
              <w:spacing w:after="0"/>
              <w:rPr>
                <w:sz w:val="1"/>
                <w:szCs w:val="1"/>
                <w:color w:val="auto"/>
              </w:rPr>
            </w:pPr>
          </w:p>
        </w:tc>
      </w:tr>
      <w:tr>
        <w:trPr>
          <w:trHeight w:val="314"/>
        </w:trPr>
        <w:tc>
          <w:tcPr>
            <w:tcW w:w="600" w:type="dxa"/>
            <w:vAlign w:val="bottom"/>
          </w:tcPr>
          <w:p>
            <w:pPr>
              <w:jc w:val="center"/>
              <w:ind w:right="131"/>
              <w:spacing w:after="0"/>
              <w:rPr>
                <w:sz w:val="20"/>
                <w:szCs w:val="20"/>
                <w:color w:val="auto"/>
              </w:rPr>
            </w:pPr>
            <w:r>
              <w:rPr>
                <w:rFonts w:ascii="Arial" w:cs="Arial" w:eastAsia="Arial" w:hAnsi="Arial"/>
                <w:sz w:val="14"/>
                <w:szCs w:val="14"/>
                <w:color w:val="0000FF"/>
                <w:w w:val="95"/>
              </w:rPr>
              <w:t>10.41</w:t>
            </w:r>
            <w:r>
              <w:rPr>
                <w:rFonts w:ascii="Arial" w:cs="Arial" w:eastAsia="Arial" w:hAnsi="Arial"/>
                <w:sz w:val="18"/>
                <w:szCs w:val="18"/>
                <w:color w:val="000000"/>
                <w:w w:val="95"/>
                <w:vertAlign w:val="superscript"/>
              </w:rPr>
              <w:t>+</w:t>
            </w:r>
          </w:p>
        </w:tc>
        <w:tc>
          <w:tcPr>
            <w:tcW w:w="5060" w:type="dxa"/>
            <w:vAlign w:val="bottom"/>
          </w:tcPr>
          <w:p>
            <w:pPr>
              <w:ind w:left="220"/>
              <w:spacing w:after="0"/>
              <w:rPr>
                <w:rFonts w:ascii="Arial" w:cs="Arial" w:eastAsia="Arial" w:hAnsi="Arial"/>
                <w:sz w:val="14"/>
                <w:szCs w:val="14"/>
                <w:color w:val="0000FF"/>
                <w:w w:val="99"/>
              </w:rPr>
            </w:pPr>
            <w:hyperlink r:id="rId355">
              <w:r>
                <w:rPr>
                  <w:rFonts w:ascii="Arial" w:cs="Arial" w:eastAsia="Arial" w:hAnsi="Arial"/>
                  <w:sz w:val="14"/>
                  <w:szCs w:val="14"/>
                  <w:color w:val="0000FF"/>
                  <w:w w:val="99"/>
                </w:rPr>
                <w:t>Offer Letter, by and between Enphase Energy, Inc. and Mandy Yang, effective</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60" w:type="dxa"/>
            <w:vAlign w:val="bottom"/>
          </w:tcPr>
          <w:p>
            <w:pPr>
              <w:ind w:left="220"/>
              <w:spacing w:after="0"/>
              <w:rPr>
                <w:rFonts w:ascii="Arial" w:cs="Arial" w:eastAsia="Arial" w:hAnsi="Arial"/>
                <w:sz w:val="14"/>
                <w:szCs w:val="14"/>
                <w:color w:val="0000FF"/>
              </w:rPr>
            </w:pPr>
            <w:hyperlink r:id="rId355">
              <w:r>
                <w:rPr>
                  <w:rFonts w:ascii="Arial" w:cs="Arial" w:eastAsia="Arial" w:hAnsi="Arial"/>
                  <w:sz w:val="14"/>
                  <w:szCs w:val="14"/>
                  <w:color w:val="0000FF"/>
                </w:rPr>
                <w:t>February 15, 2022.</w:t>
              </w:r>
            </w:hyperlink>
          </w:p>
        </w:tc>
        <w:tc>
          <w:tcPr>
            <w:tcW w:w="0" w:type="dxa"/>
            <w:vAlign w:val="bottom"/>
          </w:tcPr>
          <w:p>
            <w:pPr>
              <w:spacing w:after="0"/>
              <w:rPr>
                <w:sz w:val="1"/>
                <w:szCs w:val="1"/>
                <w:color w:val="auto"/>
              </w:rPr>
            </w:pPr>
          </w:p>
        </w:tc>
      </w:tr>
      <w:tr>
        <w:trPr>
          <w:trHeight w:val="165"/>
        </w:trPr>
        <w:tc>
          <w:tcPr>
            <w:tcW w:w="600" w:type="dxa"/>
            <w:vAlign w:val="bottom"/>
          </w:tcPr>
          <w:p>
            <w:pPr>
              <w:jc w:val="right"/>
              <w:ind w:right="131"/>
              <w:spacing w:after="0"/>
              <w:rPr>
                <w:sz w:val="20"/>
                <w:szCs w:val="20"/>
                <w:color w:val="auto"/>
              </w:rPr>
            </w:pPr>
            <w:r>
              <w:rPr>
                <w:rFonts w:ascii="Arial" w:cs="Arial" w:eastAsia="Arial" w:hAnsi="Arial"/>
                <w:sz w:val="9"/>
                <w:szCs w:val="9"/>
                <w:color w:val="0000FF"/>
              </w:rPr>
              <w:t>#</w:t>
            </w:r>
          </w:p>
        </w:tc>
        <w:tc>
          <w:tcPr>
            <w:tcW w:w="5060" w:type="dxa"/>
            <w:vAlign w:val="bottom"/>
          </w:tcPr>
          <w:p>
            <w:pPr>
              <w:ind w:left="220"/>
              <w:spacing w:after="0"/>
              <w:rPr>
                <w:sz w:val="20"/>
                <w:szCs w:val="20"/>
                <w:color w:val="auto"/>
              </w:rPr>
            </w:pPr>
            <w:r>
              <w:rPr>
                <w:rFonts w:ascii="Arial" w:cs="Arial" w:eastAsia="Arial" w:hAnsi="Arial"/>
                <w:sz w:val="14"/>
                <w:szCs w:val="14"/>
                <w:color w:val="0000FF"/>
              </w:rPr>
              <w:t>Manufacturing Services Agreement, dated June 22, 2023, by and between</w:t>
            </w:r>
          </w:p>
        </w:tc>
        <w:tc>
          <w:tcPr>
            <w:tcW w:w="0" w:type="dxa"/>
            <w:vAlign w:val="bottom"/>
          </w:tcPr>
          <w:p>
            <w:pPr>
              <w:spacing w:after="0"/>
              <w:rPr>
                <w:sz w:val="1"/>
                <w:szCs w:val="1"/>
                <w:color w:val="auto"/>
              </w:rPr>
            </w:pPr>
          </w:p>
        </w:tc>
      </w:tr>
      <w:tr>
        <w:trPr>
          <w:trHeight w:val="170"/>
        </w:trPr>
        <w:tc>
          <w:tcPr>
            <w:tcW w:w="600" w:type="dxa"/>
            <w:vAlign w:val="bottom"/>
          </w:tcPr>
          <w:p>
            <w:pPr>
              <w:jc w:val="right"/>
              <w:ind w:right="191"/>
              <w:spacing w:after="0"/>
              <w:rPr>
                <w:sz w:val="20"/>
                <w:szCs w:val="20"/>
                <w:color w:val="auto"/>
              </w:rPr>
            </w:pPr>
            <w:r>
              <w:rPr>
                <w:rFonts w:ascii="Arial" w:cs="Arial" w:eastAsia="Arial" w:hAnsi="Arial"/>
                <w:sz w:val="14"/>
                <w:szCs w:val="14"/>
                <w:color w:val="0000FF"/>
                <w:w w:val="91"/>
              </w:rPr>
              <w:t>10.42</w:t>
            </w:r>
          </w:p>
        </w:tc>
        <w:tc>
          <w:tcPr>
            <w:tcW w:w="5060" w:type="dxa"/>
            <w:vAlign w:val="bottom"/>
            <w:vMerge w:val="restart"/>
          </w:tcPr>
          <w:p>
            <w:pPr>
              <w:ind w:left="220"/>
              <w:spacing w:after="0"/>
              <w:rPr>
                <w:sz w:val="20"/>
                <w:szCs w:val="20"/>
                <w:color w:val="auto"/>
              </w:rPr>
            </w:pPr>
            <w:r>
              <w:rPr>
                <w:rFonts w:ascii="Arial" w:cs="Arial" w:eastAsia="Arial" w:hAnsi="Arial"/>
                <w:sz w:val="14"/>
                <w:szCs w:val="14"/>
                <w:color w:val="0000FF"/>
              </w:rPr>
              <w:t>Enphase Energy, Inc. and Salcomp Manufacturing USA Corp</w:t>
            </w:r>
          </w:p>
        </w:tc>
        <w:tc>
          <w:tcPr>
            <w:tcW w:w="0" w:type="dxa"/>
            <w:vAlign w:val="bottom"/>
          </w:tcPr>
          <w:p>
            <w:pPr>
              <w:spacing w:after="0"/>
              <w:rPr>
                <w:sz w:val="1"/>
                <w:szCs w:val="1"/>
                <w:color w:val="auto"/>
              </w:rPr>
            </w:pPr>
          </w:p>
        </w:tc>
      </w:tr>
      <w:tr>
        <w:trPr>
          <w:trHeight w:val="44"/>
        </w:trPr>
        <w:tc>
          <w:tcPr>
            <w:tcW w:w="600" w:type="dxa"/>
            <w:vAlign w:val="bottom"/>
          </w:tcPr>
          <w:p>
            <w:pPr>
              <w:spacing w:after="0"/>
              <w:rPr>
                <w:sz w:val="3"/>
                <w:szCs w:val="3"/>
                <w:color w:val="auto"/>
              </w:rPr>
            </w:pPr>
          </w:p>
        </w:tc>
        <w:tc>
          <w:tcPr>
            <w:tcW w:w="5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600" w:type="dxa"/>
            <w:vAlign w:val="bottom"/>
          </w:tcPr>
          <w:p>
            <w:pPr>
              <w:jc w:val="center"/>
              <w:ind w:right="131"/>
              <w:spacing w:after="0"/>
              <w:rPr>
                <w:sz w:val="20"/>
                <w:szCs w:val="20"/>
                <w:color w:val="auto"/>
              </w:rPr>
            </w:pPr>
            <w:r>
              <w:rPr>
                <w:rFonts w:ascii="Arial" w:cs="Arial" w:eastAsia="Arial" w:hAnsi="Arial"/>
                <w:sz w:val="14"/>
                <w:szCs w:val="14"/>
                <w:color w:val="0000FF"/>
              </w:rPr>
              <w:t>21.1</w:t>
            </w:r>
          </w:p>
        </w:tc>
        <w:tc>
          <w:tcPr>
            <w:tcW w:w="5060" w:type="dxa"/>
            <w:vAlign w:val="bottom"/>
          </w:tcPr>
          <w:p>
            <w:pPr>
              <w:ind w:left="220"/>
              <w:spacing w:after="0"/>
              <w:rPr>
                <w:sz w:val="20"/>
                <w:szCs w:val="20"/>
                <w:color w:val="auto"/>
              </w:rPr>
            </w:pPr>
            <w:r>
              <w:rPr>
                <w:rFonts w:ascii="Arial" w:cs="Arial" w:eastAsia="Arial" w:hAnsi="Arial"/>
                <w:sz w:val="14"/>
                <w:szCs w:val="14"/>
                <w:color w:val="0000FF"/>
              </w:rPr>
              <w:t>List of Subsidiaries of the Registrant</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419"/>
        </w:trPr>
        <w:tc>
          <w:tcPr>
            <w:tcW w:w="600" w:type="dxa"/>
            <w:vAlign w:val="bottom"/>
            <w:vMerge w:val="restart"/>
          </w:tcPr>
          <w:p>
            <w:pPr>
              <w:jc w:val="center"/>
              <w:ind w:right="131"/>
              <w:spacing w:after="0"/>
              <w:rPr>
                <w:sz w:val="20"/>
                <w:szCs w:val="20"/>
                <w:color w:val="auto"/>
              </w:rPr>
            </w:pPr>
            <w:r>
              <w:rPr>
                <w:rFonts w:ascii="Arial" w:cs="Arial" w:eastAsia="Arial" w:hAnsi="Arial"/>
                <w:sz w:val="14"/>
                <w:szCs w:val="14"/>
                <w:color w:val="0000FF"/>
              </w:rPr>
              <w:t>23.1</w:t>
            </w:r>
          </w:p>
        </w:tc>
        <w:tc>
          <w:tcPr>
            <w:tcW w:w="5060" w:type="dxa"/>
            <w:vAlign w:val="bottom"/>
          </w:tcPr>
          <w:p>
            <w:pPr>
              <w:ind w:left="220"/>
              <w:spacing w:after="0"/>
              <w:rPr>
                <w:sz w:val="20"/>
                <w:szCs w:val="20"/>
                <w:color w:val="auto"/>
              </w:rPr>
            </w:pPr>
            <w:r>
              <w:rPr>
                <w:rFonts w:ascii="Arial" w:cs="Arial" w:eastAsia="Arial" w:hAnsi="Arial"/>
                <w:sz w:val="14"/>
                <w:szCs w:val="14"/>
                <w:color w:val="0000FF"/>
                <w:w w:val="99"/>
              </w:rPr>
              <w:t>Consent of Deloitte &amp; Touche LLP, Independent Registered Public Accounting</w:t>
            </w:r>
          </w:p>
        </w:tc>
        <w:tc>
          <w:tcPr>
            <w:tcW w:w="0" w:type="dxa"/>
            <w:vAlign w:val="bottom"/>
          </w:tcPr>
          <w:p>
            <w:pPr>
              <w:spacing w:after="0"/>
              <w:rPr>
                <w:sz w:val="1"/>
                <w:szCs w:val="1"/>
                <w:color w:val="auto"/>
              </w:rPr>
            </w:pPr>
          </w:p>
        </w:tc>
      </w:tr>
      <w:tr>
        <w:trPr>
          <w:trHeight w:val="93"/>
        </w:trPr>
        <w:tc>
          <w:tcPr>
            <w:tcW w:w="600" w:type="dxa"/>
            <w:vAlign w:val="bottom"/>
            <w:vMerge w:val="continue"/>
          </w:tcPr>
          <w:p>
            <w:pPr>
              <w:spacing w:after="0"/>
              <w:rPr>
                <w:sz w:val="8"/>
                <w:szCs w:val="8"/>
                <w:color w:val="auto"/>
              </w:rPr>
            </w:pPr>
          </w:p>
        </w:tc>
        <w:tc>
          <w:tcPr>
            <w:tcW w:w="5060" w:type="dxa"/>
            <w:vAlign w:val="bottom"/>
            <w:vMerge w:val="restart"/>
          </w:tcPr>
          <w:p>
            <w:pPr>
              <w:ind w:left="220"/>
              <w:spacing w:after="0"/>
              <w:rPr>
                <w:sz w:val="20"/>
                <w:szCs w:val="20"/>
                <w:color w:val="auto"/>
              </w:rPr>
            </w:pPr>
            <w:r>
              <w:rPr>
                <w:rFonts w:ascii="Arial" w:cs="Arial" w:eastAsia="Arial" w:hAnsi="Arial"/>
                <w:sz w:val="14"/>
                <w:szCs w:val="14"/>
                <w:color w:val="0000FF"/>
              </w:rPr>
              <w:t>Firm</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92"/>
        </w:trPr>
        <w:tc>
          <w:tcPr>
            <w:tcW w:w="600" w:type="dxa"/>
            <w:vAlign w:val="bottom"/>
          </w:tcPr>
          <w:p>
            <w:pPr>
              <w:spacing w:after="0"/>
              <w:rPr>
                <w:sz w:val="7"/>
                <w:szCs w:val="7"/>
                <w:color w:val="auto"/>
              </w:rPr>
            </w:pPr>
          </w:p>
        </w:tc>
        <w:tc>
          <w:tcPr>
            <w:tcW w:w="5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-6438900</wp:posOffset>
            </wp:positionV>
            <wp:extent cx="7136130" cy="3829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6">
                      <a:extLst>
                        <a:ext uri="{28A0092B-C50C-407E-A947-70E740481C1C}"/>
                      </a:extLst>
                    </a:blip>
                    <a:srcRect/>
                    <a:stretch>
                      <a:fillRect/>
                    </a:stretch>
                  </pic:blipFill>
                  <pic:spPr bwMode="auto">
                    <a:xfrm>
                      <a:off x="0" y="0"/>
                      <a:ext cx="7136130" cy="38290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-5781040</wp:posOffset>
            </wp:positionV>
            <wp:extent cx="7136130" cy="274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7">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-5231765</wp:posOffset>
            </wp:positionV>
            <wp:extent cx="7136130" cy="274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8">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-4681855</wp:posOffset>
            </wp:positionV>
            <wp:extent cx="7136130" cy="274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9">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-4132580</wp:posOffset>
            </wp:positionV>
            <wp:extent cx="7136130" cy="274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0">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-3399790</wp:posOffset>
            </wp:positionV>
            <wp:extent cx="7136130" cy="4578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1">
                      <a:extLst>
                        <a:ext uri="{28A0092B-C50C-407E-A947-70E740481C1C}"/>
                      </a:extLst>
                    </a:blip>
                    <a:srcRect/>
                    <a:stretch>
                      <a:fillRect/>
                    </a:stretch>
                  </pic:blipFill>
                  <pic:spPr bwMode="auto">
                    <a:xfrm>
                      <a:off x="0" y="0"/>
                      <a:ext cx="7136130" cy="45783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-2375535</wp:posOffset>
            </wp:positionV>
            <wp:extent cx="7136130" cy="5664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2">
                      <a:extLst>
                        <a:ext uri="{28A0092B-C50C-407E-A947-70E740481C1C}"/>
                      </a:extLst>
                    </a:blip>
                    <a:srcRect/>
                    <a:stretch>
                      <a:fillRect/>
                    </a:stretch>
                  </pic:blipFill>
                  <pic:spPr bwMode="auto">
                    <a:xfrm>
                      <a:off x="0" y="0"/>
                      <a:ext cx="7136130" cy="566420"/>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-1459865</wp:posOffset>
            </wp:positionV>
            <wp:extent cx="7136130" cy="382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3">
                      <a:extLst>
                        <a:ext uri="{28A0092B-C50C-407E-A947-70E740481C1C}"/>
                      </a:extLst>
                    </a:blip>
                    <a:srcRect/>
                    <a:stretch>
                      <a:fillRect/>
                    </a:stretch>
                  </pic:blipFill>
                  <pic:spPr bwMode="auto">
                    <a:xfrm>
                      <a:off x="0" y="0"/>
                      <a:ext cx="7136130" cy="38290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-826770</wp:posOffset>
            </wp:positionV>
            <wp:extent cx="7136130" cy="2495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4">
                      <a:extLst>
                        <a:ext uri="{28A0092B-C50C-407E-A947-70E740481C1C}"/>
                      </a:extLst>
                    </a:blip>
                    <a:srcRect/>
                    <a:stretch>
                      <a:fillRect/>
                    </a:stretch>
                  </pic:blipFill>
                  <pic:spPr bwMode="auto">
                    <a:xfrm>
                      <a:off x="0" y="0"/>
                      <a:ext cx="7136130" cy="2495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-302260</wp:posOffset>
            </wp:positionV>
            <wp:extent cx="7136130" cy="382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5">
                      <a:extLst>
                        <a:ext uri="{28A0092B-C50C-407E-A947-70E740481C1C}"/>
                      </a:extLst>
                    </a:blip>
                    <a:srcRect/>
                    <a:stretch>
                      <a:fillRect/>
                    </a:stretch>
                  </pic:blipFill>
                  <pic:spPr bwMode="auto">
                    <a:xfrm>
                      <a:off x="0" y="0"/>
                      <a:ext cx="7136130" cy="38290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629920</wp:posOffset>
            </wp:positionV>
            <wp:extent cx="693610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10.26</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2/16/2021</w:t>
            </w:r>
          </w:p>
        </w:tc>
      </w:tr>
      <w:tr>
        <w:trPr>
          <w:trHeight w:val="603"/>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10.27</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2/16/2021</w:t>
            </w:r>
          </w:p>
        </w:tc>
      </w:tr>
      <w:tr>
        <w:trPr>
          <w:trHeight w:val="525"/>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3/9/2020</w:t>
            </w:r>
          </w:p>
        </w:tc>
      </w:tr>
      <w:tr>
        <w:trPr>
          <w:trHeight w:val="433"/>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10.3</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3/9/2020</w:t>
            </w:r>
          </w:p>
        </w:tc>
      </w:tr>
      <w:tr>
        <w:trPr>
          <w:trHeight w:val="433"/>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3/1/2021</w:t>
            </w:r>
          </w:p>
        </w:tc>
      </w:tr>
      <w:tr>
        <w:trPr>
          <w:trHeight w:val="433"/>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10.3</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3/1/2021</w:t>
            </w:r>
          </w:p>
        </w:tc>
      </w:tr>
      <w:tr>
        <w:trPr>
          <w:trHeight w:val="433"/>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10.1</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3/15/2021</w:t>
            </w:r>
          </w:p>
        </w:tc>
      </w:tr>
      <w:tr>
        <w:trPr>
          <w:trHeight w:val="433"/>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3/15/2021</w:t>
            </w:r>
          </w:p>
        </w:tc>
      </w:tr>
      <w:tr>
        <w:trPr>
          <w:trHeight w:val="433"/>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10.1</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3/9/2020</w:t>
            </w:r>
          </w:p>
        </w:tc>
      </w:tr>
      <w:tr>
        <w:trPr>
          <w:trHeight w:val="433"/>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10.5</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3/1/2021</w:t>
            </w:r>
          </w:p>
        </w:tc>
      </w:tr>
      <w:tr>
        <w:trPr>
          <w:trHeight w:val="577"/>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10.6</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3/1/2021</w:t>
            </w:r>
          </w:p>
        </w:tc>
      </w:tr>
      <w:tr>
        <w:trPr>
          <w:trHeight w:val="721"/>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10.7</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3/1/2021</w:t>
            </w:r>
          </w:p>
        </w:tc>
      </w:tr>
      <w:tr>
        <w:trPr>
          <w:trHeight w:val="800"/>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10.8</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3/1/2021</w:t>
            </w:r>
          </w:p>
        </w:tc>
      </w:tr>
      <w:tr>
        <w:trPr>
          <w:trHeight w:val="892"/>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10.9</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3/1/2021</w:t>
            </w:r>
          </w:p>
        </w:tc>
      </w:tr>
      <w:tr>
        <w:trPr>
          <w:trHeight w:val="721"/>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10.1</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3/8/2021</w:t>
            </w:r>
          </w:p>
        </w:tc>
      </w:tr>
      <w:tr>
        <w:trPr>
          <w:trHeight w:val="577"/>
        </w:trPr>
        <w:tc>
          <w:tcPr>
            <w:tcW w:w="560" w:type="dxa"/>
            <w:vAlign w:val="bottom"/>
          </w:tcPr>
          <w:p>
            <w:pPr>
              <w:jc w:val="center"/>
              <w:ind w:right="170"/>
              <w:spacing w:after="0"/>
              <w:rPr>
                <w:sz w:val="20"/>
                <w:szCs w:val="20"/>
                <w:color w:val="auto"/>
              </w:rPr>
            </w:pPr>
            <w:r>
              <w:rPr>
                <w:rFonts w:ascii="Arial" w:cs="Arial" w:eastAsia="Arial" w:hAnsi="Arial"/>
                <w:sz w:val="14"/>
                <w:szCs w:val="14"/>
                <w:color w:val="auto"/>
              </w:rPr>
              <w:t>10-Q</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10.4</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7/30/2019</w:t>
            </w:r>
          </w:p>
        </w:tc>
      </w:tr>
      <w:tr>
        <w:trPr>
          <w:trHeight w:val="498"/>
        </w:trPr>
        <w:tc>
          <w:tcPr>
            <w:tcW w:w="560" w:type="dxa"/>
            <w:vAlign w:val="bottom"/>
          </w:tcPr>
          <w:p>
            <w:pPr>
              <w:jc w:val="center"/>
              <w:ind w:right="170"/>
              <w:spacing w:after="0"/>
              <w:rPr>
                <w:sz w:val="20"/>
                <w:szCs w:val="20"/>
                <w:color w:val="auto"/>
              </w:rPr>
            </w:pPr>
            <w:r>
              <w:rPr>
                <w:rFonts w:ascii="Arial" w:cs="Arial" w:eastAsia="Arial" w:hAnsi="Arial"/>
                <w:sz w:val="14"/>
                <w:szCs w:val="14"/>
                <w:color w:val="auto"/>
              </w:rPr>
              <w:t>10-Q</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10.1</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4/26/2022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15" w:lineRule="exact"/>
        <w:rPr>
          <w:sz w:val="20"/>
          <w:szCs w:val="20"/>
          <w:color w:val="auto"/>
        </w:rPr>
      </w:pPr>
    </w:p>
    <w:p>
      <w:pPr>
        <w:sectPr>
          <w:pgSz w:w="11900" w:h="16838" w:orient="portrait"/>
          <w:cols w:equalWidth="0" w:num="3">
            <w:col w:w="5660" w:space="240"/>
            <w:col w:w="3800" w:space="720"/>
            <w:col w:w="100"/>
          </w:cols>
          <w:pgMar w:left="620" w:top="280"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0"/>
          <w:szCs w:val="10"/>
          <w:color w:val="828282"/>
        </w:rPr>
        <w:t>Enphase Energy, Inc. | 2023 Form 10-K |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72390</wp:posOffset>
            </wp:positionV>
            <wp:extent cx="7161530" cy="419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20"/>
          </w:cols>
          <w:pgMar w:left="620" w:top="280" w:right="759" w:bottom="1440" w:gutter="0" w:footer="0" w:header="0"/>
          <w:type w:val="continuous"/>
        </w:sectPr>
      </w:pPr>
    </w:p>
    <w:bookmarkStart w:id="128" w:name="page129"/>
    <w:bookmarkEnd w:id="12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720" w:type="dxa"/>
            <w:vAlign w:val="bottom"/>
            <w:vMerge w:val="restart"/>
          </w:tcPr>
          <w:p>
            <w:pPr>
              <w:jc w:val="center"/>
              <w:ind w:right="90"/>
              <w:spacing w:after="0"/>
              <w:rPr>
                <w:sz w:val="20"/>
                <w:szCs w:val="20"/>
                <w:color w:val="auto"/>
              </w:rPr>
            </w:pPr>
            <w:r>
              <w:rPr>
                <w:rFonts w:ascii="Arial" w:cs="Arial" w:eastAsia="Arial" w:hAnsi="Arial"/>
                <w:sz w:val="14"/>
                <w:szCs w:val="14"/>
                <w:color w:val="0000FF"/>
              </w:rPr>
              <w:t>24.1</w:t>
            </w:r>
          </w:p>
        </w:tc>
        <w:tc>
          <w:tcPr>
            <w:tcW w:w="4980" w:type="dxa"/>
            <w:vAlign w:val="bottom"/>
          </w:tcPr>
          <w:p>
            <w:pPr>
              <w:ind w:left="180"/>
              <w:spacing w:after="0"/>
              <w:rPr>
                <w:sz w:val="20"/>
                <w:szCs w:val="20"/>
                <w:color w:val="auto"/>
              </w:rPr>
            </w:pPr>
            <w:r>
              <w:rPr>
                <w:rFonts w:ascii="Arial" w:cs="Arial" w:eastAsia="Arial" w:hAnsi="Arial"/>
                <w:sz w:val="14"/>
                <w:szCs w:val="14"/>
                <w:color w:val="0000FF"/>
              </w:rPr>
              <w:t>Power of Attorney (incorporated by reference to the signature page of this</w:t>
            </w: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4980" w:type="dxa"/>
            <w:vAlign w:val="bottom"/>
            <w:vMerge w:val="restart"/>
          </w:tcPr>
          <w:p>
            <w:pPr>
              <w:ind w:left="180"/>
              <w:spacing w:after="0"/>
              <w:rPr>
                <w:sz w:val="20"/>
                <w:szCs w:val="20"/>
                <w:color w:val="auto"/>
              </w:rPr>
            </w:pPr>
            <w:r>
              <w:rPr>
                <w:rFonts w:ascii="Arial" w:cs="Arial" w:eastAsia="Arial" w:hAnsi="Arial"/>
                <w:sz w:val="14"/>
                <w:szCs w:val="14"/>
                <w:color w:val="0000FF"/>
              </w:rPr>
              <w:t>Annual Report on Form 10-K).</w:t>
            </w:r>
          </w:p>
        </w:tc>
        <w:tc>
          <w:tcPr>
            <w:tcW w:w="0" w:type="dxa"/>
            <w:vAlign w:val="bottom"/>
          </w:tcPr>
          <w:p>
            <w:pPr>
              <w:spacing w:after="0"/>
              <w:rPr>
                <w:sz w:val="1"/>
                <w:szCs w:val="1"/>
                <w:color w:val="auto"/>
              </w:rPr>
            </w:pPr>
          </w:p>
        </w:tc>
      </w:tr>
      <w:tr>
        <w:trPr>
          <w:trHeight w:val="92"/>
        </w:trPr>
        <w:tc>
          <w:tcPr>
            <w:tcW w:w="720" w:type="dxa"/>
            <w:vAlign w:val="bottom"/>
          </w:tcPr>
          <w:p>
            <w:pPr>
              <w:spacing w:after="0"/>
              <w:rPr>
                <w:sz w:val="7"/>
                <w:szCs w:val="7"/>
                <w:color w:val="auto"/>
              </w:rPr>
            </w:pPr>
          </w:p>
        </w:tc>
        <w:tc>
          <w:tcPr>
            <w:tcW w:w="4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3"/>
        </w:trPr>
        <w:tc>
          <w:tcPr>
            <w:tcW w:w="720" w:type="dxa"/>
            <w:vAlign w:val="bottom"/>
          </w:tcPr>
          <w:p>
            <w:pPr>
              <w:jc w:val="center"/>
              <w:ind w:right="90"/>
              <w:spacing w:after="0"/>
              <w:rPr>
                <w:sz w:val="20"/>
                <w:szCs w:val="20"/>
                <w:color w:val="auto"/>
              </w:rPr>
            </w:pPr>
            <w:r>
              <w:rPr>
                <w:rFonts w:ascii="Arial" w:cs="Arial" w:eastAsia="Arial" w:hAnsi="Arial"/>
                <w:sz w:val="14"/>
                <w:szCs w:val="14"/>
                <w:color w:val="0000FF"/>
              </w:rPr>
              <w:t>31.1</w:t>
            </w:r>
          </w:p>
        </w:tc>
        <w:tc>
          <w:tcPr>
            <w:tcW w:w="4980" w:type="dxa"/>
            <w:vAlign w:val="bottom"/>
          </w:tcPr>
          <w:p>
            <w:pPr>
              <w:ind w:left="180"/>
              <w:spacing w:after="0"/>
              <w:rPr>
                <w:sz w:val="20"/>
                <w:szCs w:val="20"/>
                <w:color w:val="auto"/>
              </w:rPr>
            </w:pPr>
            <w:r>
              <w:rPr>
                <w:rFonts w:ascii="Arial" w:cs="Arial" w:eastAsia="Arial" w:hAnsi="Arial"/>
                <w:sz w:val="14"/>
                <w:szCs w:val="14"/>
                <w:color w:val="0000FF"/>
              </w:rPr>
              <w:t>Certification of Chief Executive Officer pursuant to Rule 13a-14(a)/15d-14(a).</w:t>
            </w:r>
          </w:p>
        </w:tc>
        <w:tc>
          <w:tcPr>
            <w:tcW w:w="0" w:type="dxa"/>
            <w:vAlign w:val="bottom"/>
          </w:tcPr>
          <w:p>
            <w:pPr>
              <w:spacing w:after="0"/>
              <w:rPr>
                <w:sz w:val="1"/>
                <w:szCs w:val="1"/>
                <w:color w:val="auto"/>
              </w:rPr>
            </w:pPr>
          </w:p>
        </w:tc>
      </w:tr>
      <w:tr>
        <w:trPr>
          <w:trHeight w:val="433"/>
        </w:trPr>
        <w:tc>
          <w:tcPr>
            <w:tcW w:w="720" w:type="dxa"/>
            <w:vAlign w:val="bottom"/>
          </w:tcPr>
          <w:p>
            <w:pPr>
              <w:jc w:val="center"/>
              <w:ind w:right="90"/>
              <w:spacing w:after="0"/>
              <w:rPr>
                <w:sz w:val="20"/>
                <w:szCs w:val="20"/>
                <w:color w:val="auto"/>
              </w:rPr>
            </w:pPr>
            <w:r>
              <w:rPr>
                <w:rFonts w:ascii="Arial" w:cs="Arial" w:eastAsia="Arial" w:hAnsi="Arial"/>
                <w:sz w:val="14"/>
                <w:szCs w:val="14"/>
                <w:color w:val="0000FF"/>
              </w:rPr>
              <w:t>31.2</w:t>
            </w:r>
          </w:p>
        </w:tc>
        <w:tc>
          <w:tcPr>
            <w:tcW w:w="4980" w:type="dxa"/>
            <w:vAlign w:val="bottom"/>
          </w:tcPr>
          <w:p>
            <w:pPr>
              <w:ind w:left="180"/>
              <w:spacing w:after="0"/>
              <w:rPr>
                <w:sz w:val="20"/>
                <w:szCs w:val="20"/>
                <w:color w:val="auto"/>
              </w:rPr>
            </w:pPr>
            <w:r>
              <w:rPr>
                <w:rFonts w:ascii="Arial" w:cs="Arial" w:eastAsia="Arial" w:hAnsi="Arial"/>
                <w:sz w:val="14"/>
                <w:szCs w:val="14"/>
                <w:color w:val="0000FF"/>
              </w:rPr>
              <w:t>Certification of Chief Financial Officer pursuant to Rule 13a-14(a)/15d-14(a).</w:t>
            </w:r>
          </w:p>
        </w:tc>
        <w:tc>
          <w:tcPr>
            <w:tcW w:w="0" w:type="dxa"/>
            <w:vAlign w:val="bottom"/>
          </w:tcPr>
          <w:p>
            <w:pPr>
              <w:spacing w:after="0"/>
              <w:rPr>
                <w:sz w:val="1"/>
                <w:szCs w:val="1"/>
                <w:color w:val="auto"/>
              </w:rPr>
            </w:pPr>
          </w:p>
        </w:tc>
      </w:tr>
      <w:tr>
        <w:trPr>
          <w:trHeight w:val="419"/>
        </w:trPr>
        <w:tc>
          <w:tcPr>
            <w:tcW w:w="720" w:type="dxa"/>
            <w:vAlign w:val="bottom"/>
            <w:vMerge w:val="restart"/>
          </w:tcPr>
          <w:p>
            <w:pPr>
              <w:jc w:val="center"/>
              <w:ind w:right="90"/>
              <w:spacing w:after="0"/>
              <w:rPr>
                <w:sz w:val="20"/>
                <w:szCs w:val="20"/>
                <w:color w:val="auto"/>
              </w:rPr>
            </w:pPr>
            <w:r>
              <w:rPr>
                <w:rFonts w:ascii="Arial" w:cs="Arial" w:eastAsia="Arial" w:hAnsi="Arial"/>
                <w:sz w:val="14"/>
                <w:szCs w:val="14"/>
                <w:color w:val="0000FF"/>
                <w:w w:val="97"/>
              </w:rPr>
              <w:t>32.1</w:t>
            </w:r>
            <w:r>
              <w:rPr>
                <w:rFonts w:ascii="Arial" w:cs="Arial" w:eastAsia="Arial" w:hAnsi="Arial"/>
                <w:sz w:val="14"/>
                <w:szCs w:val="14"/>
                <w:color w:val="000000"/>
                <w:w w:val="97"/>
              </w:rPr>
              <w:t>*</w:t>
            </w:r>
          </w:p>
        </w:tc>
        <w:tc>
          <w:tcPr>
            <w:tcW w:w="4980" w:type="dxa"/>
            <w:vAlign w:val="bottom"/>
          </w:tcPr>
          <w:p>
            <w:pPr>
              <w:ind w:left="180"/>
              <w:spacing w:after="0"/>
              <w:rPr>
                <w:sz w:val="20"/>
                <w:szCs w:val="20"/>
                <w:color w:val="auto"/>
              </w:rPr>
            </w:pPr>
            <w:r>
              <w:rPr>
                <w:rFonts w:ascii="Arial" w:cs="Arial" w:eastAsia="Arial" w:hAnsi="Arial"/>
                <w:sz w:val="14"/>
                <w:szCs w:val="14"/>
                <w:color w:val="0000FF"/>
                <w:w w:val="99"/>
              </w:rPr>
              <w:t>Certification of Chief Executive Officer and Chief Financial Officer pursuant to</w:t>
            </w:r>
          </w:p>
        </w:tc>
        <w:tc>
          <w:tcPr>
            <w:tcW w:w="0" w:type="dxa"/>
            <w:vAlign w:val="bottom"/>
          </w:tcPr>
          <w:p>
            <w:pPr>
              <w:spacing w:after="0"/>
              <w:rPr>
                <w:sz w:val="1"/>
                <w:szCs w:val="1"/>
                <w:color w:val="auto"/>
              </w:rPr>
            </w:pPr>
          </w:p>
        </w:tc>
      </w:tr>
      <w:tr>
        <w:trPr>
          <w:trHeight w:val="170"/>
        </w:trPr>
        <w:tc>
          <w:tcPr>
            <w:tcW w:w="720" w:type="dxa"/>
            <w:vAlign w:val="bottom"/>
            <w:vMerge w:val="continue"/>
          </w:tcPr>
          <w:p>
            <w:pPr>
              <w:spacing w:after="0"/>
              <w:rPr>
                <w:sz w:val="14"/>
                <w:szCs w:val="14"/>
                <w:color w:val="auto"/>
              </w:rPr>
            </w:pPr>
          </w:p>
        </w:tc>
        <w:tc>
          <w:tcPr>
            <w:tcW w:w="4980" w:type="dxa"/>
            <w:vAlign w:val="bottom"/>
          </w:tcPr>
          <w:p>
            <w:pPr>
              <w:ind w:left="180"/>
              <w:spacing w:after="0"/>
              <w:rPr>
                <w:sz w:val="20"/>
                <w:szCs w:val="20"/>
                <w:color w:val="auto"/>
              </w:rPr>
            </w:pPr>
            <w:r>
              <w:rPr>
                <w:rFonts w:ascii="Arial" w:cs="Arial" w:eastAsia="Arial" w:hAnsi="Arial"/>
                <w:sz w:val="14"/>
                <w:szCs w:val="14"/>
                <w:color w:val="0000FF"/>
                <w:w w:val="99"/>
              </w:rPr>
              <w:t>18 U.S.C. Section 1350 as Adopted Pursuant to Section 906 of the Sarbanes-</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4980" w:type="dxa"/>
            <w:vAlign w:val="bottom"/>
          </w:tcPr>
          <w:p>
            <w:pPr>
              <w:ind w:left="180"/>
              <w:spacing w:after="0"/>
              <w:rPr>
                <w:sz w:val="20"/>
                <w:szCs w:val="20"/>
                <w:color w:val="auto"/>
              </w:rPr>
            </w:pPr>
            <w:r>
              <w:rPr>
                <w:rFonts w:ascii="Arial" w:cs="Arial" w:eastAsia="Arial" w:hAnsi="Arial"/>
                <w:sz w:val="14"/>
                <w:szCs w:val="14"/>
                <w:color w:val="0000FF"/>
              </w:rPr>
              <w:t>Oxley Act of 2002, as amended.</w:t>
            </w:r>
          </w:p>
        </w:tc>
        <w:tc>
          <w:tcPr>
            <w:tcW w:w="0" w:type="dxa"/>
            <w:vAlign w:val="bottom"/>
          </w:tcPr>
          <w:p>
            <w:pPr>
              <w:spacing w:after="0"/>
              <w:rPr>
                <w:sz w:val="1"/>
                <w:szCs w:val="1"/>
                <w:color w:val="auto"/>
              </w:rPr>
            </w:pPr>
          </w:p>
        </w:tc>
      </w:tr>
      <w:tr>
        <w:trPr>
          <w:trHeight w:val="420"/>
        </w:trPr>
        <w:tc>
          <w:tcPr>
            <w:tcW w:w="720" w:type="dxa"/>
            <w:vAlign w:val="bottom"/>
          </w:tcPr>
          <w:p>
            <w:pPr>
              <w:jc w:val="center"/>
              <w:ind w:right="90"/>
              <w:spacing w:after="0"/>
              <w:rPr>
                <w:sz w:val="20"/>
                <w:szCs w:val="20"/>
                <w:color w:val="auto"/>
              </w:rPr>
            </w:pPr>
            <w:r>
              <w:rPr>
                <w:rFonts w:ascii="Arial" w:cs="Arial" w:eastAsia="Arial" w:hAnsi="Arial"/>
                <w:sz w:val="14"/>
                <w:szCs w:val="14"/>
                <w:color w:val="0000FF"/>
              </w:rPr>
              <w:t>97.1</w:t>
            </w:r>
          </w:p>
        </w:tc>
        <w:tc>
          <w:tcPr>
            <w:tcW w:w="4980" w:type="dxa"/>
            <w:vAlign w:val="bottom"/>
          </w:tcPr>
          <w:p>
            <w:pPr>
              <w:ind w:left="180"/>
              <w:spacing w:after="0"/>
              <w:rPr>
                <w:sz w:val="20"/>
                <w:szCs w:val="20"/>
                <w:color w:val="auto"/>
              </w:rPr>
            </w:pPr>
            <w:r>
              <w:rPr>
                <w:rFonts w:ascii="Arial" w:cs="Arial" w:eastAsia="Arial" w:hAnsi="Arial"/>
                <w:sz w:val="14"/>
                <w:szCs w:val="14"/>
                <w:color w:val="0000FF"/>
              </w:rPr>
              <w:t>Incentive Compensation Recoupment Policy</w:t>
            </w:r>
          </w:p>
        </w:tc>
        <w:tc>
          <w:tcPr>
            <w:tcW w:w="0" w:type="dxa"/>
            <w:vAlign w:val="bottom"/>
          </w:tcPr>
          <w:p>
            <w:pPr>
              <w:spacing w:after="0"/>
              <w:rPr>
                <w:sz w:val="1"/>
                <w:szCs w:val="1"/>
                <w:color w:val="auto"/>
              </w:rPr>
            </w:pPr>
          </w:p>
        </w:tc>
      </w:tr>
      <w:tr>
        <w:trPr>
          <w:trHeight w:val="433"/>
        </w:trPr>
        <w:tc>
          <w:tcPr>
            <w:tcW w:w="720" w:type="dxa"/>
            <w:vAlign w:val="bottom"/>
          </w:tcPr>
          <w:p>
            <w:pPr>
              <w:jc w:val="center"/>
              <w:ind w:right="110"/>
              <w:spacing w:after="0"/>
              <w:rPr>
                <w:sz w:val="20"/>
                <w:szCs w:val="20"/>
                <w:color w:val="auto"/>
              </w:rPr>
            </w:pPr>
            <w:r>
              <w:rPr>
                <w:rFonts w:ascii="Arial" w:cs="Arial" w:eastAsia="Arial" w:hAnsi="Arial"/>
                <w:sz w:val="14"/>
                <w:szCs w:val="14"/>
                <w:color w:val="auto"/>
                <w:w w:val="98"/>
              </w:rPr>
              <w:t>101.INS</w:t>
            </w:r>
          </w:p>
        </w:tc>
        <w:tc>
          <w:tcPr>
            <w:tcW w:w="4980" w:type="dxa"/>
            <w:vAlign w:val="bottom"/>
          </w:tcPr>
          <w:p>
            <w:pPr>
              <w:ind w:left="180"/>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433"/>
        </w:trPr>
        <w:tc>
          <w:tcPr>
            <w:tcW w:w="720" w:type="dxa"/>
            <w:vAlign w:val="bottom"/>
          </w:tcPr>
          <w:p>
            <w:pPr>
              <w:jc w:val="center"/>
              <w:ind w:right="90"/>
              <w:spacing w:after="0"/>
              <w:rPr>
                <w:sz w:val="20"/>
                <w:szCs w:val="20"/>
                <w:color w:val="auto"/>
              </w:rPr>
            </w:pPr>
            <w:r>
              <w:rPr>
                <w:rFonts w:ascii="Arial" w:cs="Arial" w:eastAsia="Arial" w:hAnsi="Arial"/>
                <w:sz w:val="14"/>
                <w:szCs w:val="14"/>
                <w:color w:val="auto"/>
                <w:w w:val="98"/>
              </w:rPr>
              <w:t>101.SCH</w:t>
            </w:r>
          </w:p>
        </w:tc>
        <w:tc>
          <w:tcPr>
            <w:tcW w:w="4980" w:type="dxa"/>
            <w:vAlign w:val="bottom"/>
          </w:tcPr>
          <w:p>
            <w:pPr>
              <w:ind w:left="180"/>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433"/>
        </w:trPr>
        <w:tc>
          <w:tcPr>
            <w:tcW w:w="720" w:type="dxa"/>
            <w:vAlign w:val="bottom"/>
          </w:tcPr>
          <w:p>
            <w:pPr>
              <w:jc w:val="center"/>
              <w:ind w:right="110"/>
              <w:spacing w:after="0"/>
              <w:rPr>
                <w:sz w:val="20"/>
                <w:szCs w:val="20"/>
                <w:color w:val="auto"/>
              </w:rPr>
            </w:pPr>
            <w:r>
              <w:rPr>
                <w:rFonts w:ascii="Arial" w:cs="Arial" w:eastAsia="Arial" w:hAnsi="Arial"/>
                <w:sz w:val="14"/>
                <w:szCs w:val="14"/>
                <w:color w:val="auto"/>
                <w:w w:val="99"/>
              </w:rPr>
              <w:t>101.CAL</w:t>
            </w:r>
          </w:p>
        </w:tc>
        <w:tc>
          <w:tcPr>
            <w:tcW w:w="4980" w:type="dxa"/>
            <w:vAlign w:val="bottom"/>
          </w:tcPr>
          <w:p>
            <w:pPr>
              <w:ind w:left="180"/>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433"/>
        </w:trPr>
        <w:tc>
          <w:tcPr>
            <w:tcW w:w="720" w:type="dxa"/>
            <w:vAlign w:val="bottom"/>
          </w:tcPr>
          <w:p>
            <w:pPr>
              <w:jc w:val="center"/>
              <w:ind w:right="90"/>
              <w:spacing w:after="0"/>
              <w:rPr>
                <w:sz w:val="20"/>
                <w:szCs w:val="20"/>
                <w:color w:val="auto"/>
              </w:rPr>
            </w:pPr>
            <w:r>
              <w:rPr>
                <w:rFonts w:ascii="Arial" w:cs="Arial" w:eastAsia="Arial" w:hAnsi="Arial"/>
                <w:sz w:val="14"/>
                <w:szCs w:val="14"/>
                <w:color w:val="auto"/>
              </w:rPr>
              <w:t>101.DEF</w:t>
            </w:r>
          </w:p>
        </w:tc>
        <w:tc>
          <w:tcPr>
            <w:tcW w:w="4980" w:type="dxa"/>
            <w:vAlign w:val="bottom"/>
          </w:tcPr>
          <w:p>
            <w:pPr>
              <w:ind w:left="180"/>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433"/>
        </w:trPr>
        <w:tc>
          <w:tcPr>
            <w:tcW w:w="720" w:type="dxa"/>
            <w:vAlign w:val="bottom"/>
          </w:tcPr>
          <w:p>
            <w:pPr>
              <w:jc w:val="center"/>
              <w:ind w:right="110"/>
              <w:spacing w:after="0"/>
              <w:rPr>
                <w:sz w:val="20"/>
                <w:szCs w:val="20"/>
                <w:color w:val="auto"/>
              </w:rPr>
            </w:pPr>
            <w:r>
              <w:rPr>
                <w:rFonts w:ascii="Arial" w:cs="Arial" w:eastAsia="Arial" w:hAnsi="Arial"/>
                <w:sz w:val="14"/>
                <w:szCs w:val="14"/>
                <w:color w:val="auto"/>
              </w:rPr>
              <w:t>101.LAB</w:t>
            </w:r>
          </w:p>
        </w:tc>
        <w:tc>
          <w:tcPr>
            <w:tcW w:w="4980" w:type="dxa"/>
            <w:vAlign w:val="bottom"/>
          </w:tcPr>
          <w:p>
            <w:pPr>
              <w:ind w:left="180"/>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433"/>
        </w:trPr>
        <w:tc>
          <w:tcPr>
            <w:tcW w:w="720" w:type="dxa"/>
            <w:vAlign w:val="bottom"/>
          </w:tcPr>
          <w:p>
            <w:pPr>
              <w:jc w:val="center"/>
              <w:ind w:right="90"/>
              <w:spacing w:after="0"/>
              <w:rPr>
                <w:sz w:val="20"/>
                <w:szCs w:val="20"/>
                <w:color w:val="auto"/>
              </w:rPr>
            </w:pPr>
            <w:r>
              <w:rPr>
                <w:rFonts w:ascii="Arial" w:cs="Arial" w:eastAsia="Arial" w:hAnsi="Arial"/>
                <w:sz w:val="14"/>
                <w:szCs w:val="14"/>
                <w:color w:val="auto"/>
                <w:w w:val="99"/>
              </w:rPr>
              <w:t>101.PRE</w:t>
            </w:r>
          </w:p>
        </w:tc>
        <w:tc>
          <w:tcPr>
            <w:tcW w:w="4980" w:type="dxa"/>
            <w:vAlign w:val="bottom"/>
          </w:tcPr>
          <w:p>
            <w:pPr>
              <w:ind w:left="180"/>
              <w:spacing w:after="0"/>
              <w:rPr>
                <w:sz w:val="20"/>
                <w:szCs w:val="20"/>
                <w:color w:val="auto"/>
              </w:rPr>
            </w:pPr>
            <w:r>
              <w:rPr>
                <w:rFonts w:ascii="Arial" w:cs="Arial" w:eastAsia="Arial" w:hAnsi="Arial"/>
                <w:sz w:val="14"/>
                <w:szCs w:val="14"/>
                <w:color w:val="auto"/>
              </w:rPr>
              <w:t>XBRL Taxonomy Extension Presentation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-2875280</wp:posOffset>
            </wp:positionV>
            <wp:extent cx="7136130" cy="274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8">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-2325370</wp:posOffset>
            </wp:positionV>
            <wp:extent cx="7136130" cy="4832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9">
                      <a:extLst>
                        <a:ext uri="{28A0092B-C50C-407E-A947-70E740481C1C}"/>
                      </a:extLst>
                    </a:blip>
                    <a:srcRect/>
                    <a:stretch>
                      <a:fillRect/>
                    </a:stretch>
                  </pic:blipFill>
                  <pic:spPr bwMode="auto">
                    <a:xfrm>
                      <a:off x="0" y="0"/>
                      <a:ext cx="7136130" cy="4832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-1567815</wp:posOffset>
            </wp:positionV>
            <wp:extent cx="7136130" cy="274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0">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-1017905</wp:posOffset>
            </wp:positionV>
            <wp:extent cx="7136130" cy="274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1">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-468630</wp:posOffset>
            </wp:positionV>
            <wp:extent cx="7136130" cy="274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2">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80010</wp:posOffset>
            </wp:positionV>
            <wp:extent cx="7136130" cy="382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3">
                      <a:extLst>
                        <a:ext uri="{28A0092B-C50C-407E-A947-70E740481C1C}"/>
                      </a:extLst>
                    </a:blip>
                    <a:srcRect/>
                    <a:stretch>
                      <a:fillRect/>
                    </a:stretch>
                  </pic:blipFill>
                  <pic:spPr bwMode="auto">
                    <a:xfrm>
                      <a:off x="0" y="0"/>
                      <a:ext cx="7136130" cy="382905"/>
                    </a:xfrm>
                    <a:prstGeom prst="rect">
                      <a:avLst/>
                    </a:prstGeom>
                    <a:noFill/>
                  </pic:spPr>
                </pic:pic>
              </a:graphicData>
            </a:graphic>
          </wp:anchor>
        </w:drawing>
      </w:r>
    </w:p>
    <w:p>
      <w:pPr>
        <w:spacing w:after="0" w:line="228" w:lineRule="exact"/>
        <w:rPr>
          <w:sz w:val="20"/>
          <w:szCs w:val="20"/>
          <w:color w:val="auto"/>
        </w:rPr>
      </w:pPr>
    </w:p>
    <w:p>
      <w:pPr>
        <w:ind w:left="1120" w:right="4160" w:hanging="740"/>
        <w:spacing w:after="0" w:line="180" w:lineRule="auto"/>
        <w:tabs>
          <w:tab w:leader="none" w:pos="1120" w:val="left"/>
        </w:tabs>
        <w:numPr>
          <w:ilvl w:val="0"/>
          <w:numId w:val="60"/>
        </w:numPr>
        <w:rPr>
          <w:rFonts w:ascii="Arial" w:cs="Arial" w:eastAsia="Arial" w:hAnsi="Arial"/>
          <w:sz w:val="27"/>
          <w:szCs w:val="27"/>
          <w:color w:val="auto"/>
          <w:vertAlign w:val="subscript"/>
        </w:rPr>
      </w:pPr>
      <w:r>
        <w:rPr>
          <w:rFonts w:ascii="Arial" w:cs="Arial" w:eastAsia="Arial" w:hAnsi="Arial"/>
          <w:sz w:val="14"/>
          <w:szCs w:val="14"/>
          <w:color w:val="auto"/>
        </w:rPr>
        <w:t>Cover Page Interactive Data File (formatted as Inline XBRL and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5911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4">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0"/>
          <w:szCs w:val="10"/>
          <w:color w:val="auto"/>
        </w:rPr>
        <w:t>X</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0"/>
          <w:szCs w:val="10"/>
          <w:color w:val="auto"/>
        </w:rPr>
        <w:t>X</w:t>
      </w:r>
    </w:p>
    <w:p>
      <w:pPr>
        <w:spacing w:after="0" w:line="318" w:lineRule="exact"/>
        <w:rPr>
          <w:sz w:val="20"/>
          <w:szCs w:val="20"/>
          <w:color w:val="auto"/>
        </w:rPr>
      </w:pPr>
    </w:p>
    <w:p>
      <w:pPr>
        <w:spacing w:after="0"/>
        <w:rPr>
          <w:sz w:val="20"/>
          <w:szCs w:val="20"/>
          <w:color w:val="auto"/>
        </w:rPr>
      </w:pPr>
      <w:r>
        <w:rPr>
          <w:rFonts w:ascii="Arial" w:cs="Arial" w:eastAsia="Arial" w:hAnsi="Arial"/>
          <w:sz w:val="10"/>
          <w:szCs w:val="10"/>
          <w:color w:val="auto"/>
        </w:rPr>
        <w:t>X</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0"/>
          <w:szCs w:val="10"/>
          <w:color w:val="auto"/>
        </w:rPr>
        <w:t>X</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0"/>
          <w:szCs w:val="10"/>
          <w:color w:val="auto"/>
        </w:rPr>
        <w:t>X</w:t>
      </w:r>
    </w:p>
    <w:p>
      <w:pPr>
        <w:spacing w:after="0" w:line="318" w:lineRule="exact"/>
        <w:rPr>
          <w:sz w:val="20"/>
          <w:szCs w:val="20"/>
          <w:color w:val="auto"/>
        </w:rPr>
      </w:pPr>
    </w:p>
    <w:p>
      <w:pPr>
        <w:spacing w:after="0"/>
        <w:rPr>
          <w:sz w:val="20"/>
          <w:szCs w:val="20"/>
          <w:color w:val="auto"/>
        </w:rPr>
      </w:pPr>
      <w:r>
        <w:rPr>
          <w:rFonts w:ascii="Arial" w:cs="Arial" w:eastAsia="Arial" w:hAnsi="Arial"/>
          <w:sz w:val="10"/>
          <w:szCs w:val="10"/>
          <w:color w:val="auto"/>
        </w:rPr>
        <w:t>X</w:t>
      </w:r>
    </w:p>
    <w:p>
      <w:pPr>
        <w:spacing w:after="0" w:line="318" w:lineRule="exact"/>
        <w:rPr>
          <w:sz w:val="20"/>
          <w:szCs w:val="20"/>
          <w:color w:val="auto"/>
        </w:rPr>
      </w:pPr>
    </w:p>
    <w:p>
      <w:pPr>
        <w:spacing w:after="0"/>
        <w:rPr>
          <w:sz w:val="20"/>
          <w:szCs w:val="20"/>
          <w:color w:val="auto"/>
        </w:rPr>
      </w:pPr>
      <w:r>
        <w:rPr>
          <w:rFonts w:ascii="Arial" w:cs="Arial" w:eastAsia="Arial" w:hAnsi="Arial"/>
          <w:sz w:val="10"/>
          <w:szCs w:val="10"/>
          <w:color w:val="auto"/>
        </w:rPr>
        <w:t>X</w:t>
      </w:r>
    </w:p>
    <w:p>
      <w:pPr>
        <w:spacing w:after="0" w:line="318" w:lineRule="exact"/>
        <w:rPr>
          <w:sz w:val="20"/>
          <w:szCs w:val="20"/>
          <w:color w:val="auto"/>
        </w:rPr>
      </w:pPr>
    </w:p>
    <w:p>
      <w:pPr>
        <w:spacing w:after="0"/>
        <w:rPr>
          <w:sz w:val="20"/>
          <w:szCs w:val="20"/>
          <w:color w:val="auto"/>
        </w:rPr>
      </w:pPr>
      <w:r>
        <w:rPr>
          <w:rFonts w:ascii="Arial" w:cs="Arial" w:eastAsia="Arial" w:hAnsi="Arial"/>
          <w:sz w:val="10"/>
          <w:szCs w:val="10"/>
          <w:color w:val="auto"/>
        </w:rPr>
        <w:t>X</w:t>
      </w:r>
    </w:p>
    <w:p>
      <w:pPr>
        <w:spacing w:after="0" w:line="318" w:lineRule="exact"/>
        <w:rPr>
          <w:sz w:val="20"/>
          <w:szCs w:val="20"/>
          <w:color w:val="auto"/>
        </w:rPr>
      </w:pPr>
    </w:p>
    <w:p>
      <w:pPr>
        <w:spacing w:after="0"/>
        <w:rPr>
          <w:sz w:val="20"/>
          <w:szCs w:val="20"/>
          <w:color w:val="auto"/>
        </w:rPr>
      </w:pPr>
      <w:r>
        <w:rPr>
          <w:rFonts w:ascii="Arial" w:cs="Arial" w:eastAsia="Arial" w:hAnsi="Arial"/>
          <w:sz w:val="10"/>
          <w:szCs w:val="10"/>
          <w:color w:val="auto"/>
        </w:rPr>
        <w:t>X</w:t>
      </w:r>
    </w:p>
    <w:p>
      <w:pPr>
        <w:spacing w:after="0" w:line="318" w:lineRule="exact"/>
        <w:rPr>
          <w:sz w:val="20"/>
          <w:szCs w:val="20"/>
          <w:color w:val="auto"/>
        </w:rPr>
      </w:pPr>
    </w:p>
    <w:p>
      <w:pPr>
        <w:spacing w:after="0"/>
        <w:rPr>
          <w:sz w:val="20"/>
          <w:szCs w:val="20"/>
          <w:color w:val="auto"/>
        </w:rPr>
      </w:pPr>
      <w:r>
        <w:rPr>
          <w:rFonts w:ascii="Arial" w:cs="Arial" w:eastAsia="Arial" w:hAnsi="Arial"/>
          <w:sz w:val="10"/>
          <w:szCs w:val="10"/>
          <w:color w:val="auto"/>
        </w:rPr>
        <w:t>X</w:t>
      </w:r>
    </w:p>
    <w:p>
      <w:pPr>
        <w:spacing w:after="0" w:line="318" w:lineRule="exact"/>
        <w:rPr>
          <w:sz w:val="20"/>
          <w:szCs w:val="20"/>
          <w:color w:val="auto"/>
        </w:rPr>
      </w:pPr>
    </w:p>
    <w:p>
      <w:pPr>
        <w:spacing w:after="0"/>
        <w:rPr>
          <w:sz w:val="20"/>
          <w:szCs w:val="20"/>
          <w:color w:val="auto"/>
        </w:rPr>
      </w:pPr>
      <w:r>
        <w:rPr>
          <w:rFonts w:ascii="Arial" w:cs="Arial" w:eastAsia="Arial" w:hAnsi="Arial"/>
          <w:sz w:val="10"/>
          <w:szCs w:val="10"/>
          <w:color w:val="auto"/>
        </w:rPr>
        <w:t>X</w:t>
      </w:r>
    </w:p>
    <w:p>
      <w:pPr>
        <w:spacing w:after="0" w:line="396" w:lineRule="exact"/>
        <w:rPr>
          <w:sz w:val="20"/>
          <w:szCs w:val="20"/>
          <w:color w:val="auto"/>
        </w:rPr>
      </w:pPr>
    </w:p>
    <w:p>
      <w:pPr>
        <w:spacing w:after="0"/>
        <w:rPr>
          <w:sz w:val="20"/>
          <w:szCs w:val="20"/>
          <w:color w:val="auto"/>
        </w:rPr>
      </w:pPr>
      <w:r>
        <w:rPr>
          <w:rFonts w:ascii="Arial" w:cs="Arial" w:eastAsia="Arial" w:hAnsi="Arial"/>
          <w:sz w:val="10"/>
          <w:szCs w:val="10"/>
          <w:color w:val="auto"/>
        </w:rPr>
        <w:t>X</w:t>
      </w:r>
    </w:p>
    <w:p>
      <w:pPr>
        <w:spacing w:after="0" w:line="359" w:lineRule="exact"/>
        <w:rPr>
          <w:sz w:val="20"/>
          <w:szCs w:val="20"/>
          <w:color w:val="auto"/>
        </w:rPr>
      </w:pPr>
    </w:p>
    <w:p>
      <w:pPr>
        <w:sectPr>
          <w:pgSz w:w="11900" w:h="16838" w:orient="portrait"/>
          <w:cols w:equalWidth="0" w:num="2">
            <w:col w:w="10000" w:space="720"/>
            <w:col w:w="340"/>
          </w:cols>
          <w:pgMar w:left="320" w:top="280" w:right="519" w:bottom="1440" w:gutter="0" w:footer="0" w:header="0"/>
        </w:sect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 Management compensatory plan or arrangement.</w:t>
      </w:r>
    </w:p>
    <w:p>
      <w:pPr>
        <w:spacing w:after="0" w:line="119" w:lineRule="exact"/>
        <w:rPr>
          <w:sz w:val="20"/>
          <w:szCs w:val="20"/>
          <w:color w:val="auto"/>
        </w:rPr>
      </w:pPr>
    </w:p>
    <w:p>
      <w:pPr>
        <w:ind w:left="320" w:hanging="315"/>
        <w:spacing w:after="0" w:line="281" w:lineRule="auto"/>
        <w:tabs>
          <w:tab w:leader="none" w:pos="297"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Confidential treatment has been granted for certain portions of this exhibit. Omitted information has been filed separately with the Securities and Exchange Commission.</w:t>
      </w:r>
    </w:p>
    <w:p>
      <w:pPr>
        <w:spacing w:after="0" w:line="1" w:lineRule="exact"/>
        <w:rPr>
          <w:sz w:val="20"/>
          <w:szCs w:val="20"/>
          <w:color w:val="auto"/>
        </w:rPr>
      </w:pPr>
    </w:p>
    <w:p>
      <w:pPr>
        <w:ind w:left="320" w:right="240" w:hanging="315"/>
        <w:spacing w:after="0" w:line="284" w:lineRule="auto"/>
        <w:tabs>
          <w:tab w:leader="none" w:pos="297" w:val="left"/>
        </w:tabs>
        <w:numPr>
          <w:ilvl w:val="0"/>
          <w:numId w:val="62"/>
        </w:numPr>
        <w:rPr>
          <w:rFonts w:ascii="Arial" w:cs="Arial" w:eastAsia="Arial" w:hAnsi="Arial"/>
          <w:sz w:val="17"/>
          <w:szCs w:val="17"/>
          <w:color w:val="auto"/>
        </w:rPr>
      </w:pPr>
      <w:r>
        <w:rPr>
          <w:rFonts w:ascii="Arial" w:cs="Arial" w:eastAsia="Arial" w:hAnsi="Arial"/>
          <w:sz w:val="17"/>
          <w:szCs w:val="17"/>
          <w:color w:val="auto"/>
        </w:rPr>
        <w:t>Pursuant to Item 601(b)(10) of Regulation S-K, certain portions of this exhibit have been omitted by means of marking such portions with asterisks because we have determined that the information is both not material and is the type that we treat as private or confidential.</w:t>
      </w:r>
    </w:p>
    <w:p>
      <w:pPr>
        <w:spacing w:after="0" w:line="49" w:lineRule="exact"/>
        <w:rPr>
          <w:sz w:val="20"/>
          <w:szCs w:val="20"/>
          <w:color w:val="auto"/>
        </w:rPr>
      </w:pPr>
    </w:p>
    <w:p>
      <w:pPr>
        <w:ind w:left="320" w:right="80" w:hanging="315"/>
        <w:spacing w:after="0" w:line="278" w:lineRule="auto"/>
        <w:tabs>
          <w:tab w:leader="none" w:pos="264"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certifications attached as Exhibit 32.1 accompany this Annual Report on Form 10-K pursuant to 18 U.S.C. Section 1350, as adopted pursuant to Section 906 of the Sarbanes-Oxley Act, and shall not be deemed “filed” by Enphase Energy, Inc. for purposes of Section 18 of the Securities Exchange Act of 1934, as amended, nor shall they be deemed incorporated by reference in any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5">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0"/>
          <w:szCs w:val="10"/>
          <w:color w:val="828282"/>
        </w:rPr>
        <w:t>Enphase Energy, Inc. | 2023 Form 10-K |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320" w:top="280" w:right="519" w:bottom="1440" w:gutter="0" w:footer="0" w:header="0"/>
          <w:type w:val="continuous"/>
        </w:sectPr>
      </w:pPr>
    </w:p>
    <w:bookmarkStart w:id="129" w:name="page130"/>
    <w:bookmarkEnd w:id="12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16.</w:t>
        <w:tab/>
        <w:t>Form 10-K Summary</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7">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3459"/>
        <w:spacing w:after="0"/>
        <w:rPr>
          <w:sz w:val="20"/>
          <w:szCs w:val="20"/>
          <w:color w:val="auto"/>
        </w:rPr>
      </w:pPr>
      <w:r>
        <w:rPr>
          <w:rFonts w:ascii="Arial" w:cs="Arial" w:eastAsia="Arial" w:hAnsi="Arial"/>
          <w:sz w:val="10"/>
          <w:szCs w:val="10"/>
          <w:color w:val="828282"/>
        </w:rPr>
        <w:t>Enphase Energy, Inc. | 2023 Form 10-K |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280" w:right="1440" w:bottom="1440" w:gutter="0" w:footer="0" w:header="0"/>
        </w:sectPr>
      </w:pPr>
    </w:p>
    <w:bookmarkStart w:id="130" w:name="page131"/>
    <w:bookmarkEnd w:id="13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121"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on February 9, 2024.</w:t>
      </w:r>
    </w:p>
    <w:p>
      <w:pPr>
        <w:spacing w:after="0" w:line="183" w:lineRule="exact"/>
        <w:rPr>
          <w:sz w:val="20"/>
          <w:szCs w:val="20"/>
          <w:color w:val="auto"/>
        </w:rPr>
      </w:pPr>
    </w:p>
    <w:p>
      <w:pPr>
        <w:ind w:left="6300"/>
        <w:spacing w:after="0"/>
        <w:rPr>
          <w:sz w:val="20"/>
          <w:szCs w:val="20"/>
          <w:color w:val="auto"/>
        </w:rPr>
      </w:pPr>
      <w:r>
        <w:rPr>
          <w:rFonts w:ascii="Arial" w:cs="Arial" w:eastAsia="Arial" w:hAnsi="Arial"/>
          <w:sz w:val="16"/>
          <w:szCs w:val="16"/>
          <w:b w:val="1"/>
          <w:bCs w:val="1"/>
          <w:color w:val="auto"/>
        </w:rPr>
        <w:t>Enphase Energy, Inc.</w:t>
      </w:r>
    </w:p>
    <w:p>
      <w:pPr>
        <w:spacing w:after="0" w:line="238" w:lineRule="exact"/>
        <w:rPr>
          <w:sz w:val="20"/>
          <w:szCs w:val="20"/>
          <w:color w:val="auto"/>
        </w:rPr>
      </w:pPr>
    </w:p>
    <w:p>
      <w:pPr>
        <w:ind w:left="6320"/>
        <w:spacing w:after="0"/>
        <w:tabs>
          <w:tab w:leader="none" w:pos="68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15875</wp:posOffset>
            </wp:positionV>
            <wp:extent cx="28676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9">
                      <a:extLst>
                        <a:ext uri="{28A0092B-C50C-407E-A947-70E740481C1C}"/>
                      </a:extLst>
                    </a:blip>
                    <a:srcRect/>
                    <a:stretch>
                      <a:fillRect/>
                    </a:stretch>
                  </pic:blipFill>
                  <pic:spPr bwMode="auto">
                    <a:xfrm>
                      <a:off x="0" y="0"/>
                      <a:ext cx="2867660" cy="8255"/>
                    </a:xfrm>
                    <a:prstGeom prst="rect">
                      <a:avLst/>
                    </a:prstGeom>
                    <a:noFill/>
                  </pic:spPr>
                </pic:pic>
              </a:graphicData>
            </a:graphic>
          </wp:anchor>
        </w:drawing>
      </w:r>
    </w:p>
    <w:p>
      <w:pPr>
        <w:spacing w:after="0" w:line="19"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Badrinarayanan Kothandaraman</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781685</wp:posOffset>
            </wp:positionV>
            <wp:extent cx="693610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828282"/>
        </w:rPr>
        <w:t>Enphase Energy, Inc. | 2023 Form 10-K |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80" w:right="359" w:bottom="1440" w:gutter="0" w:footer="0" w:header="0"/>
        </w:sectPr>
      </w:pPr>
    </w:p>
    <w:bookmarkStart w:id="131" w:name="page132"/>
    <w:bookmarkEnd w:id="13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19"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b w:val="1"/>
          <w:bCs w:val="1"/>
          <w:color w:val="auto"/>
        </w:rPr>
        <w:t xml:space="preserve">KNOW ALL PERSONS BY THESE PRESENTS, </w:t>
      </w:r>
      <w:r>
        <w:rPr>
          <w:rFonts w:ascii="Arial" w:cs="Arial" w:eastAsia="Arial" w:hAnsi="Arial"/>
          <w:sz w:val="17"/>
          <w:szCs w:val="17"/>
          <w:color w:val="auto"/>
        </w:rPr>
        <w:t>that each person whose signature appears below constitutes and appoints</w:t>
      </w:r>
      <w:r>
        <w:rPr>
          <w:rFonts w:ascii="Arial" w:cs="Arial" w:eastAsia="Arial" w:hAnsi="Arial"/>
          <w:sz w:val="17"/>
          <w:szCs w:val="17"/>
          <w:b w:val="1"/>
          <w:bCs w:val="1"/>
          <w:color w:val="auto"/>
        </w:rPr>
        <w:t xml:space="preserve"> </w:t>
      </w:r>
      <w:r>
        <w:rPr>
          <w:rFonts w:ascii="Arial" w:cs="Arial" w:eastAsia="Arial" w:hAnsi="Arial"/>
          <w:sz w:val="17"/>
          <w:szCs w:val="17"/>
          <w:color w:val="auto"/>
        </w:rPr>
        <w:t>Badrinarayanan Kothandaraman and Mandy Yang, jointly and severally,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her substitute or substitutes, may lawfully do or cause to be done by virtue hereof.</w:t>
      </w:r>
    </w:p>
    <w:p>
      <w:pPr>
        <w:spacing w:after="0" w:line="3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on the dates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Signature</w:t>
            </w:r>
          </w:p>
        </w:tc>
        <w:tc>
          <w:tcPr>
            <w:tcW w:w="100" w:type="dxa"/>
            <w:vAlign w:val="bottom"/>
          </w:tcPr>
          <w:p>
            <w:pPr>
              <w:spacing w:after="0"/>
              <w:rPr>
                <w:sz w:val="15"/>
                <w:szCs w:val="15"/>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Title</w:t>
            </w:r>
          </w:p>
        </w:tc>
        <w:tc>
          <w:tcPr>
            <w:tcW w:w="10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416"/>
        </w:trPr>
        <w:tc>
          <w:tcPr>
            <w:tcW w:w="4700" w:type="dxa"/>
            <w:vAlign w:val="bottom"/>
          </w:tcPr>
          <w:p>
            <w:pPr>
              <w:jc w:val="center"/>
              <w:spacing w:after="0"/>
              <w:rPr>
                <w:sz w:val="20"/>
                <w:szCs w:val="20"/>
                <w:color w:val="auto"/>
              </w:rPr>
            </w:pPr>
            <w:r>
              <w:rPr>
                <w:rFonts w:ascii="Arial" w:cs="Arial" w:eastAsia="Arial" w:hAnsi="Arial"/>
                <w:sz w:val="16"/>
                <w:szCs w:val="16"/>
                <w:color w:val="auto"/>
                <w:w w:val="97"/>
              </w:rPr>
              <w:t>/s/ BADRINARAYANAN KOTHANDARAMAN</w:t>
            </w:r>
          </w:p>
        </w:tc>
        <w:tc>
          <w:tcPr>
            <w:tcW w:w="100" w:type="dxa"/>
            <w:vAlign w:val="bottom"/>
          </w:tcPr>
          <w:p>
            <w:pPr>
              <w:spacing w:after="0"/>
              <w:rPr>
                <w:sz w:val="24"/>
                <w:szCs w:val="24"/>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President and Chief Executive Officer</w:t>
            </w:r>
          </w:p>
        </w:tc>
        <w:tc>
          <w:tcPr>
            <w:tcW w:w="2020" w:type="dxa"/>
            <w:vAlign w:val="bottom"/>
          </w:tcPr>
          <w:p>
            <w:pPr>
              <w:jc w:val="center"/>
              <w:spacing w:after="0"/>
              <w:rPr>
                <w:sz w:val="20"/>
                <w:szCs w:val="20"/>
                <w:color w:val="auto"/>
              </w:rPr>
            </w:pPr>
            <w:r>
              <w:rPr>
                <w:rFonts w:ascii="Arial" w:cs="Arial" w:eastAsia="Arial" w:hAnsi="Arial"/>
                <w:sz w:val="16"/>
                <w:szCs w:val="16"/>
                <w:color w:val="auto"/>
                <w:w w:val="98"/>
              </w:rPr>
              <w:t>February 9, 2024</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42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8"/>
              </w:rPr>
              <w:t>(Principal Executive Officer)</w:t>
            </w: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700" w:type="dxa"/>
            <w:vAlign w:val="bottom"/>
            <w:vMerge w:val="restart"/>
          </w:tcPr>
          <w:p>
            <w:pPr>
              <w:jc w:val="center"/>
              <w:spacing w:after="0"/>
              <w:rPr>
                <w:sz w:val="20"/>
                <w:szCs w:val="20"/>
                <w:color w:val="auto"/>
              </w:rPr>
            </w:pPr>
            <w:r>
              <w:rPr>
                <w:rFonts w:ascii="Arial" w:cs="Arial" w:eastAsia="Arial" w:hAnsi="Arial"/>
                <w:sz w:val="16"/>
                <w:szCs w:val="16"/>
                <w:color w:val="auto"/>
                <w:w w:val="97"/>
              </w:rPr>
              <w:t>Badrinarayanan Kothandaraman</w:t>
            </w:r>
          </w:p>
        </w:tc>
        <w:tc>
          <w:tcPr>
            <w:tcW w:w="100" w:type="dxa"/>
            <w:vAlign w:val="bottom"/>
            <w:vMerge w:val="continue"/>
          </w:tcPr>
          <w:p>
            <w:pPr>
              <w:spacing w:after="0"/>
              <w:rPr>
                <w:sz w:val="14"/>
                <w:szCs w:val="14"/>
                <w:color w:val="auto"/>
              </w:rPr>
            </w:pPr>
          </w:p>
        </w:tc>
        <w:tc>
          <w:tcPr>
            <w:tcW w:w="442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700" w:type="dxa"/>
            <w:vAlign w:val="bottom"/>
          </w:tcPr>
          <w:p>
            <w:pPr>
              <w:jc w:val="center"/>
              <w:spacing w:after="0"/>
              <w:rPr>
                <w:sz w:val="20"/>
                <w:szCs w:val="20"/>
                <w:color w:val="auto"/>
              </w:rPr>
            </w:pPr>
            <w:r>
              <w:rPr>
                <w:rFonts w:ascii="Arial" w:cs="Arial" w:eastAsia="Arial" w:hAnsi="Arial"/>
                <w:sz w:val="16"/>
                <w:szCs w:val="16"/>
                <w:color w:val="auto"/>
                <w:w w:val="97"/>
              </w:rPr>
              <w:t>/s/ MANDY YANG</w:t>
            </w:r>
          </w:p>
        </w:tc>
        <w:tc>
          <w:tcPr>
            <w:tcW w:w="100" w:type="dxa"/>
            <w:vAlign w:val="bottom"/>
          </w:tcPr>
          <w:p>
            <w:pPr>
              <w:spacing w:after="0"/>
              <w:rPr>
                <w:sz w:val="24"/>
                <w:szCs w:val="24"/>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Chief Financial Officer</w:t>
            </w:r>
          </w:p>
        </w:tc>
        <w:tc>
          <w:tcPr>
            <w:tcW w:w="2020" w:type="dxa"/>
            <w:vAlign w:val="bottom"/>
          </w:tcPr>
          <w:p>
            <w:pPr>
              <w:jc w:val="center"/>
              <w:spacing w:after="0"/>
              <w:rPr>
                <w:sz w:val="20"/>
                <w:szCs w:val="20"/>
                <w:color w:val="auto"/>
              </w:rPr>
            </w:pPr>
            <w:r>
              <w:rPr>
                <w:rFonts w:ascii="Arial" w:cs="Arial" w:eastAsia="Arial" w:hAnsi="Arial"/>
                <w:sz w:val="16"/>
                <w:szCs w:val="16"/>
                <w:color w:val="auto"/>
                <w:w w:val="98"/>
              </w:rPr>
              <w:t>February 9, 2024</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4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8"/>
              </w:rPr>
              <w:t>(Principal Financial Officer and Principal Accounting Officer)</w:t>
            </w: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700" w:type="dxa"/>
            <w:vAlign w:val="bottom"/>
            <w:vMerge w:val="restart"/>
          </w:tcPr>
          <w:p>
            <w:pPr>
              <w:jc w:val="center"/>
              <w:spacing w:after="0"/>
              <w:rPr>
                <w:sz w:val="20"/>
                <w:szCs w:val="20"/>
                <w:color w:val="auto"/>
              </w:rPr>
            </w:pPr>
            <w:r>
              <w:rPr>
                <w:rFonts w:ascii="Arial" w:cs="Arial" w:eastAsia="Arial" w:hAnsi="Arial"/>
                <w:sz w:val="16"/>
                <w:szCs w:val="16"/>
                <w:color w:val="auto"/>
                <w:w w:val="95"/>
              </w:rPr>
              <w:t>Mandy Yang</w:t>
            </w:r>
          </w:p>
        </w:tc>
        <w:tc>
          <w:tcPr>
            <w:tcW w:w="100" w:type="dxa"/>
            <w:vAlign w:val="bottom"/>
            <w:vMerge w:val="continue"/>
          </w:tcPr>
          <w:p>
            <w:pPr>
              <w:spacing w:after="0"/>
              <w:rPr>
                <w:sz w:val="14"/>
                <w:szCs w:val="14"/>
                <w:color w:val="auto"/>
              </w:rPr>
            </w:pPr>
          </w:p>
        </w:tc>
        <w:tc>
          <w:tcPr>
            <w:tcW w:w="442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STEVEN J. GOMO</w:t>
            </w:r>
          </w:p>
        </w:tc>
        <w:tc>
          <w:tcPr>
            <w:tcW w:w="100" w:type="dxa"/>
            <w:vAlign w:val="bottom"/>
          </w:tcPr>
          <w:p>
            <w:pPr>
              <w:spacing w:after="0"/>
              <w:rPr>
                <w:sz w:val="22"/>
                <w:szCs w:val="22"/>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February 9, 2024</w:t>
            </w:r>
          </w:p>
        </w:tc>
        <w:tc>
          <w:tcPr>
            <w:tcW w:w="0" w:type="dxa"/>
            <w:vAlign w:val="bottom"/>
          </w:tcPr>
          <w:p>
            <w:pPr>
              <w:spacing w:after="0"/>
              <w:rPr>
                <w:sz w:val="1"/>
                <w:szCs w:val="1"/>
                <w:color w:val="auto"/>
              </w:rPr>
            </w:pPr>
          </w:p>
        </w:tc>
      </w:tr>
      <w:tr>
        <w:trPr>
          <w:trHeight w:val="202"/>
        </w:trPr>
        <w:tc>
          <w:tcPr>
            <w:tcW w:w="4700" w:type="dxa"/>
            <w:vAlign w:val="bottom"/>
          </w:tcPr>
          <w:p>
            <w:pPr>
              <w:jc w:val="center"/>
              <w:spacing w:after="0"/>
              <w:rPr>
                <w:sz w:val="20"/>
                <w:szCs w:val="20"/>
                <w:color w:val="auto"/>
              </w:rPr>
            </w:pPr>
            <w:r>
              <w:rPr>
                <w:rFonts w:ascii="Arial" w:cs="Arial" w:eastAsia="Arial" w:hAnsi="Arial"/>
                <w:sz w:val="16"/>
                <w:szCs w:val="16"/>
                <w:color w:val="auto"/>
                <w:w w:val="99"/>
              </w:rPr>
              <w:t>Steven J. Gomo</w:t>
            </w:r>
          </w:p>
        </w:tc>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JAMIE HAENGGI</w:t>
            </w:r>
          </w:p>
        </w:tc>
        <w:tc>
          <w:tcPr>
            <w:tcW w:w="100" w:type="dxa"/>
            <w:vAlign w:val="bottom"/>
          </w:tcPr>
          <w:p>
            <w:pPr>
              <w:spacing w:after="0"/>
              <w:rPr>
                <w:sz w:val="22"/>
                <w:szCs w:val="22"/>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February 9, 2024</w:t>
            </w:r>
          </w:p>
        </w:tc>
        <w:tc>
          <w:tcPr>
            <w:tcW w:w="0" w:type="dxa"/>
            <w:vAlign w:val="bottom"/>
          </w:tcPr>
          <w:p>
            <w:pPr>
              <w:spacing w:after="0"/>
              <w:rPr>
                <w:sz w:val="1"/>
                <w:szCs w:val="1"/>
                <w:color w:val="auto"/>
              </w:rPr>
            </w:pPr>
          </w:p>
        </w:tc>
      </w:tr>
      <w:tr>
        <w:trPr>
          <w:trHeight w:val="202"/>
        </w:trPr>
        <w:tc>
          <w:tcPr>
            <w:tcW w:w="4700" w:type="dxa"/>
            <w:vAlign w:val="bottom"/>
          </w:tcPr>
          <w:p>
            <w:pPr>
              <w:jc w:val="center"/>
              <w:spacing w:after="0"/>
              <w:rPr>
                <w:sz w:val="20"/>
                <w:szCs w:val="20"/>
                <w:color w:val="auto"/>
              </w:rPr>
            </w:pPr>
            <w:r>
              <w:rPr>
                <w:rFonts w:ascii="Arial" w:cs="Arial" w:eastAsia="Arial" w:hAnsi="Arial"/>
                <w:sz w:val="16"/>
                <w:szCs w:val="16"/>
                <w:color w:val="auto"/>
                <w:w w:val="99"/>
              </w:rPr>
              <w:t>Jamie Haenggi</w:t>
            </w:r>
          </w:p>
        </w:tc>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BENJAMIN KORTLANG</w:t>
            </w:r>
          </w:p>
        </w:tc>
        <w:tc>
          <w:tcPr>
            <w:tcW w:w="100" w:type="dxa"/>
            <w:vAlign w:val="bottom"/>
          </w:tcPr>
          <w:p>
            <w:pPr>
              <w:spacing w:after="0"/>
              <w:rPr>
                <w:sz w:val="22"/>
                <w:szCs w:val="22"/>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February 9, 2024</w:t>
            </w:r>
          </w:p>
        </w:tc>
        <w:tc>
          <w:tcPr>
            <w:tcW w:w="0" w:type="dxa"/>
            <w:vAlign w:val="bottom"/>
          </w:tcPr>
          <w:p>
            <w:pPr>
              <w:spacing w:after="0"/>
              <w:rPr>
                <w:sz w:val="1"/>
                <w:szCs w:val="1"/>
                <w:color w:val="auto"/>
              </w:rPr>
            </w:pPr>
          </w:p>
        </w:tc>
      </w:tr>
      <w:tr>
        <w:trPr>
          <w:trHeight w:val="202"/>
        </w:trPr>
        <w:tc>
          <w:tcPr>
            <w:tcW w:w="4700" w:type="dxa"/>
            <w:vAlign w:val="bottom"/>
          </w:tcPr>
          <w:p>
            <w:pPr>
              <w:jc w:val="center"/>
              <w:spacing w:after="0"/>
              <w:rPr>
                <w:sz w:val="20"/>
                <w:szCs w:val="20"/>
                <w:color w:val="auto"/>
              </w:rPr>
            </w:pPr>
            <w:r>
              <w:rPr>
                <w:rFonts w:ascii="Arial" w:cs="Arial" w:eastAsia="Arial" w:hAnsi="Arial"/>
                <w:sz w:val="16"/>
                <w:szCs w:val="16"/>
                <w:color w:val="auto"/>
                <w:w w:val="99"/>
              </w:rPr>
              <w:t>Benjamin Kortlang</w:t>
            </w:r>
          </w:p>
        </w:tc>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JOESEPH MALCHOW</w:t>
            </w:r>
          </w:p>
        </w:tc>
        <w:tc>
          <w:tcPr>
            <w:tcW w:w="100" w:type="dxa"/>
            <w:vAlign w:val="bottom"/>
          </w:tcPr>
          <w:p>
            <w:pPr>
              <w:spacing w:after="0"/>
              <w:rPr>
                <w:sz w:val="22"/>
                <w:szCs w:val="22"/>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February 9, 2024</w:t>
            </w:r>
          </w:p>
        </w:tc>
        <w:tc>
          <w:tcPr>
            <w:tcW w:w="0" w:type="dxa"/>
            <w:vAlign w:val="bottom"/>
          </w:tcPr>
          <w:p>
            <w:pPr>
              <w:spacing w:after="0"/>
              <w:rPr>
                <w:sz w:val="1"/>
                <w:szCs w:val="1"/>
                <w:color w:val="auto"/>
              </w:rPr>
            </w:pPr>
          </w:p>
        </w:tc>
      </w:tr>
      <w:tr>
        <w:trPr>
          <w:trHeight w:val="202"/>
        </w:trPr>
        <w:tc>
          <w:tcPr>
            <w:tcW w:w="4700" w:type="dxa"/>
            <w:vAlign w:val="bottom"/>
          </w:tcPr>
          <w:p>
            <w:pPr>
              <w:jc w:val="center"/>
              <w:spacing w:after="0"/>
              <w:rPr>
                <w:sz w:val="20"/>
                <w:szCs w:val="20"/>
                <w:color w:val="auto"/>
              </w:rPr>
            </w:pPr>
            <w:r>
              <w:rPr>
                <w:rFonts w:ascii="Arial" w:cs="Arial" w:eastAsia="Arial" w:hAnsi="Arial"/>
                <w:sz w:val="16"/>
                <w:szCs w:val="16"/>
                <w:color w:val="auto"/>
                <w:w w:val="98"/>
              </w:rPr>
              <w:t>Joseph Malchow</w:t>
            </w:r>
          </w:p>
        </w:tc>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RICHARD MORA</w:t>
            </w:r>
          </w:p>
        </w:tc>
        <w:tc>
          <w:tcPr>
            <w:tcW w:w="100" w:type="dxa"/>
            <w:vAlign w:val="bottom"/>
          </w:tcPr>
          <w:p>
            <w:pPr>
              <w:spacing w:after="0"/>
              <w:rPr>
                <w:sz w:val="22"/>
                <w:szCs w:val="22"/>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February 9, 2024</w:t>
            </w:r>
          </w:p>
        </w:tc>
        <w:tc>
          <w:tcPr>
            <w:tcW w:w="0" w:type="dxa"/>
            <w:vAlign w:val="bottom"/>
          </w:tcPr>
          <w:p>
            <w:pPr>
              <w:spacing w:after="0"/>
              <w:rPr>
                <w:sz w:val="1"/>
                <w:szCs w:val="1"/>
                <w:color w:val="auto"/>
              </w:rPr>
            </w:pPr>
          </w:p>
        </w:tc>
      </w:tr>
      <w:tr>
        <w:trPr>
          <w:trHeight w:val="202"/>
        </w:trPr>
        <w:tc>
          <w:tcPr>
            <w:tcW w:w="4700" w:type="dxa"/>
            <w:vAlign w:val="bottom"/>
          </w:tcPr>
          <w:p>
            <w:pPr>
              <w:jc w:val="center"/>
              <w:spacing w:after="0"/>
              <w:rPr>
                <w:sz w:val="20"/>
                <w:szCs w:val="20"/>
                <w:color w:val="auto"/>
              </w:rPr>
            </w:pPr>
            <w:r>
              <w:rPr>
                <w:rFonts w:ascii="Arial" w:cs="Arial" w:eastAsia="Arial" w:hAnsi="Arial"/>
                <w:sz w:val="16"/>
                <w:szCs w:val="16"/>
                <w:color w:val="auto"/>
                <w:w w:val="97"/>
              </w:rPr>
              <w:t>Richard Mora</w:t>
            </w:r>
          </w:p>
        </w:tc>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THURMAN JOHN RODGERS</w:t>
            </w:r>
          </w:p>
        </w:tc>
        <w:tc>
          <w:tcPr>
            <w:tcW w:w="100" w:type="dxa"/>
            <w:vAlign w:val="bottom"/>
          </w:tcPr>
          <w:p>
            <w:pPr>
              <w:spacing w:after="0"/>
              <w:rPr>
                <w:sz w:val="22"/>
                <w:szCs w:val="22"/>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February 9, 2024</w:t>
            </w:r>
          </w:p>
        </w:tc>
        <w:tc>
          <w:tcPr>
            <w:tcW w:w="0" w:type="dxa"/>
            <w:vAlign w:val="bottom"/>
          </w:tcPr>
          <w:p>
            <w:pPr>
              <w:spacing w:after="0"/>
              <w:rPr>
                <w:sz w:val="1"/>
                <w:szCs w:val="1"/>
                <w:color w:val="auto"/>
              </w:rPr>
            </w:pPr>
          </w:p>
        </w:tc>
      </w:tr>
      <w:tr>
        <w:trPr>
          <w:trHeight w:val="202"/>
        </w:trPr>
        <w:tc>
          <w:tcPr>
            <w:tcW w:w="4700" w:type="dxa"/>
            <w:vAlign w:val="bottom"/>
          </w:tcPr>
          <w:p>
            <w:pPr>
              <w:jc w:val="center"/>
              <w:spacing w:after="0"/>
              <w:rPr>
                <w:sz w:val="20"/>
                <w:szCs w:val="20"/>
                <w:color w:val="auto"/>
              </w:rPr>
            </w:pPr>
            <w:r>
              <w:rPr>
                <w:rFonts w:ascii="Arial" w:cs="Arial" w:eastAsia="Arial" w:hAnsi="Arial"/>
                <w:sz w:val="16"/>
                <w:szCs w:val="16"/>
                <w:color w:val="auto"/>
                <w:w w:val="98"/>
              </w:rPr>
              <w:t>Thurman John Rodgers</w:t>
            </w:r>
          </w:p>
        </w:tc>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767715</wp:posOffset>
            </wp:positionV>
            <wp:extent cx="693610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2023 Form 10-K | 132</w:t>
      </w:r>
    </w:p>
    <w:p>
      <w:pPr>
        <w:sectPr>
          <w:pgSz w:w="11900" w:h="16838" w:orient="portrait"/>
          <w:cols w:equalWidth="0" w:num="1">
            <w:col w:w="11240"/>
          </w:cols>
          <w:pgMar w:left="320" w:top="28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6" w:hanging="266"/>
        <w:spacing w:after="0"/>
        <w:tabs>
          <w:tab w:leader="none" w:pos="266"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Certain confidential information contained in this document, marked by brackets, has been omitted because it is both</w:t>
      </w:r>
    </w:p>
    <w:p>
      <w:pPr>
        <w:spacing w:after="0" w:line="2" w:lineRule="exact"/>
        <w:rPr>
          <w:rFonts w:ascii="Times New Roman" w:cs="Times New Roman" w:eastAsia="Times New Roman" w:hAnsi="Times New Roman"/>
          <w:sz w:val="19"/>
          <w:szCs w:val="19"/>
          <w:b w:val="1"/>
          <w:bCs w:val="1"/>
          <w:color w:val="auto"/>
        </w:rPr>
      </w:pPr>
    </w:p>
    <w:p>
      <w:pPr>
        <w:ind w:left="6"/>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986"/>
        <w:spacing w:after="0"/>
        <w:rPr>
          <w:sz w:val="20"/>
          <w:szCs w:val="20"/>
          <w:color w:val="auto"/>
        </w:rPr>
      </w:pPr>
      <w:r>
        <w:rPr>
          <w:rFonts w:ascii="Times New Roman" w:cs="Times New Roman" w:eastAsia="Times New Roman" w:hAnsi="Times New Roman"/>
          <w:sz w:val="21"/>
          <w:szCs w:val="21"/>
          <w:b w:val="1"/>
          <w:bCs w:val="1"/>
          <w:color w:val="auto"/>
        </w:rPr>
        <w:t>MASTER SUPPLY AGREEMENT</w:t>
      </w:r>
    </w:p>
    <w:p>
      <w:pPr>
        <w:spacing w:after="0" w:line="200" w:lineRule="exact"/>
        <w:rPr>
          <w:sz w:val="20"/>
          <w:szCs w:val="20"/>
          <w:color w:val="auto"/>
        </w:rPr>
      </w:pPr>
    </w:p>
    <w:p>
      <w:pPr>
        <w:spacing w:after="0" w:line="280" w:lineRule="exact"/>
        <w:rPr>
          <w:sz w:val="20"/>
          <w:szCs w:val="20"/>
          <w:color w:val="auto"/>
        </w:rPr>
      </w:pPr>
    </w:p>
    <w:p>
      <w:pPr>
        <w:ind w:left="4046"/>
        <w:spacing w:after="0"/>
        <w:rPr>
          <w:sz w:val="20"/>
          <w:szCs w:val="20"/>
          <w:color w:val="auto"/>
        </w:rPr>
      </w:pPr>
      <w:r>
        <w:rPr>
          <w:rFonts w:ascii="Times New Roman" w:cs="Times New Roman" w:eastAsia="Times New Roman" w:hAnsi="Times New Roman"/>
          <w:sz w:val="21"/>
          <w:szCs w:val="21"/>
          <w:b w:val="1"/>
          <w:bCs w:val="1"/>
          <w:color w:val="auto"/>
        </w:rPr>
        <w:t>BETWEEN</w:t>
      </w:r>
    </w:p>
    <w:p>
      <w:pPr>
        <w:spacing w:after="0" w:line="200" w:lineRule="exact"/>
        <w:rPr>
          <w:sz w:val="20"/>
          <w:szCs w:val="20"/>
          <w:color w:val="auto"/>
        </w:rPr>
      </w:pPr>
    </w:p>
    <w:p>
      <w:pPr>
        <w:spacing w:after="0" w:line="280" w:lineRule="exact"/>
        <w:rPr>
          <w:sz w:val="20"/>
          <w:szCs w:val="20"/>
          <w:color w:val="auto"/>
        </w:rPr>
      </w:pPr>
    </w:p>
    <w:p>
      <w:pPr>
        <w:ind w:left="3146"/>
        <w:spacing w:after="0"/>
        <w:rPr>
          <w:sz w:val="20"/>
          <w:szCs w:val="20"/>
          <w:color w:val="auto"/>
        </w:rPr>
      </w:pPr>
      <w:r>
        <w:rPr>
          <w:rFonts w:ascii="Times New Roman" w:cs="Times New Roman" w:eastAsia="Times New Roman" w:hAnsi="Times New Roman"/>
          <w:sz w:val="21"/>
          <w:szCs w:val="21"/>
          <w:b w:val="1"/>
          <w:bCs w:val="1"/>
          <w:color w:val="auto"/>
        </w:rPr>
        <w:t>SUNPOWER CORPORATION</w:t>
      </w:r>
    </w:p>
    <w:p>
      <w:pPr>
        <w:spacing w:after="0" w:line="200" w:lineRule="exact"/>
        <w:rPr>
          <w:sz w:val="20"/>
          <w:szCs w:val="20"/>
          <w:color w:val="auto"/>
        </w:rPr>
      </w:pPr>
    </w:p>
    <w:p>
      <w:pPr>
        <w:spacing w:after="0" w:line="280" w:lineRule="exact"/>
        <w:rPr>
          <w:sz w:val="20"/>
          <w:szCs w:val="20"/>
          <w:color w:val="auto"/>
        </w:rPr>
      </w:pPr>
    </w:p>
    <w:p>
      <w:pPr>
        <w:ind w:left="4346"/>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00" w:lineRule="exact"/>
        <w:rPr>
          <w:sz w:val="20"/>
          <w:szCs w:val="20"/>
          <w:color w:val="auto"/>
        </w:rPr>
      </w:pPr>
    </w:p>
    <w:p>
      <w:pPr>
        <w:spacing w:after="0" w:line="293" w:lineRule="exact"/>
        <w:rPr>
          <w:sz w:val="20"/>
          <w:szCs w:val="20"/>
          <w:color w:val="auto"/>
        </w:rPr>
      </w:pPr>
    </w:p>
    <w:p>
      <w:pPr>
        <w:ind w:left="3346"/>
        <w:spacing w:after="0"/>
        <w:rPr>
          <w:sz w:val="20"/>
          <w:szCs w:val="20"/>
          <w:color w:val="auto"/>
        </w:rPr>
      </w:pPr>
      <w:r>
        <w:rPr>
          <w:rFonts w:ascii="Times New Roman" w:cs="Times New Roman" w:eastAsia="Times New Roman" w:hAnsi="Times New Roman"/>
          <w:sz w:val="21"/>
          <w:szCs w:val="21"/>
          <w:b w:val="1"/>
          <w:bCs w:val="1"/>
          <w:color w:val="auto"/>
        </w:rPr>
        <w:t>ENPHASE ENERGY, INC.</w:t>
      </w:r>
    </w:p>
    <w:p>
      <w:pPr>
        <w:sectPr>
          <w:pgSz w:w="11900" w:h="16838" w:orient="portrait"/>
          <w:cols w:equalWidth="0" w:num="1">
            <w:col w:w="10186"/>
          </w:cols>
          <w:pgMar w:left="1374" w:top="100"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w w:val="97"/>
              </w:rPr>
              <w:t>Page</w:t>
            </w:r>
          </w:p>
        </w:tc>
      </w:tr>
      <w:tr>
        <w:trPr>
          <w:trHeight w:val="272"/>
        </w:trPr>
        <w:tc>
          <w:tcPr>
            <w:tcW w:w="87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0000FF"/>
              </w:rPr>
              <w:t>ARTICLE I EXCLUSIVITY</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0000FF"/>
              </w:rPr>
              <w:t>9</w:t>
            </w:r>
          </w:p>
        </w:tc>
      </w:tr>
      <w:tr>
        <w:trPr>
          <w:trHeight w:val="249"/>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1.1</w:t>
            </w:r>
          </w:p>
        </w:tc>
        <w:tc>
          <w:tcPr>
            <w:tcW w:w="806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Exclusivity</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9</w:t>
            </w:r>
          </w:p>
        </w:tc>
      </w:tr>
      <w:tr>
        <w:trPr>
          <w:trHeight w:val="249"/>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1.2</w:t>
            </w:r>
          </w:p>
        </w:tc>
        <w:tc>
          <w:tcPr>
            <w:tcW w:w="806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Transition to Purchase of Products; Legacy Products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9</w:t>
            </w:r>
          </w:p>
        </w:tc>
      </w:tr>
      <w:tr>
        <w:trPr>
          <w:trHeight w:val="249"/>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1.3</w:t>
            </w:r>
          </w:p>
        </w:tc>
        <w:tc>
          <w:tcPr>
            <w:tcW w:w="806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Product Roadmap</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9</w:t>
            </w:r>
          </w:p>
        </w:tc>
      </w:tr>
      <w:tr>
        <w:trPr>
          <w:trHeight w:val="249"/>
        </w:trPr>
        <w:tc>
          <w:tcPr>
            <w:tcW w:w="872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0000FF"/>
              </w:rPr>
              <w:t>1.4   Right to Manufacture, Sell, or Purchase</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10</w:t>
            </w:r>
          </w:p>
        </w:tc>
      </w:tr>
      <w:tr>
        <w:trPr>
          <w:trHeight w:val="249"/>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1.5</w:t>
            </w:r>
          </w:p>
        </w:tc>
        <w:tc>
          <w:tcPr>
            <w:tcW w:w="806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Certain Remedies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10</w:t>
            </w:r>
          </w:p>
        </w:tc>
      </w:tr>
      <w:tr>
        <w:trPr>
          <w:trHeight w:val="249"/>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1.6</w:t>
            </w:r>
          </w:p>
        </w:tc>
        <w:tc>
          <w:tcPr>
            <w:tcW w:w="806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Sales of SunPower Products to Third Parties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10</w:t>
            </w:r>
          </w:p>
        </w:tc>
      </w:tr>
      <w:tr>
        <w:trPr>
          <w:trHeight w:val="251"/>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1.7</w:t>
            </w:r>
          </w:p>
        </w:tc>
        <w:tc>
          <w:tcPr>
            <w:tcW w:w="806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First Allocation of Supply</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10</w:t>
            </w: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3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0000FF"/>
              </w:rPr>
              <w:t>ARTICLE II FORECASTS, PURCHASE, PRICING AND PAYMENT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0000FF"/>
              </w:rPr>
              <w:t>10</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2.1</w:t>
            </w:r>
          </w:p>
        </w:tc>
        <w:tc>
          <w:tcPr>
            <w:tcW w:w="666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Forecasts</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10</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2.2</w:t>
            </w:r>
          </w:p>
        </w:tc>
        <w:tc>
          <w:tcPr>
            <w:tcW w:w="666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Purchase Orders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11</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2.3</w:t>
            </w:r>
          </w:p>
        </w:tc>
        <w:tc>
          <w:tcPr>
            <w:tcW w:w="666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Purchase &amp; Sale Commitments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12</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2.4</w:t>
            </w:r>
          </w:p>
        </w:tc>
        <w:tc>
          <w:tcPr>
            <w:tcW w:w="666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Pricing</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12</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2.5</w:t>
            </w:r>
          </w:p>
        </w:tc>
        <w:tc>
          <w:tcPr>
            <w:tcW w:w="666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Invoices</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12</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2.6</w:t>
            </w:r>
          </w:p>
        </w:tc>
        <w:tc>
          <w:tcPr>
            <w:tcW w:w="666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Payment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12</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2.7</w:t>
            </w:r>
          </w:p>
        </w:tc>
        <w:tc>
          <w:tcPr>
            <w:tcW w:w="666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New Products: Qualification, Rollout and Discontinuance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13</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2.8</w:t>
            </w:r>
          </w:p>
        </w:tc>
        <w:tc>
          <w:tcPr>
            <w:tcW w:w="666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Miscellaneous Accessories</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13</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2.9</w:t>
            </w:r>
          </w:p>
        </w:tc>
        <w:tc>
          <w:tcPr>
            <w:tcW w:w="666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Software Updates</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13</w:t>
            </w:r>
          </w:p>
        </w:tc>
      </w:tr>
      <w:tr>
        <w:trPr>
          <w:trHeight w:val="249"/>
        </w:trPr>
        <w:tc>
          <w:tcPr>
            <w:tcW w:w="7360" w:type="dxa"/>
            <w:vAlign w:val="bottom"/>
            <w:gridSpan w:val="2"/>
          </w:tcPr>
          <w:p>
            <w:pPr>
              <w:ind w:left="320"/>
              <w:spacing w:after="0"/>
              <w:rPr>
                <w:sz w:val="20"/>
                <w:szCs w:val="20"/>
                <w:color w:val="auto"/>
              </w:rPr>
            </w:pPr>
            <w:r>
              <w:rPr>
                <w:rFonts w:ascii="Times New Roman" w:cs="Times New Roman" w:eastAsia="Times New Roman" w:hAnsi="Times New Roman"/>
                <w:sz w:val="19"/>
                <w:szCs w:val="19"/>
                <w:color w:val="0000FF"/>
              </w:rPr>
              <w:t>2.10  Integration, Certification, Testing, and Customer Sales</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14</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2.11</w:t>
            </w:r>
          </w:p>
        </w:tc>
        <w:tc>
          <w:tcPr>
            <w:tcW w:w="6660" w:type="dxa"/>
            <w:vAlign w:val="bottom"/>
          </w:tcPr>
          <w:p>
            <w:pPr>
              <w:ind w:left="140"/>
              <w:spacing w:after="0"/>
              <w:rPr>
                <w:sz w:val="20"/>
                <w:szCs w:val="20"/>
                <w:color w:val="auto"/>
              </w:rPr>
            </w:pPr>
            <w:r>
              <w:rPr>
                <w:rFonts w:ascii="Times New Roman" w:cs="Times New Roman" w:eastAsia="Times New Roman" w:hAnsi="Times New Roman"/>
                <w:sz w:val="19"/>
                <w:szCs w:val="19"/>
                <w:color w:val="0000FF"/>
              </w:rPr>
              <w:t>Managed Inventory Program</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14</w:t>
            </w:r>
          </w:p>
        </w:tc>
      </w:tr>
      <w:tr>
        <w:trPr>
          <w:trHeight w:val="251"/>
        </w:trPr>
        <w:tc>
          <w:tcPr>
            <w:tcW w:w="736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0000FF"/>
              </w:rPr>
              <w:t>2.1 Branding</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14</w:t>
            </w: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7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0000FF"/>
              </w:rPr>
              <w:t>ARTICLE III SHIPMENT AND DELIVERY</w:t>
            </w:r>
          </w:p>
        </w:tc>
        <w:tc>
          <w:tcPr>
            <w:tcW w:w="24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0000FF"/>
              </w:rPr>
              <w:t>14</w:t>
            </w:r>
          </w:p>
        </w:tc>
      </w:tr>
      <w:tr>
        <w:trPr>
          <w:trHeight w:val="249"/>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3.1</w:t>
            </w:r>
          </w:p>
        </w:tc>
        <w:tc>
          <w:tcPr>
            <w:tcW w:w="606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Shipping &amp; Delivery</w:t>
            </w:r>
          </w:p>
        </w:tc>
        <w:tc>
          <w:tcPr>
            <w:tcW w:w="24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14</w:t>
            </w:r>
          </w:p>
        </w:tc>
      </w:tr>
      <w:tr>
        <w:trPr>
          <w:trHeight w:val="249"/>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3.2</w:t>
            </w:r>
          </w:p>
        </w:tc>
        <w:tc>
          <w:tcPr>
            <w:tcW w:w="606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Delivery Delays</w:t>
            </w:r>
          </w:p>
        </w:tc>
        <w:tc>
          <w:tcPr>
            <w:tcW w:w="24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14</w:t>
            </w:r>
          </w:p>
        </w:tc>
      </w:tr>
      <w:tr>
        <w:trPr>
          <w:trHeight w:val="249"/>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3.3</w:t>
            </w:r>
          </w:p>
        </w:tc>
        <w:tc>
          <w:tcPr>
            <w:tcW w:w="606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Extraordinary Transportation for Late Deliveries</w:t>
            </w:r>
          </w:p>
        </w:tc>
        <w:tc>
          <w:tcPr>
            <w:tcW w:w="24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14</w:t>
            </w:r>
          </w:p>
        </w:tc>
      </w:tr>
      <w:tr>
        <w:trPr>
          <w:trHeight w:val="251"/>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3.4</w:t>
            </w:r>
          </w:p>
        </w:tc>
        <w:tc>
          <w:tcPr>
            <w:tcW w:w="606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Title</w:t>
            </w:r>
          </w:p>
        </w:tc>
        <w:tc>
          <w:tcPr>
            <w:tcW w:w="240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15</w:t>
            </w: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5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0000FF"/>
              </w:rPr>
              <w:t>ARTICLE IV PRODUCT WARRANTY</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0000FF"/>
              </w:rPr>
              <w:t>15</w:t>
            </w:r>
          </w:p>
        </w:tc>
      </w:tr>
      <w:tr>
        <w:trPr>
          <w:trHeight w:val="249"/>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4.1</w:t>
            </w:r>
          </w:p>
        </w:tc>
        <w:tc>
          <w:tcPr>
            <w:tcW w:w="588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Limited Warranty</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15</w:t>
            </w:r>
          </w:p>
        </w:tc>
      </w:tr>
      <w:tr>
        <w:trPr>
          <w:trHeight w:val="249"/>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4.2</w:t>
            </w:r>
          </w:p>
        </w:tc>
        <w:tc>
          <w:tcPr>
            <w:tcW w:w="588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Assignment of Warranties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15</w:t>
            </w:r>
          </w:p>
        </w:tc>
      </w:tr>
      <w:tr>
        <w:trPr>
          <w:trHeight w:val="249"/>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4.3</w:t>
            </w:r>
          </w:p>
        </w:tc>
        <w:tc>
          <w:tcPr>
            <w:tcW w:w="588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Manufacturer's Warranties</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15</w:t>
            </w:r>
          </w:p>
        </w:tc>
      </w:tr>
      <w:tr>
        <w:trPr>
          <w:trHeight w:val="249"/>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4.4</w:t>
            </w:r>
          </w:p>
        </w:tc>
        <w:tc>
          <w:tcPr>
            <w:tcW w:w="588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No Other Product Warranties; Non-Reliance</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15</w:t>
            </w:r>
          </w:p>
        </w:tc>
      </w:tr>
      <w:tr>
        <w:trPr>
          <w:trHeight w:val="251"/>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4.5</w:t>
            </w:r>
          </w:p>
        </w:tc>
        <w:tc>
          <w:tcPr>
            <w:tcW w:w="588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w:t>
            </w:r>
          </w:p>
        </w:tc>
        <w:tc>
          <w:tcPr>
            <w:tcW w:w="25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16</w:t>
            </w: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9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0000FF"/>
              </w:rPr>
              <w:t>ARTICLE V QUALITY ASSURANCE AND CONTROL; CUSTOMER SUPPORT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0000FF"/>
              </w:rPr>
              <w:t>16</w:t>
            </w:r>
          </w:p>
        </w:tc>
      </w:tr>
      <w:tr>
        <w:trPr>
          <w:trHeight w:val="249"/>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5.1</w:t>
            </w:r>
          </w:p>
        </w:tc>
        <w:tc>
          <w:tcPr>
            <w:tcW w:w="724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Customer Support</w:t>
            </w:r>
            <w:r>
              <w:rPr>
                <w:rFonts w:ascii="Times New Roman" w:cs="Times New Roman" w:eastAsia="Times New Roman" w:hAnsi="Times New Roman"/>
                <w:sz w:val="19"/>
                <w:szCs w:val="19"/>
                <w:color w:val="00000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16</w:t>
            </w:r>
          </w:p>
        </w:tc>
      </w:tr>
      <w:tr>
        <w:trPr>
          <w:trHeight w:val="249"/>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5.2</w:t>
            </w:r>
          </w:p>
        </w:tc>
        <w:tc>
          <w:tcPr>
            <w:tcW w:w="724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Quality Assurance and Quality Control</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16</w:t>
            </w:r>
          </w:p>
        </w:tc>
      </w:tr>
      <w:tr>
        <w:trPr>
          <w:trHeight w:val="251"/>
        </w:trPr>
        <w:tc>
          <w:tcPr>
            <w:tcW w:w="6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0000FF"/>
              </w:rPr>
              <w:t>5.3</w:t>
            </w:r>
          </w:p>
        </w:tc>
        <w:tc>
          <w:tcPr>
            <w:tcW w:w="724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Quality Audits and Inspections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16</w:t>
            </w:r>
          </w:p>
        </w:tc>
      </w:tr>
    </w:tbl>
    <w:p>
      <w:pPr>
        <w:sectPr>
          <w:pgSz w:w="11900" w:h="16838" w:orient="portrait"/>
          <w:cols w:equalWidth="0" w:num="1">
            <w:col w:w="10180"/>
          </w:cols>
          <w:pgMar w:left="1380" w:top="101"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5.4</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Recordkeeping Audits</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17</w:t>
            </w:r>
          </w:p>
        </w:tc>
      </w:tr>
      <w:tr>
        <w:trPr>
          <w:trHeight w:val="251"/>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5.5</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Information Rights</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17</w:t>
            </w:r>
          </w:p>
        </w:tc>
      </w:tr>
      <w:tr>
        <w:trPr>
          <w:trHeight w:val="509"/>
        </w:trPr>
        <w:tc>
          <w:tcPr>
            <w:tcW w:w="79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0000FF"/>
              </w:rPr>
              <w:t>ARTICLE VI TERM, EVENTS OF DEFAULT, REMEDIES, AND TERMINATION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0000FF"/>
              </w:rPr>
              <w:t>17</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6.1</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Term</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17</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6.2</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Termination and Events of Default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17</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6.3</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Effect of Termination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18</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6.4</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Survival</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19</w:t>
            </w:r>
          </w:p>
        </w:tc>
      </w:tr>
      <w:tr>
        <w:trPr>
          <w:trHeight w:val="251"/>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6.5</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Continuity of Supply</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19</w:t>
            </w:r>
          </w:p>
        </w:tc>
      </w:tr>
      <w:tr>
        <w:trPr>
          <w:trHeight w:val="509"/>
        </w:trPr>
        <w:tc>
          <w:tcPr>
            <w:tcW w:w="79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0000FF"/>
              </w:rPr>
              <w:t>ARTICLE VII CONFIDENTIALITY</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0000FF"/>
              </w:rPr>
              <w:t>19</w:t>
            </w:r>
          </w:p>
        </w:tc>
      </w:tr>
      <w:tr>
        <w:trPr>
          <w:trHeight w:val="251"/>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7.1</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Confidentiality; Public</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19</w:t>
            </w:r>
          </w:p>
        </w:tc>
      </w:tr>
      <w:tr>
        <w:trPr>
          <w:trHeight w:val="509"/>
        </w:trPr>
        <w:tc>
          <w:tcPr>
            <w:tcW w:w="79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0000FF"/>
              </w:rPr>
              <w:t>ARTICLE VIII INDEMNIFICATION AND LIMITATION OF LIABILITY</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0000FF"/>
              </w:rPr>
              <w:t>19</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8.1</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Enphase Indemnity</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19</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8.2</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SunPower Indemnity</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20</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8.3</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Patent Indemnity</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20</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8.4</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No Consequential Damages</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21</w:t>
            </w:r>
          </w:p>
        </w:tc>
      </w:tr>
      <w:tr>
        <w:trPr>
          <w:trHeight w:val="251"/>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8.5</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Limitation of Liability</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21</w:t>
            </w:r>
          </w:p>
        </w:tc>
      </w:tr>
      <w:tr>
        <w:trPr>
          <w:trHeight w:val="509"/>
        </w:trPr>
        <w:tc>
          <w:tcPr>
            <w:tcW w:w="79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0000FF"/>
              </w:rPr>
              <w:t>ARTICLE IX GENERAL PROVISIONS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0000FF"/>
              </w:rPr>
              <w:t>21</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9.1</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Proprietary Rights</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21</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9.2</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Force Majeure</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21</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9.3</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Governing Law; Venue</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22</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9.4</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Attorneys' Fees</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22</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9.5</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Notices</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22</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9.6</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Relationship of Parties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23</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9.7</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Dispute Resolution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23</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9.8</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Successors and Assigns; Parties In Interest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23</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9.9</w:t>
            </w:r>
          </w:p>
        </w:tc>
        <w:tc>
          <w:tcPr>
            <w:tcW w:w="7240" w:type="dxa"/>
            <w:vAlign w:val="bottom"/>
          </w:tcPr>
          <w:p>
            <w:pPr>
              <w:ind w:left="60"/>
              <w:spacing w:after="0"/>
              <w:rPr>
                <w:sz w:val="20"/>
                <w:szCs w:val="20"/>
                <w:color w:val="auto"/>
              </w:rPr>
            </w:pPr>
            <w:r>
              <w:rPr>
                <w:rFonts w:ascii="Times New Roman" w:cs="Times New Roman" w:eastAsia="Times New Roman" w:hAnsi="Times New Roman"/>
                <w:sz w:val="19"/>
                <w:szCs w:val="19"/>
                <w:color w:val="0000FF"/>
              </w:rPr>
              <w:t>Remedies Cumulative; Specific Performance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24</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9.10</w:t>
            </w:r>
          </w:p>
        </w:tc>
        <w:tc>
          <w:tcPr>
            <w:tcW w:w="7240" w:type="dxa"/>
            <w:vAlign w:val="bottom"/>
          </w:tcPr>
          <w:p>
            <w:pPr>
              <w:ind w:left="140"/>
              <w:spacing w:after="0"/>
              <w:rPr>
                <w:sz w:val="20"/>
                <w:szCs w:val="20"/>
                <w:color w:val="auto"/>
              </w:rPr>
            </w:pPr>
            <w:r>
              <w:rPr>
                <w:rFonts w:ascii="Times New Roman" w:cs="Times New Roman" w:eastAsia="Times New Roman" w:hAnsi="Times New Roman"/>
                <w:sz w:val="19"/>
                <w:szCs w:val="19"/>
                <w:color w:val="0000FF"/>
              </w:rPr>
              <w:t>Severability</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24</w:t>
            </w:r>
          </w:p>
        </w:tc>
      </w:tr>
      <w:tr>
        <w:trPr>
          <w:trHeight w:val="249"/>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9.11</w:t>
            </w:r>
          </w:p>
        </w:tc>
        <w:tc>
          <w:tcPr>
            <w:tcW w:w="7240" w:type="dxa"/>
            <w:vAlign w:val="bottom"/>
          </w:tcPr>
          <w:p>
            <w:pPr>
              <w:ind w:left="140"/>
              <w:spacing w:after="0"/>
              <w:rPr>
                <w:sz w:val="20"/>
                <w:szCs w:val="20"/>
                <w:color w:val="auto"/>
              </w:rPr>
            </w:pPr>
            <w:r>
              <w:rPr>
                <w:rFonts w:ascii="Times New Roman" w:cs="Times New Roman" w:eastAsia="Times New Roman" w:hAnsi="Times New Roman"/>
                <w:sz w:val="19"/>
                <w:szCs w:val="19"/>
                <w:color w:val="0000FF"/>
              </w:rPr>
              <w:t>Entire Agreement; Interpretation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24</w:t>
            </w:r>
          </w:p>
        </w:tc>
      </w:tr>
      <w:tr>
        <w:trPr>
          <w:trHeight w:val="251"/>
        </w:trPr>
        <w:tc>
          <w:tcPr>
            <w:tcW w:w="700" w:type="dxa"/>
            <w:vAlign w:val="bottom"/>
          </w:tcPr>
          <w:p>
            <w:pPr>
              <w:ind w:left="320"/>
              <w:spacing w:after="0"/>
              <w:rPr>
                <w:sz w:val="20"/>
                <w:szCs w:val="20"/>
                <w:color w:val="auto"/>
              </w:rPr>
            </w:pPr>
            <w:r>
              <w:rPr>
                <w:rFonts w:ascii="Times New Roman" w:cs="Times New Roman" w:eastAsia="Times New Roman" w:hAnsi="Times New Roman"/>
                <w:sz w:val="19"/>
                <w:szCs w:val="19"/>
                <w:color w:val="0000FF"/>
              </w:rPr>
              <w:t>9.12</w:t>
            </w:r>
          </w:p>
        </w:tc>
        <w:tc>
          <w:tcPr>
            <w:tcW w:w="7240" w:type="dxa"/>
            <w:vAlign w:val="bottom"/>
          </w:tcPr>
          <w:p>
            <w:pPr>
              <w:ind w:left="140"/>
              <w:spacing w:after="0"/>
              <w:rPr>
                <w:sz w:val="20"/>
                <w:szCs w:val="20"/>
                <w:color w:val="auto"/>
              </w:rPr>
            </w:pPr>
            <w:r>
              <w:rPr>
                <w:rFonts w:ascii="Times New Roman" w:cs="Times New Roman" w:eastAsia="Times New Roman" w:hAnsi="Times New Roman"/>
                <w:sz w:val="19"/>
                <w:szCs w:val="19"/>
                <w:color w:val="0000FF"/>
              </w:rPr>
              <w:t>Counterparts</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0000FF"/>
              </w:rPr>
              <w:t>24</w:t>
            </w:r>
          </w:p>
        </w:tc>
      </w:tr>
    </w:tbl>
    <w:p>
      <w:pPr>
        <w:sectPr>
          <w:pgSz w:w="11900" w:h="16838" w:orient="portrait"/>
          <w:cols w:equalWidth="0" w:num="1">
            <w:col w:w="10180"/>
          </w:cols>
          <w:pgMar w:left="1380" w:top="10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60" w:type="dxa"/>
            <w:vAlign w:val="bottom"/>
          </w:tcPr>
          <w:p>
            <w:pPr>
              <w:ind w:left="3040"/>
              <w:spacing w:after="0"/>
              <w:rPr>
                <w:sz w:val="20"/>
                <w:szCs w:val="20"/>
                <w:color w:val="auto"/>
              </w:rPr>
            </w:pPr>
            <w:r>
              <w:rPr>
                <w:rFonts w:ascii="Times New Roman" w:cs="Times New Roman" w:eastAsia="Times New Roman" w:hAnsi="Times New Roman"/>
                <w:sz w:val="19"/>
                <w:szCs w:val="19"/>
                <w:b w:val="1"/>
                <w:bCs w:val="1"/>
                <w:color w:val="auto"/>
                <w:w w:val="97"/>
              </w:rPr>
              <w:t>EXHIBITS</w:t>
            </w:r>
          </w:p>
        </w:tc>
      </w:tr>
      <w:tr>
        <w:trPr>
          <w:trHeight w:val="693"/>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Exhibit A</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9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Products</w:t>
            </w:r>
          </w:p>
        </w:tc>
      </w:tr>
      <w:tr>
        <w:trPr>
          <w:trHeight w:val="24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Exhibit B</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9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Pricing</w:t>
            </w:r>
          </w:p>
        </w:tc>
      </w:tr>
      <w:tr>
        <w:trPr>
          <w:trHeight w:val="236"/>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Exhibit C</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9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Product Roadmap Exhibit</w:t>
            </w:r>
          </w:p>
        </w:tc>
      </w:tr>
      <w:tr>
        <w:trPr>
          <w:trHeight w:val="223"/>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Exhibit D</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9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Exhibit E</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9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Form of Purchase Order</w:t>
            </w:r>
          </w:p>
        </w:tc>
      </w:tr>
      <w:tr>
        <w:trPr>
          <w:trHeight w:val="22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Exhibit F</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Intentionally omitted</w:t>
            </w:r>
            <w:r>
              <w:rPr>
                <w:rFonts w:ascii="Times New Roman" w:cs="Times New Roman" w:eastAsia="Times New Roman" w:hAnsi="Times New Roman"/>
                <w:sz w:val="19"/>
                <w:szCs w:val="19"/>
                <w:color w:val="auto"/>
              </w:rPr>
              <w:t>]</w:t>
            </w:r>
          </w:p>
        </w:tc>
      </w:tr>
      <w:tr>
        <w:trPr>
          <w:trHeight w:val="236"/>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Exhibit G</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9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Limited Warranty &amp; Warranty Services</w:t>
            </w:r>
          </w:p>
        </w:tc>
      </w:tr>
      <w:tr>
        <w:trPr>
          <w:trHeight w:val="223"/>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Exhibit H</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9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Quality Plan</w:t>
            </w:r>
          </w:p>
        </w:tc>
      </w:tr>
      <w:tr>
        <w:trPr>
          <w:trHeight w:val="24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Exhibit I</w:t>
            </w:r>
          </w:p>
        </w:tc>
        <w:tc>
          <w:tcPr>
            <w:tcW w:w="2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w:t>
            </w:r>
          </w:p>
        </w:tc>
        <w:tc>
          <w:tcPr>
            <w:tcW w:w="39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Product Data</w:t>
            </w:r>
          </w:p>
        </w:tc>
      </w:tr>
      <w:tr>
        <w:trPr>
          <w:trHeight w:val="251"/>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Exhibit J</w:t>
            </w:r>
          </w:p>
        </w:tc>
        <w:tc>
          <w:tcPr>
            <w:tcW w:w="2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39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Product Qualification</w:t>
            </w:r>
          </w:p>
        </w:tc>
      </w:tr>
    </w:tbl>
    <w:p>
      <w:pPr>
        <w:sectPr>
          <w:pgSz w:w="11900" w:h="16838" w:orient="portrait"/>
          <w:cols w:equalWidth="0" w:num="1">
            <w:col w:w="10180"/>
          </w:cols>
          <w:pgMar w:left="1380" w:top="100"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b w:val="1"/>
          <w:bCs w:val="1"/>
          <w:color w:val="auto"/>
        </w:rPr>
        <w:t>MASTER SUPPLY AGREEMENT</w:t>
      </w:r>
    </w:p>
    <w:p>
      <w:pPr>
        <w:spacing w:after="0" w:line="186" w:lineRule="exact"/>
        <w:rPr>
          <w:sz w:val="20"/>
          <w:szCs w:val="20"/>
          <w:color w:val="auto"/>
        </w:rPr>
      </w:pPr>
    </w:p>
    <w:p>
      <w:pPr>
        <w:ind w:right="220" w:firstLine="629"/>
        <w:spacing w:after="0" w:line="223" w:lineRule="auto"/>
        <w:rPr>
          <w:sz w:val="20"/>
          <w:szCs w:val="20"/>
          <w:color w:val="auto"/>
        </w:rPr>
      </w:pPr>
      <w:r>
        <w:rPr>
          <w:rFonts w:ascii="Times New Roman" w:cs="Times New Roman" w:eastAsia="Times New Roman" w:hAnsi="Times New Roman"/>
          <w:sz w:val="19"/>
          <w:szCs w:val="19"/>
          <w:color w:val="auto"/>
        </w:rPr>
        <w:t>This Master Supply Agreement (“</w:t>
      </w:r>
      <w:r>
        <w:rPr>
          <w:rFonts w:ascii="Times New Roman" w:cs="Times New Roman" w:eastAsia="Times New Roman" w:hAnsi="Times New Roman"/>
          <w:sz w:val="19"/>
          <w:szCs w:val="19"/>
          <w:b w:val="1"/>
          <w:bCs w:val="1"/>
          <w:i w:val="1"/>
          <w:iCs w:val="1"/>
          <w:color w:val="auto"/>
        </w:rPr>
        <w:t>MSA</w:t>
      </w:r>
      <w:r>
        <w:rPr>
          <w:rFonts w:ascii="Times New Roman" w:cs="Times New Roman" w:eastAsia="Times New Roman" w:hAnsi="Times New Roman"/>
          <w:sz w:val="19"/>
          <w:szCs w:val="19"/>
          <w:color w:val="auto"/>
        </w:rPr>
        <w:t>”) is entered into on the Closing Date (“</w:t>
      </w:r>
      <w:r>
        <w:rPr>
          <w:rFonts w:ascii="Times New Roman" w:cs="Times New Roman" w:eastAsia="Times New Roman" w:hAnsi="Times New Roman"/>
          <w:sz w:val="19"/>
          <w:szCs w:val="19"/>
          <w:b w:val="1"/>
          <w:bCs w:val="1"/>
          <w:i w:val="1"/>
          <w:iCs w:val="1"/>
          <w:color w:val="auto"/>
        </w:rPr>
        <w:t>Closing Date</w:t>
      </w:r>
      <w:r>
        <w:rPr>
          <w:rFonts w:ascii="Times New Roman" w:cs="Times New Roman" w:eastAsia="Times New Roman" w:hAnsi="Times New Roman"/>
          <w:sz w:val="19"/>
          <w:szCs w:val="19"/>
          <w:color w:val="auto"/>
        </w:rPr>
        <w:t>”) of the Asset Purchase Agreement (“</w:t>
      </w:r>
      <w:r>
        <w:rPr>
          <w:rFonts w:ascii="Times New Roman" w:cs="Times New Roman" w:eastAsia="Times New Roman" w:hAnsi="Times New Roman"/>
          <w:sz w:val="19"/>
          <w:szCs w:val="19"/>
          <w:b w:val="1"/>
          <w:bCs w:val="1"/>
          <w:i w:val="1"/>
          <w:iCs w:val="1"/>
          <w:color w:val="auto"/>
        </w:rPr>
        <w:t>APA</w:t>
      </w:r>
      <w:r>
        <w:rPr>
          <w:rFonts w:ascii="Times New Roman" w:cs="Times New Roman" w:eastAsia="Times New Roman" w:hAnsi="Times New Roman"/>
          <w:sz w:val="19"/>
          <w:szCs w:val="19"/>
          <w:color w:val="auto"/>
        </w:rPr>
        <w:t>”), as defined herein,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between SunPower Corporation, a Delaware corporation with offices</w:t>
      </w:r>
    </w:p>
    <w:p>
      <w:pPr>
        <w:spacing w:after="0" w:line="216" w:lineRule="auto"/>
        <w:rPr>
          <w:sz w:val="20"/>
          <w:szCs w:val="20"/>
          <w:color w:val="auto"/>
        </w:rPr>
      </w:pPr>
      <w:r>
        <w:rPr>
          <w:rFonts w:ascii="Times New Roman" w:cs="Times New Roman" w:eastAsia="Times New Roman" w:hAnsi="Times New Roman"/>
          <w:sz w:val="19"/>
          <w:szCs w:val="19"/>
          <w:color w:val="auto"/>
        </w:rPr>
        <w:t>at 77 Rio Robles, San Jose, California 95134 (“</w:t>
      </w:r>
      <w:r>
        <w:rPr>
          <w:rFonts w:ascii="Times New Roman" w:cs="Times New Roman" w:eastAsia="Times New Roman" w:hAnsi="Times New Roman"/>
          <w:sz w:val="19"/>
          <w:szCs w:val="19"/>
          <w:b w:val="1"/>
          <w:bCs w:val="1"/>
          <w:i w:val="1"/>
          <w:iCs w:val="1"/>
          <w:color w:val="auto"/>
        </w:rPr>
        <w:t>SunPower</w:t>
      </w:r>
      <w:r>
        <w:rPr>
          <w:rFonts w:ascii="Times New Roman" w:cs="Times New Roman" w:eastAsia="Times New Roman" w:hAnsi="Times New Roman"/>
          <w:sz w:val="19"/>
          <w:szCs w:val="19"/>
          <w:color w:val="auto"/>
        </w:rPr>
        <w:t>”), and Enphase Energy, Inc., a Delaware corporation with offices at</w:t>
      </w:r>
    </w:p>
    <w:p>
      <w:pPr>
        <w:ind w:right="240"/>
        <w:spacing w:after="0" w:line="226" w:lineRule="auto"/>
        <w:rPr>
          <w:sz w:val="20"/>
          <w:szCs w:val="20"/>
          <w:color w:val="auto"/>
        </w:rPr>
      </w:pPr>
      <w:r>
        <w:rPr>
          <w:rFonts w:ascii="Times New Roman" w:cs="Times New Roman" w:eastAsia="Times New Roman" w:hAnsi="Times New Roman"/>
          <w:sz w:val="19"/>
          <w:szCs w:val="19"/>
          <w:color w:val="auto"/>
        </w:rPr>
        <w:t>1420 N. McDowell Blvd., Petaluma, CA 94954 (“</w:t>
      </w:r>
      <w:r>
        <w:rPr>
          <w:rFonts w:ascii="Times New Roman" w:cs="Times New Roman" w:eastAsia="Times New Roman" w:hAnsi="Times New Roman"/>
          <w:sz w:val="19"/>
          <w:szCs w:val="19"/>
          <w:b w:val="1"/>
          <w:bCs w:val="1"/>
          <w:i w:val="1"/>
          <w:iCs w:val="1"/>
          <w:color w:val="auto"/>
        </w:rPr>
        <w:t>Enphase</w:t>
      </w:r>
      <w:r>
        <w:rPr>
          <w:rFonts w:ascii="Times New Roman" w:cs="Times New Roman" w:eastAsia="Times New Roman" w:hAnsi="Times New Roman"/>
          <w:sz w:val="19"/>
          <w:szCs w:val="19"/>
          <w:color w:val="auto"/>
        </w:rPr>
        <w:t>”). SunPower and Enphase, each together with all of its directly and indirectly owned or controlled Subsidiaries, may be referred to individually as a “</w:t>
      </w:r>
      <w:r>
        <w:rPr>
          <w:rFonts w:ascii="Times New Roman" w:cs="Times New Roman" w:eastAsia="Times New Roman" w:hAnsi="Times New Roman"/>
          <w:sz w:val="19"/>
          <w:szCs w:val="19"/>
          <w:b w:val="1"/>
          <w:bCs w:val="1"/>
          <w:i w:val="1"/>
          <w:iCs w:val="1"/>
          <w:color w:val="auto"/>
        </w:rPr>
        <w:t>Party</w:t>
      </w:r>
      <w:r>
        <w:rPr>
          <w:rFonts w:ascii="Times New Roman" w:cs="Times New Roman" w:eastAsia="Times New Roman" w:hAnsi="Times New Roman"/>
          <w:sz w:val="19"/>
          <w:szCs w:val="19"/>
          <w:color w:val="auto"/>
        </w:rPr>
        <w:t>” and collectively as the “</w:t>
      </w:r>
      <w:r>
        <w:rPr>
          <w:rFonts w:ascii="Times New Roman" w:cs="Times New Roman" w:eastAsia="Times New Roman" w:hAnsi="Times New Roman"/>
          <w:sz w:val="19"/>
          <w:szCs w:val="19"/>
          <w:b w:val="1"/>
          <w:bCs w:val="1"/>
          <w:i w:val="1"/>
          <w:iCs w:val="1"/>
          <w:color w:val="auto"/>
        </w:rPr>
        <w:t>Parties</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firstLine="629"/>
        <w:spacing w:after="0" w:line="252" w:lineRule="auto"/>
        <w:rPr>
          <w:sz w:val="20"/>
          <w:szCs w:val="20"/>
          <w:color w:val="auto"/>
        </w:rPr>
      </w:pPr>
      <w:r>
        <w:rPr>
          <w:rFonts w:ascii="Times New Roman" w:cs="Times New Roman" w:eastAsia="Times New Roman" w:hAnsi="Times New Roman"/>
          <w:sz w:val="19"/>
          <w:szCs w:val="19"/>
          <w:color w:val="auto"/>
        </w:rPr>
        <w:t>The Parties wish to provide for the sale by Enphase to SunPower, and the purchase by SunPower from Enphase, of Products (as defined below), on the terms set forth below.</w:t>
      </w:r>
    </w:p>
    <w:p>
      <w:pPr>
        <w:spacing w:after="0" w:line="14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177" w:lineRule="exact"/>
        <w:rPr>
          <w:sz w:val="20"/>
          <w:szCs w:val="20"/>
          <w:color w:val="auto"/>
        </w:rPr>
      </w:pPr>
    </w:p>
    <w:p>
      <w:pPr>
        <w:ind w:right="220" w:firstLine="629"/>
        <w:spacing w:after="0" w:line="246" w:lineRule="auto"/>
        <w:rPr>
          <w:sz w:val="20"/>
          <w:szCs w:val="20"/>
          <w:color w:val="auto"/>
        </w:rPr>
      </w:pPr>
      <w:r>
        <w:rPr>
          <w:rFonts w:ascii="Times New Roman" w:cs="Times New Roman" w:eastAsia="Times New Roman" w:hAnsi="Times New Roman"/>
          <w:sz w:val="19"/>
          <w:szCs w:val="19"/>
          <w:color w:val="auto"/>
        </w:rPr>
        <w:t>Capitalized terms used in this MSA are defined above and as follows, and wherever from the context it appears appropriate, each term stated in either singular or plural includes the singular and plural:</w:t>
      </w:r>
    </w:p>
    <w:p>
      <w:pPr>
        <w:ind w:left="620" w:right="2680"/>
        <w:spacing w:after="0" w:line="30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 Cable</w:t>
      </w:r>
      <w:r>
        <w:rPr>
          <w:rFonts w:ascii="Times New Roman" w:cs="Times New Roman" w:eastAsia="Times New Roman" w:hAnsi="Times New Roman"/>
          <w:sz w:val="19"/>
          <w:szCs w:val="19"/>
          <w:color w:val="auto"/>
        </w:rPr>
        <w:t>” means an alternating current (AC) Cable that connects one MLPE to another MLPE.</w:t>
      </w:r>
    </w:p>
    <w:p>
      <w:pPr>
        <w:spacing w:after="0" w:line="1" w:lineRule="exact"/>
        <w:rPr>
          <w:sz w:val="20"/>
          <w:szCs w:val="20"/>
          <w:color w:val="auto"/>
        </w:rPr>
      </w:pPr>
    </w:p>
    <w:p>
      <w:pPr>
        <w:ind w:left="620" w:right="2900"/>
        <w:spacing w:after="0" w:line="31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 Module</w:t>
      </w:r>
      <w:r>
        <w:rPr>
          <w:rFonts w:ascii="Times New Roman" w:cs="Times New Roman" w:eastAsia="Times New Roman" w:hAnsi="Times New Roman"/>
          <w:sz w:val="19"/>
          <w:szCs w:val="19"/>
          <w:color w:val="auto"/>
        </w:rPr>
        <w:t>” means a combination of a SunPower photovoltaic module with a MLPE and Cables to form a single unit.</w:t>
      </w:r>
    </w:p>
    <w:p>
      <w:pPr>
        <w:spacing w:after="0" w:line="2"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Affiliate</w:t>
      </w:r>
      <w:r>
        <w:rPr>
          <w:rFonts w:ascii="Times New Roman" w:cs="Times New Roman" w:eastAsia="Times New Roman" w:hAnsi="Times New Roman"/>
          <w:sz w:val="19"/>
          <w:szCs w:val="19"/>
          <w:color w:val="auto"/>
        </w:rPr>
        <w:t>” of a Person means any other Person that directly or indirectly, through one or more intermediaries, controls, is controlled by, or is under common control with, such Person, where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provided, however, that the Excluded Total Group shall not be considered an “Affiliate” of SunPower.</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Annual PPM</w:t>
      </w:r>
      <w:r>
        <w:rPr>
          <w:rFonts w:ascii="Times New Roman" w:cs="Times New Roman" w:eastAsia="Times New Roman" w:hAnsi="Times New Roman"/>
          <w:sz w:val="19"/>
          <w:szCs w:val="19"/>
          <w:color w:val="auto"/>
        </w:rPr>
        <w:t>” has the meaning set forth in Section 6.2(a)(ii).</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Approval Requirements</w:t>
      </w:r>
      <w:r>
        <w:rPr>
          <w:rFonts w:ascii="Times New Roman" w:cs="Times New Roman" w:eastAsia="Times New Roman" w:hAnsi="Times New Roman"/>
          <w:sz w:val="19"/>
          <w:szCs w:val="19"/>
          <w:color w:val="auto"/>
        </w:rPr>
        <w:t>” has the meaning set forth in Section 1.2(b).</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APA</w:t>
      </w:r>
      <w:r>
        <w:rPr>
          <w:rFonts w:ascii="Times New Roman" w:cs="Times New Roman" w:eastAsia="Times New Roman" w:hAnsi="Times New Roman"/>
          <w:sz w:val="19"/>
          <w:szCs w:val="19"/>
          <w:color w:val="auto"/>
        </w:rPr>
        <w:t>” means the Asset Purchase Agreement between the Parties dated June 12, 2018.</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Base Price</w:t>
      </w:r>
      <w:r>
        <w:rPr>
          <w:rFonts w:ascii="Times New Roman" w:cs="Times New Roman" w:eastAsia="Times New Roman" w:hAnsi="Times New Roman"/>
          <w:sz w:val="19"/>
          <w:szCs w:val="19"/>
          <w:color w:val="auto"/>
        </w:rPr>
        <w:t>” has the meaning set forth in Exhibit B.</w:t>
      </w:r>
    </w:p>
    <w:p>
      <w:pPr>
        <w:spacing w:after="0" w:line="70" w:lineRule="exact"/>
        <w:rPr>
          <w:sz w:val="20"/>
          <w:szCs w:val="20"/>
          <w:color w:val="auto"/>
        </w:rPr>
      </w:pPr>
    </w:p>
    <w:p>
      <w:pPr>
        <w:ind w:firstLine="629"/>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Business Day</w:t>
      </w:r>
      <w:r>
        <w:rPr>
          <w:rFonts w:ascii="Times New Roman" w:cs="Times New Roman" w:eastAsia="Times New Roman" w:hAnsi="Times New Roman"/>
          <w:sz w:val="19"/>
          <w:szCs w:val="19"/>
          <w:color w:val="auto"/>
        </w:rPr>
        <w:t>” means any day other than a Saturday, a Sunday, or other day on which banking institutions in San Francisco, California are not required to be open.</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Cable</w:t>
      </w:r>
      <w:r>
        <w:rPr>
          <w:rFonts w:ascii="Times New Roman" w:cs="Times New Roman" w:eastAsia="Times New Roman" w:hAnsi="Times New Roman"/>
          <w:sz w:val="19"/>
          <w:szCs w:val="19"/>
          <w:color w:val="auto"/>
        </w:rPr>
        <w:t>” means either: (i) a direct current (DC) Cable that connects a photovoltaic module to a MLPE; or (ii) an AC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Cable.</w:t>
      </w:r>
    </w:p>
    <w:p>
      <w:pPr>
        <w:spacing w:after="0" w:line="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Confidential Information</w:t>
      </w:r>
      <w:r>
        <w:rPr>
          <w:rFonts w:ascii="Times New Roman" w:cs="Times New Roman" w:eastAsia="Times New Roman" w:hAnsi="Times New Roman"/>
          <w:sz w:val="19"/>
          <w:szCs w:val="19"/>
          <w:color w:val="auto"/>
        </w:rPr>
        <w:t>” has the meaning defined in the Confidentiality Agreement.</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Confidentiality Agreement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Closing Date</w:t>
      </w:r>
      <w:r>
        <w:rPr>
          <w:rFonts w:ascii="Times New Roman" w:cs="Times New Roman" w:eastAsia="Times New Roman" w:hAnsi="Times New Roman"/>
          <w:sz w:val="19"/>
          <w:szCs w:val="19"/>
          <w:color w:val="auto"/>
        </w:rPr>
        <w:t>” has the meaning set forth in the APA.</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Defaulting Party</w:t>
      </w:r>
      <w:r>
        <w:rPr>
          <w:rFonts w:ascii="Times New Roman" w:cs="Times New Roman" w:eastAsia="Times New Roman" w:hAnsi="Times New Roman"/>
          <w:sz w:val="19"/>
          <w:szCs w:val="19"/>
          <w:color w:val="auto"/>
        </w:rPr>
        <w:t xml:space="preserve">” shall have the meaning set forth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Defect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Defective</w:t>
      </w:r>
      <w:r>
        <w:rPr>
          <w:rFonts w:ascii="Times New Roman" w:cs="Times New Roman" w:eastAsia="Times New Roman" w:hAnsi="Times New Roman"/>
          <w:sz w:val="19"/>
          <w:szCs w:val="19"/>
          <w:color w:val="auto"/>
        </w:rPr>
        <w:t>” means the occurrence of defects in materials or workmanship covered by the Limited Warranty.</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Delivery</w:t>
      </w:r>
      <w:r>
        <w:rPr>
          <w:rFonts w:ascii="Times New Roman" w:cs="Times New Roman" w:eastAsia="Times New Roman" w:hAnsi="Times New Roman"/>
          <w:sz w:val="19"/>
          <w:szCs w:val="19"/>
          <w:color w:val="auto"/>
        </w:rPr>
        <w:t>” means the delivery of Products FOB (Incoterms 2010) Origin Port.</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Delivery Date</w:t>
      </w:r>
      <w:r>
        <w:rPr>
          <w:rFonts w:ascii="Times New Roman" w:cs="Times New Roman" w:eastAsia="Times New Roman" w:hAnsi="Times New Roman"/>
          <w:sz w:val="19"/>
          <w:szCs w:val="19"/>
          <w:color w:val="auto"/>
        </w:rPr>
        <w:t>” means the date that Products are to be delivered to the Origin Port.</w:t>
      </w:r>
    </w:p>
    <w:p>
      <w:pPr>
        <w:spacing w:after="0" w:line="57" w:lineRule="exact"/>
        <w:rPr>
          <w:sz w:val="20"/>
          <w:szCs w:val="20"/>
          <w:color w:val="auto"/>
        </w:rPr>
      </w:pPr>
    </w:p>
    <w:p>
      <w:pPr>
        <w:jc w:val="both"/>
        <w:ind w:left="620"/>
        <w:spacing w:after="0" w:line="27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Delivery Lead Time</w:t>
      </w:r>
      <w:r>
        <w:rPr>
          <w:rFonts w:ascii="Times New Roman" w:cs="Times New Roman" w:eastAsia="Times New Roman" w:hAnsi="Times New Roman"/>
          <w:sz w:val="19"/>
          <w:szCs w:val="19"/>
          <w:color w:val="auto"/>
        </w:rPr>
        <w:t>” is measured with respect to a Purchase Order as the number ofcalendar days from Order Acknowledgement to the time of Delivery, and except as otherwise provided in this MSA, shall be 10 weeks with respect to all Products available as of the Effective Date.</w:t>
      </w:r>
    </w:p>
    <w:p>
      <w:pPr>
        <w:sectPr>
          <w:pgSz w:w="11900" w:h="16838" w:orient="portrait"/>
          <w:cols w:equalWidth="0" w:num="1">
            <w:col w:w="10180"/>
          </w:cols>
          <w:pgMar w:left="1380" w:top="100"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has the meaning set forth in the introductory paragraph of this MSA.</w:t>
      </w:r>
    </w:p>
    <w:p>
      <w:pPr>
        <w:spacing w:after="0" w:line="70" w:lineRule="exact"/>
        <w:rPr>
          <w:sz w:val="20"/>
          <w:szCs w:val="20"/>
          <w:color w:val="auto"/>
        </w:rPr>
      </w:pPr>
    </w:p>
    <w:p>
      <w:pPr>
        <w:jc w:val="both"/>
        <w:ind w:left="560"/>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Enphase Documentation</w:t>
      </w:r>
      <w:r>
        <w:rPr>
          <w:rFonts w:ascii="Times New Roman" w:cs="Times New Roman" w:eastAsia="Times New Roman" w:hAnsi="Times New Roman"/>
          <w:sz w:val="19"/>
          <w:szCs w:val="19"/>
          <w:color w:val="auto"/>
        </w:rPr>
        <w:t>” means System Owner documentation furnished or made available to SunPower by Enphase for distribution in connection with the Products at the time of installation of the Products, as such documentation may be updated or amended by Enphase from time to time.</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w:t>
      </w:r>
    </w:p>
    <w:p>
      <w:pPr>
        <w:spacing w:after="0" w:line="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Event of Default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w:t>
      </w:r>
    </w:p>
    <w:p>
      <w:pPr>
        <w:spacing w:after="0" w:line="70" w:lineRule="exact"/>
        <w:rPr>
          <w:sz w:val="20"/>
          <w:szCs w:val="20"/>
          <w:color w:val="auto"/>
        </w:rPr>
      </w:pPr>
    </w:p>
    <w:p>
      <w:pPr>
        <w:jc w:val="both"/>
        <w:ind w:left="560"/>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Total Group</w:t>
      </w:r>
      <w:r>
        <w:rPr>
          <w:rFonts w:ascii="Times New Roman" w:cs="Times New Roman" w:eastAsia="Times New Roman" w:hAnsi="Times New Roman"/>
          <w:sz w:val="19"/>
          <w:szCs w:val="19"/>
          <w:color w:val="auto"/>
        </w:rPr>
        <w:t>” means Total S.A. and each of its Subsidiaries other than SunPower or any Subsidiary of SunPower (including any successors or assigns of SunPower or any Subsidiaries of SunPower).</w:t>
      </w:r>
    </w:p>
    <w:p>
      <w:pPr>
        <w:spacing w:after="0" w:line="2" w:lineRule="exact"/>
        <w:rPr>
          <w:sz w:val="20"/>
          <w:szCs w:val="20"/>
          <w:color w:val="auto"/>
        </w:rPr>
      </w:pPr>
    </w:p>
    <w:p>
      <w:pPr>
        <w:jc w:val="both"/>
        <w:ind w:left="560"/>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Failure Analysis</w:t>
      </w:r>
      <w:r>
        <w:rPr>
          <w:rFonts w:ascii="Times New Roman" w:cs="Times New Roman" w:eastAsia="Times New Roman" w:hAnsi="Times New Roman"/>
          <w:sz w:val="19"/>
          <w:szCs w:val="19"/>
          <w:color w:val="auto"/>
        </w:rPr>
        <w:t>” means an investigation of Product (including components thereof) failures by means of diagnostic testing within a standardized test environment and performed by Enphase or its service providers in order to determine the cause of the Product or component's failure where applicable.</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Force Majeure Event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9.2</w:t>
      </w:r>
      <w:r>
        <w:rPr>
          <w:rFonts w:ascii="Times New Roman" w:cs="Times New Roman" w:eastAsia="Times New Roman" w:hAnsi="Times New Roman"/>
          <w:sz w:val="19"/>
          <w:szCs w:val="19"/>
          <w:color w:val="auto"/>
        </w:rPr>
        <w:t>.</w:t>
      </w:r>
    </w:p>
    <w:p>
      <w:pPr>
        <w:spacing w:after="0" w:line="57" w:lineRule="exact"/>
        <w:rPr>
          <w:sz w:val="20"/>
          <w:szCs w:val="20"/>
          <w:color w:val="auto"/>
        </w:rPr>
      </w:pPr>
    </w:p>
    <w:p>
      <w:pPr>
        <w:jc w:val="both"/>
        <w:ind w:left="5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Governmental Entity</w:t>
      </w:r>
      <w:r>
        <w:rPr>
          <w:rFonts w:ascii="Times New Roman" w:cs="Times New Roman" w:eastAsia="Times New Roman" w:hAnsi="Times New Roman"/>
          <w:sz w:val="19"/>
          <w:szCs w:val="19"/>
          <w:color w:val="auto"/>
        </w:rPr>
        <w:t>” means any court, administrative agency or commission or other governmental or regulatory authority or agency.</w:t>
      </w: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Indemnified Party</w:t>
      </w:r>
      <w:r>
        <w:rPr>
          <w:rFonts w:ascii="Times New Roman" w:cs="Times New Roman" w:eastAsia="Times New Roman" w:hAnsi="Times New Roman"/>
          <w:sz w:val="19"/>
          <w:szCs w:val="19"/>
          <w:color w:val="auto"/>
        </w:rPr>
        <w:t xml:space="preserve">” means the Party entitled to indemnification under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of this MSA.</w:t>
      </w:r>
    </w:p>
    <w:p>
      <w:pPr>
        <w:spacing w:after="0" w:line="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Initial Term</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w:t>
      </w:r>
    </w:p>
    <w:p>
      <w:pPr>
        <w:spacing w:after="0" w:line="70" w:lineRule="exact"/>
        <w:rPr>
          <w:sz w:val="20"/>
          <w:szCs w:val="20"/>
          <w:color w:val="auto"/>
        </w:rPr>
      </w:pPr>
    </w:p>
    <w:p>
      <w:pPr>
        <w:jc w:val="both"/>
        <w:ind w:left="560"/>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Intellectual Property</w:t>
      </w:r>
      <w:r>
        <w:rPr>
          <w:rFonts w:ascii="Times New Roman" w:cs="Times New Roman" w:eastAsia="Times New Roman" w:hAnsi="Times New Roman"/>
          <w:sz w:val="19"/>
          <w:szCs w:val="19"/>
          <w:color w:val="auto"/>
        </w:rPr>
        <w:t>” means any and all rights in, arising out of, or associated with any of the following in any jurisdiction throughout the world: (a) issued patents and patent applications (whether provisional or non-provisional), including divisionals, continuations, continuations-in-part, substitutions, reissues, reexaminations, extensions, or restorations of any of the above, and other Governmental Entity-issued indicia of invention ownership (including certificates of invention, petty patents, and patent utility models) (“</w:t>
      </w:r>
      <w:r>
        <w:rPr>
          <w:rFonts w:ascii="Times New Roman" w:cs="Times New Roman" w:eastAsia="Times New Roman" w:hAnsi="Times New Roman"/>
          <w:sz w:val="19"/>
          <w:szCs w:val="19"/>
          <w:b w:val="1"/>
          <w:bCs w:val="1"/>
          <w:i w:val="1"/>
          <w:iCs w:val="1"/>
          <w:color w:val="auto"/>
        </w:rPr>
        <w:t>Patents</w:t>
      </w:r>
      <w:r>
        <w:rPr>
          <w:rFonts w:ascii="Times New Roman" w:cs="Times New Roman" w:eastAsia="Times New Roman" w:hAnsi="Times New Roman"/>
          <w:sz w:val="19"/>
          <w:szCs w:val="19"/>
          <w:color w:val="auto"/>
        </w:rPr>
        <w:t>”); (b) trademarks, service marks, brands, certification marks, logos, trade dress, trade names, and other similar indicia of source or origin, together with the goodwill connected with the use of and symbolized by, and all registrations, applications for registration, and renewals of, any of the above (“</w:t>
      </w:r>
      <w:r>
        <w:rPr>
          <w:rFonts w:ascii="Times New Roman" w:cs="Times New Roman" w:eastAsia="Times New Roman" w:hAnsi="Times New Roman"/>
          <w:sz w:val="19"/>
          <w:szCs w:val="19"/>
          <w:b w:val="1"/>
          <w:bCs w:val="1"/>
          <w:i w:val="1"/>
          <w:iCs w:val="1"/>
          <w:color w:val="auto"/>
        </w:rPr>
        <w:t>Trademarks</w:t>
      </w:r>
      <w:r>
        <w:rPr>
          <w:rFonts w:ascii="Times New Roman" w:cs="Times New Roman" w:eastAsia="Times New Roman" w:hAnsi="Times New Roman"/>
          <w:sz w:val="19"/>
          <w:szCs w:val="19"/>
          <w:color w:val="auto"/>
        </w:rPr>
        <w:t>”); (c) copyrights and works of authorship, whether or not copyrightable, and all registrations, applications for registration, and renewals of any of the above (“</w:t>
      </w:r>
      <w:r>
        <w:rPr>
          <w:rFonts w:ascii="Times New Roman" w:cs="Times New Roman" w:eastAsia="Times New Roman" w:hAnsi="Times New Roman"/>
          <w:sz w:val="19"/>
          <w:szCs w:val="19"/>
          <w:b w:val="1"/>
          <w:bCs w:val="1"/>
          <w:i w:val="1"/>
          <w:iCs w:val="1"/>
          <w:color w:val="auto"/>
        </w:rPr>
        <w:t>Copyrights</w:t>
      </w:r>
      <w:r>
        <w:rPr>
          <w:rFonts w:ascii="Times New Roman" w:cs="Times New Roman" w:eastAsia="Times New Roman" w:hAnsi="Times New Roman"/>
          <w:sz w:val="19"/>
          <w:szCs w:val="19"/>
          <w:color w:val="auto"/>
        </w:rPr>
        <w:t>”); (d) internet domain names and social media account or user names (including “</w:t>
      </w:r>
      <w:r>
        <w:rPr>
          <w:rFonts w:ascii="Times New Roman" w:cs="Times New Roman" w:eastAsia="Times New Roman" w:hAnsi="Times New Roman"/>
          <w:sz w:val="19"/>
          <w:szCs w:val="19"/>
          <w:i w:val="1"/>
          <w:iCs w:val="1"/>
          <w:color w:val="auto"/>
        </w:rPr>
        <w:t>handles</w:t>
      </w:r>
      <w:r>
        <w:rPr>
          <w:rFonts w:ascii="Times New Roman" w:cs="Times New Roman" w:eastAsia="Times New Roman" w:hAnsi="Times New Roman"/>
          <w:sz w:val="19"/>
          <w:szCs w:val="19"/>
          <w:color w:val="auto"/>
        </w:rPr>
        <w:t>”), whether or not Trademarks, all associated web addresses, URLs, websites and web pages, social media accounts and pages, and all content and data, whether or not Copyrights; (e) mask works, and all registrations, applications for registration, and renewals thereof; (f) industrial designs, and all Patents, registrations, applications for registration, and renewals thereof; (g) Trade Secrets,</w:t>
      </w:r>
    </w:p>
    <w:p>
      <w:pPr>
        <w:spacing w:after="0" w:line="17" w:lineRule="exact"/>
        <w:rPr>
          <w:sz w:val="20"/>
          <w:szCs w:val="20"/>
          <w:color w:val="auto"/>
        </w:rPr>
      </w:pPr>
    </w:p>
    <w:p>
      <w:pPr>
        <w:jc w:val="both"/>
        <w:ind w:left="560"/>
        <w:spacing w:after="0" w:line="260" w:lineRule="auto"/>
        <w:rPr>
          <w:sz w:val="20"/>
          <w:szCs w:val="20"/>
          <w:color w:val="auto"/>
        </w:rPr>
      </w:pPr>
      <w:r>
        <w:rPr>
          <w:rFonts w:ascii="Times New Roman" w:cs="Times New Roman" w:eastAsia="Times New Roman" w:hAnsi="Times New Roman"/>
          <w:sz w:val="19"/>
          <w:szCs w:val="19"/>
          <w:color w:val="auto"/>
        </w:rPr>
        <w:t>know-how, inventions (whether or not patentable), discoveries, improvements, technology, business and technical information, databases, data compilations and collections, tools, methods, processes, techniques, and other confidential and proprietary information and all rights therein (“</w:t>
      </w:r>
      <w:r>
        <w:rPr>
          <w:rFonts w:ascii="Times New Roman" w:cs="Times New Roman" w:eastAsia="Times New Roman" w:hAnsi="Times New Roman"/>
          <w:sz w:val="19"/>
          <w:szCs w:val="19"/>
          <w:b w:val="1"/>
          <w:bCs w:val="1"/>
          <w:i w:val="1"/>
          <w:iCs w:val="1"/>
          <w:color w:val="auto"/>
        </w:rPr>
        <w:t>Trade Secrets</w:t>
      </w:r>
      <w:r>
        <w:rPr>
          <w:rFonts w:ascii="Times New Roman" w:cs="Times New Roman" w:eastAsia="Times New Roman" w:hAnsi="Times New Roman"/>
          <w:sz w:val="19"/>
          <w:szCs w:val="19"/>
          <w:color w:val="auto"/>
        </w:rPr>
        <w:t>”); (h) computer programs, operating systems, applications, firmware and other code, including all source code, object code, application programming interfaces, data files, databases, protocols, specifications, and other documentation thereof; and (i) all other intellectual or industrial property and proprietary rights, interests and protections (including all rights to sue and recover and retain damages, costs and attorneys’ fees for past, present and future infringement and any other rights relating to any of the above).</w:t>
      </w:r>
    </w:p>
    <w:p>
      <w:pPr>
        <w:spacing w:after="0" w:line="18" w:lineRule="exact"/>
        <w:rPr>
          <w:sz w:val="20"/>
          <w:szCs w:val="20"/>
          <w:color w:val="auto"/>
        </w:rPr>
      </w:pPr>
    </w:p>
    <w:p>
      <w:pPr>
        <w:jc w:val="both"/>
        <w:ind w:left="560"/>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Intellectual Property Rights</w:t>
      </w:r>
      <w:r>
        <w:rPr>
          <w:rFonts w:ascii="Times New Roman" w:cs="Times New Roman" w:eastAsia="Times New Roman" w:hAnsi="Times New Roman"/>
          <w:sz w:val="19"/>
          <w:szCs w:val="19"/>
          <w:color w:val="auto"/>
        </w:rPr>
        <w:t>” means all past and present rights in any Intellectual Property, whether registered or unregistered, which may exist under the Laws of any jurisdiction.</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Invoice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w:t>
      </w:r>
    </w:p>
    <w:p>
      <w:pPr>
        <w:sectPr>
          <w:pgSz w:w="11900" w:h="16838" w:orient="portrait"/>
          <w:cols w:equalWidth="0" w:num="1">
            <w:col w:w="10120"/>
          </w:cols>
          <w:pgMar w:left="1440" w:top="10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560"/>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Law</w:t>
      </w:r>
      <w:r>
        <w:rPr>
          <w:rFonts w:ascii="Times New Roman" w:cs="Times New Roman" w:eastAsia="Times New Roman" w:hAnsi="Times New Roman"/>
          <w:sz w:val="19"/>
          <w:szCs w:val="19"/>
          <w:color w:val="auto"/>
        </w:rPr>
        <w:t>” means any U.S. federal, state or local or foreign law, statute, ordinance, regulation, rule, code, order, promulgation, constitution, treaty, common law, judgment, decree, order, other requirement or rule of law of any Governmental Entity.</w:t>
      </w:r>
    </w:p>
    <w:p>
      <w:pPr>
        <w:spacing w:after="0" w:line="2" w:lineRule="exact"/>
        <w:rPr>
          <w:sz w:val="20"/>
          <w:szCs w:val="20"/>
          <w:color w:val="auto"/>
        </w:rPr>
      </w:pPr>
    </w:p>
    <w:p>
      <w:pPr>
        <w:jc w:val="both"/>
        <w:ind w:left="5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Legacy Products</w:t>
      </w:r>
      <w:r>
        <w:rPr>
          <w:rFonts w:ascii="Times New Roman" w:cs="Times New Roman" w:eastAsia="Times New Roman" w:hAnsi="Times New Roman"/>
          <w:sz w:val="19"/>
          <w:szCs w:val="19"/>
          <w:color w:val="auto"/>
        </w:rPr>
        <w:t>” means the Microinverters, Cables, or any other MLPEs sold or procured by SunPower and its Affiliates prior to the Effective Date for use with AC Modules.</w:t>
      </w:r>
    </w:p>
    <w:p>
      <w:pPr>
        <w:jc w:val="both"/>
        <w:ind w:left="560"/>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Limited Warranty</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Limited Warranties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Measurement Period</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6.2(a)(ii)</w:t>
      </w:r>
      <w:r>
        <w:rPr>
          <w:rFonts w:ascii="Times New Roman" w:cs="Times New Roman" w:eastAsia="Times New Roman" w:hAnsi="Times New Roman"/>
          <w:sz w:val="19"/>
          <w:szCs w:val="19"/>
          <w:color w:val="auto"/>
        </w:rPr>
        <w:t>.</w:t>
      </w:r>
    </w:p>
    <w:p>
      <w:pPr>
        <w:spacing w:after="0" w:line="2" w:lineRule="exact"/>
        <w:rPr>
          <w:sz w:val="20"/>
          <w:szCs w:val="20"/>
          <w:color w:val="auto"/>
        </w:rPr>
      </w:pPr>
    </w:p>
    <w:p>
      <w:pPr>
        <w:jc w:val="both"/>
        <w:ind w:left="560"/>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Microinverter</w:t>
      </w:r>
      <w:r>
        <w:rPr>
          <w:rFonts w:ascii="Times New Roman" w:cs="Times New Roman" w:eastAsia="Times New Roman" w:hAnsi="Times New Roman"/>
          <w:sz w:val="19"/>
          <w:szCs w:val="19"/>
          <w:color w:val="auto"/>
        </w:rPr>
        <w:t>” means a device used in connection with a photovoltaic module that converts direct current (DC) power generated by a single photovoltaic solar module to alternating current (AC).</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Milestone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1.3</w:t>
      </w:r>
      <w:r>
        <w:rPr>
          <w:rFonts w:ascii="Times New Roman" w:cs="Times New Roman" w:eastAsia="Times New Roman" w:hAnsi="Times New Roman"/>
          <w:sz w:val="19"/>
          <w:szCs w:val="19"/>
          <w:color w:val="auto"/>
        </w:rPr>
        <w:t>.</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Minimum Annual Commitment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w:t>
      </w:r>
    </w:p>
    <w:p>
      <w:pPr>
        <w:spacing w:after="0" w:line="57" w:lineRule="exact"/>
        <w:rPr>
          <w:sz w:val="20"/>
          <w:szCs w:val="20"/>
          <w:color w:val="auto"/>
        </w:rPr>
      </w:pPr>
    </w:p>
    <w:p>
      <w:pPr>
        <w:ind w:left="560" w:right="2660"/>
        <w:spacing w:after="0" w:line="30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Miscellaneous Accessories</w:t>
      </w:r>
      <w:r>
        <w:rPr>
          <w:rFonts w:ascii="Times New Roman" w:cs="Times New Roman" w:eastAsia="Times New Roman" w:hAnsi="Times New Roman"/>
          <w:sz w:val="19"/>
          <w:szCs w:val="19"/>
          <w:color w:val="auto"/>
        </w:rPr>
        <w:t>” means incidental items related to the Products that Enphase makes available to its customers from time to time.</w:t>
      </w:r>
    </w:p>
    <w:p>
      <w:pPr>
        <w:spacing w:after="0" w:line="1" w:lineRule="exact"/>
        <w:rPr>
          <w:sz w:val="20"/>
          <w:szCs w:val="20"/>
          <w:color w:val="auto"/>
        </w:rPr>
      </w:pPr>
    </w:p>
    <w:p>
      <w:pPr>
        <w:jc w:val="both"/>
        <w:ind w:left="560"/>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Module-Level Power Electronics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MLPE</w:t>
      </w:r>
      <w:r>
        <w:rPr>
          <w:rFonts w:ascii="Times New Roman" w:cs="Times New Roman" w:eastAsia="Times New Roman" w:hAnsi="Times New Roman"/>
          <w:sz w:val="19"/>
          <w:szCs w:val="19"/>
          <w:color w:val="auto"/>
        </w:rPr>
        <w:t>” means Microinverters, DC power optimizers and any similar devices designed for installation on, adjacent to or integrated with each module in a photovoltaic system for the purpose of facilitating the conversion from DC to AC power.</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Monthly Rolling Forecast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2.1(a)</w:t>
      </w:r>
      <w:r>
        <w:rPr>
          <w:rFonts w:ascii="Times New Roman" w:cs="Times New Roman" w:eastAsia="Times New Roman" w:hAnsi="Times New Roman"/>
          <w:sz w:val="19"/>
          <w:szCs w:val="19"/>
          <w:color w:val="auto"/>
        </w:rPr>
        <w:t>.</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Next Gen Product Approval Requirements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Next Gen Product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jc w:val="both"/>
        <w:ind w:left="560"/>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Nonconformity</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Nonconforming</w:t>
      </w:r>
      <w:r>
        <w:rPr>
          <w:rFonts w:ascii="Times New Roman" w:cs="Times New Roman" w:eastAsia="Times New Roman" w:hAnsi="Times New Roman"/>
          <w:sz w:val="19"/>
          <w:szCs w:val="19"/>
          <w:color w:val="auto"/>
        </w:rPr>
        <w:t>” means the occurrence of a Defect or the failure of the Product to comply with and perform in accordance with its Product Specifications or the requirements of this MSA.</w:t>
      </w:r>
    </w:p>
    <w:p>
      <w:pPr>
        <w:spacing w:after="0" w:line="2" w:lineRule="exact"/>
        <w:rPr>
          <w:sz w:val="20"/>
          <w:szCs w:val="20"/>
          <w:color w:val="auto"/>
        </w:rPr>
      </w:pPr>
    </w:p>
    <w:p>
      <w:pPr>
        <w:jc w:val="both"/>
        <w:ind w:left="560"/>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Order</w:t>
      </w:r>
      <w:r>
        <w:rPr>
          <w:rFonts w:ascii="Times New Roman" w:cs="Times New Roman" w:eastAsia="Times New Roman" w:hAnsi="Times New Roman"/>
          <w:sz w:val="19"/>
          <w:szCs w:val="19"/>
          <w:color w:val="auto"/>
        </w:rPr>
        <w:t>” means any: (a) order, judgment, injunction, edict, decree, ruling, pronouncement, determination, decision, opinion, verdict, sentence, subpoena, writ or award issued, made, entered, rendered or otherwise put into effect by or under the authority of any court, administrative agency or other Governmental Entity or any arbitrator or arbitration panel; or (b) Contract with any Governmental Entity entered into in connection with any Proceeding.</w:t>
      </w: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Order Acknowledgement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2.2(c)</w:t>
      </w:r>
      <w:r>
        <w:rPr>
          <w:rFonts w:ascii="Times New Roman" w:cs="Times New Roman" w:eastAsia="Times New Roman" w:hAnsi="Times New Roman"/>
          <w:sz w:val="19"/>
          <w:szCs w:val="19"/>
          <w:color w:val="auto"/>
        </w:rPr>
        <w:t>.</w:t>
      </w:r>
    </w:p>
    <w:p>
      <w:pPr>
        <w:spacing w:after="0" w:line="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Origin Port</w:t>
      </w:r>
      <w:r>
        <w:rPr>
          <w:rFonts w:ascii="Times New Roman" w:cs="Times New Roman" w:eastAsia="Times New Roman" w:hAnsi="Times New Roman"/>
          <w:sz w:val="19"/>
          <w:szCs w:val="19"/>
          <w:color w:val="auto"/>
        </w:rPr>
        <w:t>” means the port closest to Enphase’s manufacturing site for the Products or such other port as agreed.</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Party</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Parties</w:t>
      </w:r>
      <w:r>
        <w:rPr>
          <w:rFonts w:ascii="Times New Roman" w:cs="Times New Roman" w:eastAsia="Times New Roman" w:hAnsi="Times New Roman"/>
          <w:sz w:val="19"/>
          <w:szCs w:val="19"/>
          <w:color w:val="auto"/>
        </w:rPr>
        <w:t>” have the meaning set forth in the first paragraph of this MSA.</w:t>
      </w:r>
    </w:p>
    <w:p>
      <w:pPr>
        <w:spacing w:after="0" w:line="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means any individual or entity.</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Price</w:t>
      </w:r>
      <w:r>
        <w:rPr>
          <w:rFonts w:ascii="Times New Roman" w:cs="Times New Roman" w:eastAsia="Times New Roman" w:hAnsi="Times New Roman"/>
          <w:sz w:val="19"/>
          <w:szCs w:val="19"/>
          <w:color w:val="auto"/>
        </w:rPr>
        <w:t xml:space="preserve">” means the pricing as set forth in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w:t>
      </w:r>
    </w:p>
    <w:p>
      <w:pPr>
        <w:spacing w:after="0" w:line="70" w:lineRule="exact"/>
        <w:rPr>
          <w:sz w:val="20"/>
          <w:szCs w:val="20"/>
          <w:color w:val="auto"/>
        </w:rPr>
      </w:pPr>
    </w:p>
    <w:p>
      <w:pPr>
        <w:jc w:val="both"/>
        <w:ind w:left="56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Proceeding</w:t>
      </w:r>
      <w:r>
        <w:rPr>
          <w:rFonts w:ascii="Times New Roman" w:cs="Times New Roman" w:eastAsia="Times New Roman" w:hAnsi="Times New Roman"/>
          <w:sz w:val="19"/>
          <w:szCs w:val="19"/>
          <w:color w:val="auto"/>
        </w:rPr>
        <w:t>” means any action, suit, litigation, mediation, arbitration, proceeding (including any civil, criminal, administrative, investigative or appellate proceeding and any informal proceeding), prosecution, contest, hearing, inquiry, inquest, audit, examination or investigation commenced, brought, conducted or heard by or before, or otherwise involving, any Governmental Entity or any arbitrator or arbitration panel.</w:t>
      </w:r>
    </w:p>
    <w:p>
      <w:pPr>
        <w:spacing w:after="0" w:line="13"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Product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Products</w:t>
      </w:r>
      <w:r>
        <w:rPr>
          <w:rFonts w:ascii="Times New Roman" w:cs="Times New Roman" w:eastAsia="Times New Roman" w:hAnsi="Times New Roman"/>
          <w:sz w:val="19"/>
          <w:szCs w:val="19"/>
          <w:color w:val="auto"/>
        </w:rPr>
        <w:t xml:space="preserve">” means the following products sold or otherwise distributed by Enphase: (a) MLPE (b) AC Cables for such MLPEs, (c) embedded or attached Software, and (d) semiconductor chips. The list of Products that are MLPEs, AC Cables, or semiconductor chips is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which exhibit may be amended from time to time by written agreement of the Parties.</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Product Data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5.5</w:t>
      </w:r>
      <w:r>
        <w:rPr>
          <w:rFonts w:ascii="Times New Roman" w:cs="Times New Roman" w:eastAsia="Times New Roman" w:hAnsi="Times New Roman"/>
          <w:sz w:val="19"/>
          <w:szCs w:val="19"/>
          <w:color w:val="auto"/>
        </w:rPr>
        <w:t>.</w:t>
      </w:r>
    </w:p>
    <w:p>
      <w:pPr>
        <w:spacing w:after="0" w:line="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Product Roadmap</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1.3.</w:t>
      </w:r>
    </w:p>
    <w:p>
      <w:pPr>
        <w:sectPr>
          <w:pgSz w:w="11900" w:h="16838" w:orient="portrait"/>
          <w:cols w:equalWidth="0" w:num="1">
            <w:col w:w="10120"/>
          </w:cols>
          <w:pgMar w:left="1440" w:top="10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Product Specifications</w:t>
      </w:r>
      <w:r>
        <w:rPr>
          <w:rFonts w:ascii="Times New Roman" w:cs="Times New Roman" w:eastAsia="Times New Roman" w:hAnsi="Times New Roman"/>
          <w:sz w:val="19"/>
          <w:szCs w:val="19"/>
          <w:color w:val="auto"/>
        </w:rPr>
        <w:t>” means with respect to each Product supplied by Enphase:</w:t>
      </w:r>
    </w:p>
    <w:p>
      <w:pPr>
        <w:spacing w:after="0" w:line="74" w:lineRule="exact"/>
        <w:rPr>
          <w:sz w:val="20"/>
          <w:szCs w:val="20"/>
          <w:color w:val="auto"/>
        </w:rPr>
      </w:pPr>
    </w:p>
    <w:p>
      <w:pPr>
        <w:ind w:left="1400" w:hanging="837"/>
        <w:spacing w:after="0"/>
        <w:tabs>
          <w:tab w:leader="none" w:pos="140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Enphase’s specifications for the Product, as set forth in the Product documentation; and</w:t>
      </w:r>
    </w:p>
    <w:p>
      <w:pPr>
        <w:spacing w:after="0" w:line="56" w:lineRule="exact"/>
        <w:rPr>
          <w:rFonts w:ascii="Times New Roman" w:cs="Times New Roman" w:eastAsia="Times New Roman" w:hAnsi="Times New Roman"/>
          <w:sz w:val="19"/>
          <w:szCs w:val="19"/>
          <w:color w:val="auto"/>
        </w:rPr>
      </w:pPr>
    </w:p>
    <w:p>
      <w:pPr>
        <w:ind w:left="1400" w:hanging="837"/>
        <w:spacing w:after="0"/>
        <w:tabs>
          <w:tab w:leader="none" w:pos="140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mutually agreed requirements for such Product set forth on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Purchase Order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2.2(a)</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Purchase Price</w:t>
      </w:r>
      <w:r>
        <w:rPr>
          <w:rFonts w:ascii="Times New Roman" w:cs="Times New Roman" w:eastAsia="Times New Roman" w:hAnsi="Times New Roman"/>
          <w:sz w:val="19"/>
          <w:szCs w:val="19"/>
          <w:color w:val="auto"/>
        </w:rPr>
        <w:t>” has the meaning set forth in the APA.</w:t>
      </w:r>
    </w:p>
    <w:p>
      <w:pPr>
        <w:spacing w:after="0" w:line="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Quality Plan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w:t>
      </w:r>
    </w:p>
    <w:p>
      <w:pPr>
        <w:spacing w:after="0" w:line="64" w:lineRule="exact"/>
        <w:rPr>
          <w:sz w:val="20"/>
          <w:szCs w:val="20"/>
          <w:color w:val="auto"/>
        </w:rPr>
      </w:pPr>
    </w:p>
    <w:p>
      <w:pPr>
        <w:jc w:val="both"/>
        <w:ind w:left="560"/>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RCCA</w:t>
      </w:r>
      <w:r>
        <w:rPr>
          <w:rFonts w:ascii="Times New Roman" w:cs="Times New Roman" w:eastAsia="Times New Roman" w:hAnsi="Times New Roman"/>
          <w:sz w:val="19"/>
          <w:szCs w:val="19"/>
          <w:color w:val="auto"/>
        </w:rPr>
        <w:t>” means root cause analysis and corrective action, and consists of Failure Analysis and a commercially reasonable investigation by Enphase to diagnose Defects to the lowest component level and determine corrective and preventive actions.</w:t>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Renewal Term</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w:t>
      </w:r>
    </w:p>
    <w:p>
      <w:pPr>
        <w:spacing w:after="0" w:line="57" w:lineRule="exact"/>
        <w:rPr>
          <w:sz w:val="20"/>
          <w:szCs w:val="20"/>
          <w:color w:val="auto"/>
        </w:rPr>
      </w:pPr>
    </w:p>
    <w:p>
      <w:pPr>
        <w:jc w:val="both"/>
        <w:ind w:left="560"/>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Representatives</w:t>
      </w:r>
      <w:r>
        <w:rPr>
          <w:rFonts w:ascii="Times New Roman" w:cs="Times New Roman" w:eastAsia="Times New Roman" w:hAnsi="Times New Roman"/>
          <w:sz w:val="19"/>
          <w:szCs w:val="19"/>
          <w:color w:val="auto"/>
        </w:rPr>
        <w:t>” means officers, directors, employees, agents, attorneys, accountants, advisors and other representatives of a Party.</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RMA</w:t>
      </w:r>
      <w:r>
        <w:rPr>
          <w:rFonts w:ascii="Times New Roman" w:cs="Times New Roman" w:eastAsia="Times New Roman" w:hAnsi="Times New Roman"/>
          <w:sz w:val="19"/>
          <w:szCs w:val="19"/>
          <w:color w:val="auto"/>
        </w:rPr>
        <w:t>” has the meaning set forth in Section 5.1.</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RMA Threshold</w:t>
      </w:r>
      <w:r>
        <w:rPr>
          <w:rFonts w:ascii="Times New Roman" w:cs="Times New Roman" w:eastAsia="Times New Roman" w:hAnsi="Times New Roman"/>
          <w:sz w:val="19"/>
          <w:szCs w:val="19"/>
          <w:color w:val="auto"/>
        </w:rPr>
        <w:t>” has the meaning set forth in Section 6.2(a)(ii).</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Rolling Forecast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w:t>
      </w:r>
    </w:p>
    <w:p>
      <w:pPr>
        <w:spacing w:after="0" w:line="57" w:lineRule="exact"/>
        <w:rPr>
          <w:sz w:val="20"/>
          <w:szCs w:val="20"/>
          <w:color w:val="auto"/>
        </w:rPr>
      </w:pPr>
    </w:p>
    <w:p>
      <w:pPr>
        <w:jc w:val="both"/>
        <w:ind w:left="56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Software</w:t>
      </w:r>
      <w:r>
        <w:rPr>
          <w:rFonts w:ascii="Times New Roman" w:cs="Times New Roman" w:eastAsia="Times New Roman" w:hAnsi="Times New Roman"/>
          <w:sz w:val="19"/>
          <w:szCs w:val="19"/>
          <w:color w:val="auto"/>
        </w:rPr>
        <w:t>” means, with respect to the Products, any computer program, operating system, database, applications system, firmware or software code of any nature, whether operational, under development or inactive, including all object code, source code, data files, rules, definitions or methodology derived from the above and any derivations, updates, enhancements and customization of any of the above, processes, know-how, operating procedures, methods and all other technology embodied with the above, tools, developers’ kits, utilities, developers’ notes, technical manuals, user manuals and other documentation, including comments and annotations, whether in machine-readable form, programming language or any other language or symbols and whether stored, encoded, recorded or written on disk, tape, film, memory device, paper or other media of any nature.</w:t>
      </w:r>
    </w:p>
    <w:p>
      <w:pPr>
        <w:spacing w:after="0" w:line="23" w:lineRule="exact"/>
        <w:rPr>
          <w:sz w:val="20"/>
          <w:szCs w:val="20"/>
          <w:color w:val="auto"/>
        </w:rPr>
      </w:pPr>
    </w:p>
    <w:p>
      <w:pPr>
        <w:jc w:val="both"/>
        <w:ind w:left="560"/>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means any corporation, partnership, trust, limited liability company or other non-corporate business enterprise in which a Person (or another subsidiary of such Person) holdsstock or other ownership interests representing more than 50% of the voting power of all outstanding stock or ownership interests of such entity.</w:t>
      </w:r>
    </w:p>
    <w:p>
      <w:pPr>
        <w:spacing w:after="0" w:line="5" w:lineRule="exact"/>
        <w:rPr>
          <w:sz w:val="20"/>
          <w:szCs w:val="20"/>
          <w:color w:val="auto"/>
        </w:rPr>
      </w:pPr>
    </w:p>
    <w:p>
      <w:pPr>
        <w:jc w:val="both"/>
        <w:ind w:left="560"/>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System Owner</w:t>
      </w:r>
      <w:r>
        <w:rPr>
          <w:rFonts w:ascii="Times New Roman" w:cs="Times New Roman" w:eastAsia="Times New Roman" w:hAnsi="Times New Roman"/>
          <w:sz w:val="19"/>
          <w:szCs w:val="19"/>
          <w:color w:val="auto"/>
        </w:rPr>
        <w:t>” means any Person that acquires a SunPower photovoltaic system owned by such Person and not for further resale, redistribution, or transfer.</w:t>
      </w:r>
    </w:p>
    <w:p>
      <w:pPr>
        <w:spacing w:after="0" w:line="2" w:lineRule="exact"/>
        <w:rPr>
          <w:sz w:val="20"/>
          <w:szCs w:val="20"/>
          <w:color w:val="auto"/>
        </w:rPr>
      </w:pPr>
    </w:p>
    <w:p>
      <w:pPr>
        <w:jc w:val="both"/>
        <w:ind w:left="56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Tax</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Taxes</w:t>
      </w:r>
      <w:r>
        <w:rPr>
          <w:rFonts w:ascii="Times New Roman" w:cs="Times New Roman" w:eastAsia="Times New Roman" w:hAnsi="Times New Roman"/>
          <w:sz w:val="19"/>
          <w:szCs w:val="19"/>
          <w:color w:val="auto"/>
        </w:rPr>
        <w:t>” means any and all taxes, charges, fees, duties, contributions, levies or other similar assessments or liabilities, including income, gross receipts, corporation, ad valorem, premium, value-added, net worth, capital stock, capital gains, documentary, recapture, alternative or add-on minimum, disability, registration, recording, excise, real property, personal property, sales, use, license, lease, service, service use, transfer, withholding, employment, unemployment, insurance, social security, national insurance, business license, business organization, environmental, workers compensation, payroll, profits, severance, stamp, occupation, escheat, windfall profits, customs duties, franchise, estimated and other taxes of any kind whatsoever imposed by the United States or any state, local or foreign government, or any agency or political subdivision thereof, and any interest, fines, penalties, assessments or additions to tax imposed with respect to such items or any contest or dispute thereof.</w:t>
      </w: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w:t>
      </w:r>
      <w:r>
        <w:rPr>
          <w:rFonts w:ascii="Times New Roman" w:cs="Times New Roman" w:eastAsia="Times New Roman" w:hAnsi="Times New Roman"/>
          <w:sz w:val="19"/>
          <w:szCs w:val="19"/>
          <w:color w:val="auto"/>
        </w:rPr>
        <w:t>” means the Initial Term together with all Renewal Terms.</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Third Party</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means any party other than the Parties and their Affiliates.</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Total Purchase Commitment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w:t>
      </w:r>
    </w:p>
    <w:p>
      <w:pPr>
        <w:sectPr>
          <w:pgSz w:w="11900" w:h="16838" w:orient="portrait"/>
          <w:cols w:equalWidth="0" w:num="1">
            <w:col w:w="10120"/>
          </w:cols>
          <w:pgMar w:left="1440" w:top="10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Transaction Execution Incentive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2.3(c)</w:t>
      </w:r>
      <w:r>
        <w:rPr>
          <w:rFonts w:ascii="Times New Roman" w:cs="Times New Roman" w:eastAsia="Times New Roman" w:hAnsi="Times New Roman"/>
          <w:sz w:val="19"/>
          <w:szCs w:val="19"/>
          <w:color w:val="auto"/>
        </w:rPr>
        <w:t>.</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Truckroll Event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4.1(c)</w:t>
      </w:r>
      <w:r>
        <w:rPr>
          <w:rFonts w:ascii="Times New Roman" w:cs="Times New Roman" w:eastAsia="Times New Roman" w:hAnsi="Times New Roman"/>
          <w:sz w:val="19"/>
          <w:szCs w:val="19"/>
          <w:color w:val="auto"/>
        </w:rPr>
        <w:t>.</w:t>
      </w:r>
    </w:p>
    <w:p>
      <w:pPr>
        <w:spacing w:after="0" w:line="57" w:lineRule="exact"/>
        <w:rPr>
          <w:sz w:val="20"/>
          <w:szCs w:val="20"/>
          <w:color w:val="auto"/>
        </w:rPr>
      </w:pPr>
    </w:p>
    <w:p>
      <w:pPr>
        <w:ind w:left="62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Vendor Management Inventory</w:t>
      </w:r>
      <w:r>
        <w:rPr>
          <w:rFonts w:ascii="Times New Roman" w:cs="Times New Roman" w:eastAsia="Times New Roman" w:hAnsi="Times New Roman"/>
          <w:sz w:val="19"/>
          <w:szCs w:val="19"/>
          <w:color w:val="auto"/>
        </w:rPr>
        <w:t>” means stock owned by a vendor but held on-hand at an Enphase or subcontractor’s facility or a nearby location.</w:t>
      </w: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Weekly Rolling Forecast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1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8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color w:val="auto"/>
        </w:rPr>
        <w:t>EXCLUSIVITY</w:t>
      </w:r>
    </w:p>
    <w:p>
      <w:pPr>
        <w:spacing w:after="0" w:line="173"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19"/>
          <w:szCs w:val="19"/>
          <w:color w:val="auto"/>
        </w:rPr>
        <w:t>1.1</w:t>
      </w:r>
      <w:r>
        <w:rPr>
          <w:sz w:val="20"/>
          <w:szCs w:val="20"/>
          <w:color w:val="auto"/>
        </w:rPr>
        <w:tab/>
      </w:r>
      <w:r>
        <w:rPr>
          <w:rFonts w:ascii="Times New Roman" w:cs="Times New Roman" w:eastAsia="Times New Roman" w:hAnsi="Times New Roman"/>
          <w:sz w:val="19"/>
          <w:szCs w:val="19"/>
          <w:b w:val="1"/>
          <w:bCs w:val="1"/>
          <w:u w:val="single" w:color="auto"/>
          <w:color w:val="auto"/>
        </w:rPr>
        <w:t>Exclusivity</w:t>
      </w:r>
      <w:r>
        <w:rPr>
          <w:rFonts w:ascii="Times New Roman" w:cs="Times New Roman" w:eastAsia="Times New Roman" w:hAnsi="Times New Roman"/>
          <w:sz w:val="19"/>
          <w:szCs w:val="19"/>
          <w:color w:val="auto"/>
        </w:rPr>
        <w:t>. Except as otherwise permitted under</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u w:val="single" w:color="auto"/>
          <w:color w:val="auto"/>
        </w:rPr>
        <w:t>Sections 1.2</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u w:val="single" w:color="auto"/>
          <w:color w:val="auto"/>
        </w:rPr>
        <w:t>1.3</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u w:val="single" w:color="auto"/>
          <w:color w:val="auto"/>
        </w:rPr>
        <w:t>2.1(c)</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u w:val="single" w:color="auto"/>
          <w:color w:val="auto"/>
        </w:rPr>
        <w:t>3.2</w:t>
      </w:r>
      <w:r>
        <w:rPr>
          <w:rFonts w:ascii="Times New Roman" w:cs="Times New Roman" w:eastAsia="Times New Roman" w:hAnsi="Times New Roman"/>
          <w:sz w:val="19"/>
          <w:szCs w:val="19"/>
          <w:color w:val="auto"/>
        </w:rPr>
        <w:t>, during the Term,</w:t>
      </w:r>
    </w:p>
    <w:p>
      <w:pPr>
        <w:spacing w:after="0" w:line="2" w:lineRule="exact"/>
        <w:rPr>
          <w:sz w:val="20"/>
          <w:szCs w:val="20"/>
          <w:color w:val="auto"/>
        </w:rPr>
      </w:pPr>
    </w:p>
    <w:p>
      <w:pPr>
        <w:ind w:right="320"/>
        <w:spacing w:after="0" w:line="208" w:lineRule="auto"/>
        <w:rPr>
          <w:sz w:val="20"/>
          <w:szCs w:val="20"/>
          <w:color w:val="auto"/>
        </w:rPr>
      </w:pPr>
      <w:r>
        <w:rPr>
          <w:rFonts w:ascii="Times New Roman" w:cs="Times New Roman" w:eastAsia="Times New Roman" w:hAnsi="Times New Roman"/>
          <w:sz w:val="19"/>
          <w:szCs w:val="19"/>
          <w:color w:val="auto"/>
        </w:rPr>
        <w:t>SunPower agrees (i) to exclusively procure MLPE and AC Cables from Enphase to meet all of SunPower’s and its Affiliates’ needs for MLPE and AC Cables for the manufacture and distribution of AC Modules and discrete MLPE system solutions for</w:t>
      </w:r>
    </w:p>
    <w:p>
      <w:pPr>
        <w:spacing w:after="0" w:line="217" w:lineRule="auto"/>
        <w:rPr>
          <w:sz w:val="20"/>
          <w:szCs w:val="20"/>
          <w:color w:val="auto"/>
        </w:rPr>
      </w:pPr>
      <w:r>
        <w:rPr>
          <w:rFonts w:ascii="Times New Roman" w:cs="Times New Roman" w:eastAsia="Times New Roman" w:hAnsi="Times New Roman"/>
          <w:sz w:val="19"/>
          <w:szCs w:val="19"/>
          <w:color w:val="auto"/>
        </w:rPr>
        <w:t>use in the grid-tied U.S. residential market, including SunPower’s current Equinox solution and any AC module-based</w:t>
      </w:r>
    </w:p>
    <w:p>
      <w:pPr>
        <w:spacing w:after="0" w:line="1" w:lineRule="exact"/>
        <w:rPr>
          <w:sz w:val="20"/>
          <w:szCs w:val="20"/>
          <w:color w:val="auto"/>
        </w:rPr>
      </w:pPr>
    </w:p>
    <w:p>
      <w:pPr>
        <w:ind w:right="320"/>
        <w:spacing w:after="0" w:line="208" w:lineRule="auto"/>
        <w:rPr>
          <w:sz w:val="20"/>
          <w:szCs w:val="20"/>
          <w:color w:val="auto"/>
        </w:rPr>
      </w:pPr>
      <w:r>
        <w:rPr>
          <w:rFonts w:ascii="Times New Roman" w:cs="Times New Roman" w:eastAsia="Times New Roman" w:hAnsi="Times New Roman"/>
          <w:sz w:val="19"/>
          <w:szCs w:val="19"/>
          <w:color w:val="auto"/>
        </w:rPr>
        <w:t xml:space="preserve">successor products, and (ii) not to pair Third Party MLPE or AC Cables with any SunPower module for use in the grid-tied U.S. residential market if an Enphase MLPE is qualified and certified for such module. It shall not be a breach of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if</w:t>
      </w:r>
    </w:p>
    <w:p>
      <w:pPr>
        <w:spacing w:after="0" w:line="217" w:lineRule="auto"/>
        <w:rPr>
          <w:sz w:val="20"/>
          <w:szCs w:val="20"/>
          <w:color w:val="auto"/>
        </w:rPr>
      </w:pPr>
      <w:r>
        <w:rPr>
          <w:rFonts w:ascii="Times New Roman" w:cs="Times New Roman" w:eastAsia="Times New Roman" w:hAnsi="Times New Roman"/>
          <w:sz w:val="19"/>
          <w:szCs w:val="19"/>
          <w:color w:val="auto"/>
        </w:rPr>
        <w:t>Third Parties independently procure SunPower photovoltaic modules and combine them with Third- Party MLPE, provided that</w:t>
      </w:r>
    </w:p>
    <w:p>
      <w:pPr>
        <w:spacing w:after="0" w:line="1" w:lineRule="exact"/>
        <w:rPr>
          <w:sz w:val="20"/>
          <w:szCs w:val="20"/>
          <w:color w:val="auto"/>
        </w:rPr>
      </w:pPr>
    </w:p>
    <w:p>
      <w:pPr>
        <w:ind w:right="320"/>
        <w:spacing w:after="0" w:line="208" w:lineRule="auto"/>
        <w:rPr>
          <w:sz w:val="20"/>
          <w:szCs w:val="20"/>
          <w:color w:val="auto"/>
        </w:rPr>
      </w:pPr>
      <w:r>
        <w:rPr>
          <w:rFonts w:ascii="Times New Roman" w:cs="Times New Roman" w:eastAsia="Times New Roman" w:hAnsi="Times New Roman"/>
          <w:sz w:val="19"/>
          <w:szCs w:val="19"/>
          <w:color w:val="auto"/>
        </w:rPr>
        <w:t>SunPower, its Affiliates, and its and their Representatives do not facilitate (excluding responses to unsolicited requests for technical support), promote or encourage such activity by Third Parties and that such Third-Party MLPE and their associated</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9"/>
          <w:szCs w:val="19"/>
          <w:color w:val="auto"/>
        </w:rPr>
        <w:t xml:space="preserve">documentation do not include SunPower branding, unless the SunPower branding is on or related to a Legacy Product procured in accordance with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1.2</w:t>
      </w:r>
      <w:r>
        <w:rPr>
          <w:sz w:val="20"/>
          <w:szCs w:val="20"/>
          <w:color w:val="auto"/>
        </w:rPr>
        <w:tab/>
      </w:r>
      <w:r>
        <w:rPr>
          <w:rFonts w:ascii="Times New Roman" w:cs="Times New Roman" w:eastAsia="Times New Roman" w:hAnsi="Times New Roman"/>
          <w:sz w:val="19"/>
          <w:szCs w:val="19"/>
          <w:b w:val="1"/>
          <w:bCs w:val="1"/>
          <w:u w:val="single" w:color="auto"/>
          <w:color w:val="auto"/>
        </w:rPr>
        <w:t>Transition to Purchase of Products; Legacy Products</w:t>
      </w:r>
      <w:r>
        <w:rPr>
          <w:rFonts w:ascii="Times New Roman" w:cs="Times New Roman" w:eastAsia="Times New Roman" w:hAnsi="Times New Roman"/>
          <w:sz w:val="19"/>
          <w:szCs w:val="19"/>
          <w:color w:val="auto"/>
        </w:rPr>
        <w:t>.</w:t>
      </w:r>
    </w:p>
    <w:p>
      <w:pPr>
        <w:spacing w:after="0" w:line="190" w:lineRule="exact"/>
        <w:rPr>
          <w:sz w:val="20"/>
          <w:szCs w:val="20"/>
          <w:color w:val="auto"/>
        </w:rPr>
      </w:pPr>
    </w:p>
    <w:p>
      <w:pPr>
        <w:jc w:val="both"/>
        <w:ind w:right="220" w:firstLine="1253"/>
        <w:spacing w:after="0" w:line="220" w:lineRule="auto"/>
        <w:tabs>
          <w:tab w:leader="none" w:pos="2088"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SunPower shall use its best efforts to transition to purchasing only Products as soon as possible. For purposes of the foregoing, SunPower’s best efforts includes, without limitation, the following: (i) integrating PVS6 (and future Gateway products) and achieving [*] in an expeditious manner; (ii) qualifying [*] in an expeditious manner; (iii) attending periodic meetings with Enphase to accelerate qualification and integration; and (iv) subject to </w:t>
      </w:r>
      <w:r>
        <w:rPr>
          <w:rFonts w:ascii="Times New Roman" w:cs="Times New Roman" w:eastAsia="Times New Roman" w:hAnsi="Times New Roman"/>
          <w:sz w:val="19"/>
          <w:szCs w:val="19"/>
          <w:u w:val="single" w:color="auto"/>
          <w:color w:val="auto"/>
        </w:rPr>
        <w:t>Section 1.2(b)</w:t>
      </w:r>
      <w:r>
        <w:rPr>
          <w:rFonts w:ascii="Times New Roman" w:cs="Times New Roman" w:eastAsia="Times New Roman" w:hAnsi="Times New Roman"/>
          <w:sz w:val="19"/>
          <w:szCs w:val="19"/>
          <w:color w:val="auto"/>
        </w:rPr>
        <w:t xml:space="preserve"> and 1.2(e) below, limiting its inventories of and continued procurement of Legacy Products to those types and amounts required for purposes of warranty return or replacement obligations for Legacy Products installed as of the Effective Date, and using Legacy Products only for such purposes and not for commercial sale.</w:t>
      </w:r>
    </w:p>
    <w:p>
      <w:pPr>
        <w:spacing w:after="0" w:line="145" w:lineRule="exact"/>
        <w:rPr>
          <w:rFonts w:ascii="Times New Roman" w:cs="Times New Roman" w:eastAsia="Times New Roman" w:hAnsi="Times New Roman"/>
          <w:sz w:val="19"/>
          <w:szCs w:val="19"/>
          <w:color w:val="auto"/>
        </w:rPr>
      </w:pPr>
    </w:p>
    <w:p>
      <w:pPr>
        <w:jc w:val="both"/>
        <w:ind w:right="420" w:firstLine="1253"/>
        <w:spacing w:after="0" w:line="236" w:lineRule="auto"/>
        <w:tabs>
          <w:tab w:leader="none" w:pos="2086"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SunPower may continue to procure Legacy Products for a particular AC Module until a MLPE Product compatible with such AC Module satisfies the following requirements (the “</w:t>
      </w:r>
      <w:r>
        <w:rPr>
          <w:rFonts w:ascii="Times New Roman" w:cs="Times New Roman" w:eastAsia="Times New Roman" w:hAnsi="Times New Roman"/>
          <w:sz w:val="19"/>
          <w:szCs w:val="19"/>
          <w:b w:val="1"/>
          <w:bCs w:val="1"/>
          <w:i w:val="1"/>
          <w:iCs w:val="1"/>
          <w:color w:val="auto"/>
        </w:rPr>
        <w:t>Approval Requirements</w:t>
      </w:r>
      <w:r>
        <w:rPr>
          <w:rFonts w:ascii="Times New Roman" w:cs="Times New Roman" w:eastAsia="Times New Roman" w:hAnsi="Times New Roman"/>
          <w:sz w:val="19"/>
          <w:szCs w:val="19"/>
          <w:color w:val="auto"/>
        </w:rPr>
        <w:t xml:space="preserve">”): (i) meets the qualification requirements under </w:t>
      </w:r>
      <w:r>
        <w:rPr>
          <w:rFonts w:ascii="Times New Roman" w:cs="Times New Roman" w:eastAsia="Times New Roman" w:hAnsi="Times New Roman"/>
          <w:sz w:val="19"/>
          <w:szCs w:val="19"/>
          <w:u w:val="single" w:color="auto"/>
          <w:color w:val="auto"/>
        </w:rPr>
        <w:t>Exhibit J</w:t>
      </w:r>
      <w:r>
        <w:rPr>
          <w:rFonts w:ascii="Times New Roman" w:cs="Times New Roman" w:eastAsia="Times New Roman" w:hAnsi="Times New Roman"/>
          <w:sz w:val="19"/>
          <w:szCs w:val="19"/>
          <w:color w:val="auto"/>
        </w:rPr>
        <w:t>, and (ii) obtains all necessary governmental certifications for commercial use.</w:t>
      </w:r>
    </w:p>
    <w:p>
      <w:pPr>
        <w:spacing w:after="0" w:line="142" w:lineRule="exact"/>
        <w:rPr>
          <w:rFonts w:ascii="Times New Roman" w:cs="Times New Roman" w:eastAsia="Times New Roman" w:hAnsi="Times New Roman"/>
          <w:sz w:val="19"/>
          <w:szCs w:val="19"/>
          <w:color w:val="auto"/>
        </w:rPr>
      </w:pPr>
    </w:p>
    <w:p>
      <w:pPr>
        <w:jc w:val="both"/>
        <w:ind w:right="320" w:firstLine="1253"/>
        <w:spacing w:after="0" w:line="236" w:lineRule="auto"/>
        <w:tabs>
          <w:tab w:leader="none" w:pos="2088"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Once the Approval Requirements are met for a particular MLPE Product, SunPower shall initiate final purchases at SunPower’s current contract manufacturer for MLPE and AC Cables for the Legacy Product(s) that corresponds to the approved Product.</w:t>
      </w:r>
    </w:p>
    <w:p>
      <w:pPr>
        <w:spacing w:after="0" w:line="142" w:lineRule="exact"/>
        <w:rPr>
          <w:rFonts w:ascii="Times New Roman" w:cs="Times New Roman" w:eastAsia="Times New Roman" w:hAnsi="Times New Roman"/>
          <w:sz w:val="19"/>
          <w:szCs w:val="19"/>
          <w:color w:val="auto"/>
        </w:rPr>
      </w:pPr>
    </w:p>
    <w:p>
      <w:pPr>
        <w:jc w:val="both"/>
        <w:ind w:right="320" w:firstLine="1253"/>
        <w:spacing w:after="0" w:line="236" w:lineRule="auto"/>
        <w:tabs>
          <w:tab w:leader="none" w:pos="2086"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Legacy Products are not “Products” under this MSA, and Enphase has no obligations with respect to Legacy Products; provided, however, Enphase may, in its sole discretion, separately agree in writing to take on some Legacy Products obligations.</w:t>
      </w:r>
    </w:p>
    <w:p>
      <w:pPr>
        <w:spacing w:after="0" w:line="142" w:lineRule="exact"/>
        <w:rPr>
          <w:rFonts w:ascii="Times New Roman" w:cs="Times New Roman" w:eastAsia="Times New Roman" w:hAnsi="Times New Roman"/>
          <w:sz w:val="19"/>
          <w:szCs w:val="19"/>
          <w:color w:val="auto"/>
        </w:rPr>
      </w:pPr>
    </w:p>
    <w:p>
      <w:pPr>
        <w:jc w:val="both"/>
        <w:ind w:right="480" w:firstLine="1253"/>
        <w:spacing w:after="0" w:line="236" w:lineRule="auto"/>
        <w:tabs>
          <w:tab w:leader="none" w:pos="2088"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of this MSA, SunPower may, until such time as a Product satisfies the Approval Requirements, continue to procure Legacy Products solely for the purposes of fulfilling warranty return or replacement obligations with respect to such Legacy Products.</w:t>
      </w:r>
    </w:p>
    <w:p>
      <w:pPr>
        <w:spacing w:after="0" w:line="140" w:lineRule="exact"/>
        <w:rPr>
          <w:sz w:val="20"/>
          <w:szCs w:val="20"/>
          <w:color w:val="auto"/>
        </w:rPr>
      </w:pPr>
    </w:p>
    <w:p>
      <w:pPr>
        <w:jc w:val="both"/>
        <w:ind w:right="180" w:firstLine="629"/>
        <w:spacing w:after="0" w:line="236" w:lineRule="auto"/>
        <w:rPr>
          <w:sz w:val="20"/>
          <w:szCs w:val="20"/>
          <w:color w:val="auto"/>
        </w:rPr>
      </w:pPr>
      <w:r>
        <w:rPr>
          <w:rFonts w:ascii="Times New Roman" w:cs="Times New Roman" w:eastAsia="Times New Roman" w:hAnsi="Times New Roman"/>
          <w:sz w:val="19"/>
          <w:szCs w:val="19"/>
          <w:color w:val="auto"/>
        </w:rPr>
        <w:t xml:space="preserve">1.3 </w:t>
      </w:r>
      <w:r>
        <w:rPr>
          <w:rFonts w:ascii="Times New Roman" w:cs="Times New Roman" w:eastAsia="Times New Roman" w:hAnsi="Times New Roman"/>
          <w:sz w:val="19"/>
          <w:szCs w:val="19"/>
          <w:b w:val="1"/>
          <w:bCs w:val="1"/>
          <w:u w:val="single" w:color="auto"/>
          <w:color w:val="auto"/>
        </w:rPr>
        <w:t>Product Roadmap</w:t>
      </w:r>
      <w:r>
        <w:rPr>
          <w:rFonts w:ascii="Times New Roman" w:cs="Times New Roman" w:eastAsia="Times New Roman" w:hAnsi="Times New Roman"/>
          <w:sz w:val="19"/>
          <w:szCs w:val="19"/>
          <w:color w:val="auto"/>
        </w:rPr>
        <w:t>. SunPower has provided to Enphase its [*] roadmap for residential module compatibility (the “</w:t>
      </w:r>
      <w:r>
        <w:rPr>
          <w:rFonts w:ascii="Times New Roman" w:cs="Times New Roman" w:eastAsia="Times New Roman" w:hAnsi="Times New Roman"/>
          <w:sz w:val="19"/>
          <w:szCs w:val="19"/>
          <w:b w:val="1"/>
          <w:bCs w:val="1"/>
          <w:i w:val="1"/>
          <w:iCs w:val="1"/>
          <w:color w:val="auto"/>
        </w:rPr>
        <w:t>Product Roadmap</w:t>
      </w:r>
      <w:r>
        <w:rPr>
          <w:rFonts w:ascii="Times New Roman" w:cs="Times New Roman" w:eastAsia="Times New Roman" w:hAnsi="Times New Roman"/>
          <w:sz w:val="19"/>
          <w:szCs w:val="19"/>
          <w:color w:val="auto"/>
        </w:rPr>
        <w:t xml:space="preserve">”), which is attached as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If Enphase fails to qualify and certify a Product listed in the Product Roadmap in accordance with the qualification and</w:t>
      </w:r>
    </w:p>
    <w:p>
      <w:pPr>
        <w:sectPr>
          <w:pgSz w:w="11900" w:h="16838" w:orient="portrait"/>
          <w:cols w:equalWidth="0" w:num="1">
            <w:col w:w="10180"/>
          </w:cols>
          <w:pgMar w:left="1380" w:top="10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 w:right="200"/>
        <w:spacing w:after="0" w:line="230" w:lineRule="auto"/>
        <w:rPr>
          <w:sz w:val="20"/>
          <w:szCs w:val="20"/>
          <w:color w:val="auto"/>
        </w:rPr>
      </w:pPr>
      <w:r>
        <w:rPr>
          <w:rFonts w:ascii="Times New Roman" w:cs="Times New Roman" w:eastAsia="Times New Roman" w:hAnsi="Times New Roman"/>
          <w:sz w:val="19"/>
          <w:szCs w:val="19"/>
          <w:color w:val="auto"/>
        </w:rPr>
        <w:t>certification requirements set forth therein, by the dates set forth therein (“</w:t>
      </w:r>
      <w:r>
        <w:rPr>
          <w:rFonts w:ascii="Times New Roman" w:cs="Times New Roman" w:eastAsia="Times New Roman" w:hAnsi="Times New Roman"/>
          <w:sz w:val="19"/>
          <w:szCs w:val="19"/>
          <w:b w:val="1"/>
          <w:bCs w:val="1"/>
          <w:i w:val="1"/>
          <w:iCs w:val="1"/>
          <w:color w:val="auto"/>
        </w:rPr>
        <w:t>Milestone Dates</w:t>
      </w:r>
      <w:r>
        <w:rPr>
          <w:rFonts w:ascii="Times New Roman" w:cs="Times New Roman" w:eastAsia="Times New Roman" w:hAnsi="Times New Roman"/>
          <w:sz w:val="19"/>
          <w:szCs w:val="19"/>
          <w:color w:val="auto"/>
        </w:rPr>
        <w:t>”), unless such failure is due to SunPower or Force Majeure, then SunPower</w:t>
      </w:r>
    </w:p>
    <w:p>
      <w:pPr>
        <w:spacing w:after="0" w:line="1" w:lineRule="exact"/>
        <w:rPr>
          <w:sz w:val="20"/>
          <w:szCs w:val="20"/>
          <w:color w:val="auto"/>
        </w:rPr>
      </w:pPr>
    </w:p>
    <w:p>
      <w:pPr>
        <w:jc w:val="both"/>
        <w:ind w:left="6" w:right="220" w:hanging="6"/>
        <w:spacing w:after="0" w:line="215" w:lineRule="auto"/>
        <w:tabs>
          <w:tab w:leader="none" w:pos="252"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may procure from Third Parties a MLPE having materially similar specifications to those for the Product not qualified and certified, solely for use with the applicable new module set forth in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until forty-five (45) days after the date that Enphase qualifies and certifies the applicable MLPE, provided that such materially similar, and previously qualified and certified, MLPE is not available from Enphase, and (ii) shall continue to purchase Enphase’s older Products that have been certified and qualified, and at the Prices set forth in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 xml:space="preserve">. Purchases from Third Parties pursuant to this </w:t>
      </w:r>
      <w:r>
        <w:rPr>
          <w:rFonts w:ascii="Times New Roman" w:cs="Times New Roman" w:eastAsia="Times New Roman" w:hAnsi="Times New Roman"/>
          <w:sz w:val="19"/>
          <w:szCs w:val="19"/>
          <w:u w:val="single" w:color="auto"/>
          <w:color w:val="auto"/>
        </w:rPr>
        <w:t>Section 1.3</w:t>
      </w:r>
      <w:r>
        <w:rPr>
          <w:rFonts w:ascii="Times New Roman" w:cs="Times New Roman" w:eastAsia="Times New Roman" w:hAnsi="Times New Roman"/>
          <w:sz w:val="19"/>
          <w:szCs w:val="19"/>
          <w:color w:val="auto"/>
        </w:rPr>
        <w:t xml:space="preserve"> will count towards the Total Purchase Commitment and Minimum Annual Commitments discussed in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but only up to the amount set forth in the Rolling Forecast for such Product plus [*]. To the extent any delays in fulfillment of the Product Roadmap are due to the acts or omissions of SunPower or Force Majeure events, the Milestone Dates shall be extended automatically by the number of days corresponding to such delay.</w:t>
      </w:r>
    </w:p>
    <w:p>
      <w:pPr>
        <w:spacing w:after="0" w:line="155" w:lineRule="exact"/>
        <w:rPr>
          <w:sz w:val="20"/>
          <w:szCs w:val="20"/>
          <w:color w:val="auto"/>
        </w:rPr>
      </w:pPr>
    </w:p>
    <w:p>
      <w:pPr>
        <w:ind w:left="6" w:right="480" w:firstLine="629"/>
        <w:spacing w:after="0" w:line="222" w:lineRule="auto"/>
        <w:rPr>
          <w:sz w:val="20"/>
          <w:szCs w:val="20"/>
          <w:color w:val="auto"/>
        </w:rPr>
      </w:pPr>
      <w:r>
        <w:rPr>
          <w:rFonts w:ascii="Times New Roman" w:cs="Times New Roman" w:eastAsia="Times New Roman" w:hAnsi="Times New Roman"/>
          <w:sz w:val="19"/>
          <w:szCs w:val="19"/>
          <w:color w:val="auto"/>
        </w:rPr>
        <w:t xml:space="preserve">1.4 </w:t>
      </w:r>
      <w:r>
        <w:rPr>
          <w:rFonts w:ascii="Times New Roman" w:cs="Times New Roman" w:eastAsia="Times New Roman" w:hAnsi="Times New Roman"/>
          <w:sz w:val="19"/>
          <w:szCs w:val="19"/>
          <w:b w:val="1"/>
          <w:bCs w:val="1"/>
          <w:u w:val="single" w:color="auto"/>
          <w:color w:val="auto"/>
        </w:rPr>
        <w:t>Right to Manufacture, Sell, or Purchase</w:t>
      </w:r>
      <w:r>
        <w:rPr>
          <w:rFonts w:ascii="Times New Roman" w:cs="Times New Roman" w:eastAsia="Times New Roman" w:hAnsi="Times New Roman"/>
          <w:sz w:val="19"/>
          <w:szCs w:val="19"/>
          <w:color w:val="auto"/>
        </w:rPr>
        <w:t>. This MSA does not preclude or otherwise restrict Enphase from manufacturing or selling, or entering into any agreement with any Person related to the manufacture or sale of any goods</w:t>
      </w:r>
    </w:p>
    <w:p>
      <w:pPr>
        <w:jc w:val="both"/>
        <w:ind w:left="6" w:right="480"/>
        <w:spacing w:after="0" w:line="208" w:lineRule="auto"/>
        <w:rPr>
          <w:sz w:val="20"/>
          <w:szCs w:val="20"/>
          <w:color w:val="auto"/>
        </w:rPr>
      </w:pPr>
      <w:r>
        <w:rPr>
          <w:rFonts w:ascii="Times New Roman" w:cs="Times New Roman" w:eastAsia="Times New Roman" w:hAnsi="Times New Roman"/>
          <w:sz w:val="19"/>
          <w:szCs w:val="19"/>
          <w:color w:val="auto"/>
        </w:rPr>
        <w:t>or products, including products similar to or competitive with any Products. This MSA does not preclude or otherwise restrict SunPower from manufacturing, selling, purchasing, or entering into any agreement with any Person for the manufacturing,</w:t>
      </w:r>
    </w:p>
    <w:p>
      <w:pPr>
        <w:spacing w:after="0" w:line="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 xml:space="preserve">selling, or purchasing of any goods or products other than as provided in </w:t>
      </w:r>
      <w:r>
        <w:rPr>
          <w:rFonts w:ascii="Times New Roman" w:cs="Times New Roman" w:eastAsia="Times New Roman" w:hAnsi="Times New Roman"/>
          <w:sz w:val="19"/>
          <w:szCs w:val="19"/>
          <w:u w:val="single" w:color="auto"/>
          <w:color w:val="auto"/>
        </w:rPr>
        <w:t>Sections 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1.3</w:t>
      </w:r>
      <w:r>
        <w:rPr>
          <w:rFonts w:ascii="Times New Roman" w:cs="Times New Roman" w:eastAsia="Times New Roman" w:hAnsi="Times New Roman"/>
          <w:sz w:val="19"/>
          <w:szCs w:val="19"/>
          <w:color w:val="auto"/>
        </w:rPr>
        <w:t>.</w:t>
      </w:r>
    </w:p>
    <w:p>
      <w:pPr>
        <w:spacing w:after="0" w:line="151" w:lineRule="exact"/>
        <w:rPr>
          <w:sz w:val="20"/>
          <w:szCs w:val="20"/>
          <w:color w:val="auto"/>
        </w:rPr>
      </w:pPr>
    </w:p>
    <w:p>
      <w:pPr>
        <w:ind w:left="626"/>
        <w:spacing w:after="0"/>
        <w:tabs>
          <w:tab w:leader="none" w:pos="1226" w:val="left"/>
        </w:tabs>
        <w:rPr>
          <w:sz w:val="20"/>
          <w:szCs w:val="20"/>
          <w:color w:val="auto"/>
        </w:rPr>
      </w:pPr>
      <w:r>
        <w:rPr>
          <w:rFonts w:ascii="Times New Roman" w:cs="Times New Roman" w:eastAsia="Times New Roman" w:hAnsi="Times New Roman"/>
          <w:sz w:val="19"/>
          <w:szCs w:val="19"/>
          <w:color w:val="auto"/>
        </w:rPr>
        <w:t>1.5</w:t>
      </w:r>
      <w:r>
        <w:rPr>
          <w:sz w:val="20"/>
          <w:szCs w:val="20"/>
          <w:color w:val="auto"/>
        </w:rPr>
        <w:tab/>
      </w:r>
      <w:r>
        <w:rPr>
          <w:rFonts w:ascii="Times New Roman" w:cs="Times New Roman" w:eastAsia="Times New Roman" w:hAnsi="Times New Roman"/>
          <w:sz w:val="19"/>
          <w:szCs w:val="19"/>
          <w:b w:val="1"/>
          <w:bCs w:val="1"/>
          <w:u w:val="single" w:color="auto"/>
          <w:color w:val="auto"/>
        </w:rPr>
        <w:t>Certain Remedies</w:t>
      </w:r>
      <w:r>
        <w:rPr>
          <w:rFonts w:ascii="Times New Roman" w:cs="Times New Roman" w:eastAsia="Times New Roman" w:hAnsi="Times New Roman"/>
          <w:sz w:val="19"/>
          <w:szCs w:val="19"/>
          <w:color w:val="auto"/>
        </w:rPr>
        <w:t>. In the event that SunPower breaches</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u w:val="single" w:color="auto"/>
          <w:color w:val="auto"/>
        </w:rPr>
        <w:t>Section</w:t>
      </w:r>
    </w:p>
    <w:p>
      <w:pPr>
        <w:ind w:left="6" w:right="220"/>
        <w:spacing w:after="0" w:line="216" w:lineRule="auto"/>
        <w:rPr>
          <w:sz w:val="20"/>
          <w:szCs w:val="20"/>
          <w:color w:val="auto"/>
        </w:rPr>
      </w:pPr>
      <w:r>
        <w:rPr>
          <w:rFonts w:ascii="Times New Roman" w:cs="Times New Roman" w:eastAsia="Times New Roman" w:hAnsi="Times New Roman"/>
          <w:sz w:val="19"/>
          <w:szCs w:val="19"/>
          <w:u w:val="single" w:color="auto"/>
          <w:color w:val="auto"/>
        </w:rPr>
        <w:t>10.5 of the APA</w:t>
      </w:r>
      <w:r>
        <w:rPr>
          <w:rFonts w:ascii="Times New Roman" w:cs="Times New Roman" w:eastAsia="Times New Roman" w:hAnsi="Times New Roman"/>
          <w:sz w:val="19"/>
          <w:szCs w:val="19"/>
          <w:color w:val="auto"/>
        </w:rPr>
        <w:t>, Enphase shall be entitled to seek injunctive relief without the necessity of proving actual damages or posting any bond or other security, and without limiting any other rights or remedies that may be available to Enphase. SunPower further</w:t>
      </w:r>
    </w:p>
    <w:p>
      <w:pPr>
        <w:ind w:left="6" w:right="220"/>
        <w:spacing w:after="0" w:line="208" w:lineRule="auto"/>
        <w:rPr>
          <w:sz w:val="20"/>
          <w:szCs w:val="20"/>
          <w:color w:val="auto"/>
        </w:rPr>
      </w:pPr>
      <w:r>
        <w:rPr>
          <w:rFonts w:ascii="Times New Roman" w:cs="Times New Roman" w:eastAsia="Times New Roman" w:hAnsi="Times New Roman"/>
          <w:sz w:val="19"/>
          <w:szCs w:val="19"/>
          <w:color w:val="auto"/>
        </w:rPr>
        <w:t>acknowledges that in the event of any breach of these provisions which is intentional or is not cured within [*] of notice to SunPower, as liquidated damages that would fairly compensate Enphase for such breach (and not as a punishment or penalty for</w:t>
      </w:r>
    </w:p>
    <w:p>
      <w:pPr>
        <w:ind w:left="6"/>
        <w:spacing w:after="0" w:line="217" w:lineRule="auto"/>
        <w:rPr>
          <w:sz w:val="20"/>
          <w:szCs w:val="20"/>
          <w:color w:val="auto"/>
        </w:rPr>
      </w:pPr>
      <w:r>
        <w:rPr>
          <w:rFonts w:ascii="Times New Roman" w:cs="Times New Roman" w:eastAsia="Times New Roman" w:hAnsi="Times New Roman"/>
          <w:sz w:val="19"/>
          <w:szCs w:val="19"/>
          <w:color w:val="auto"/>
        </w:rPr>
        <w:t>such breach), SunPower shall pay Enphase [*]. For example, if SunPower purchased [*] units from a Third Party in breach of</w:t>
      </w:r>
    </w:p>
    <w:p>
      <w:pPr>
        <w:spacing w:after="0" w:line="1" w:lineRule="exact"/>
        <w:rPr>
          <w:sz w:val="20"/>
          <w:szCs w:val="20"/>
          <w:color w:val="auto"/>
        </w:rPr>
      </w:pPr>
    </w:p>
    <w:p>
      <w:pPr>
        <w:ind w:left="6" w:right="220"/>
        <w:spacing w:after="0" w:line="226" w:lineRule="auto"/>
        <w:rPr>
          <w:sz w:val="20"/>
          <w:szCs w:val="20"/>
          <w:color w:val="auto"/>
        </w:rPr>
      </w:pP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in 2020, SunPower would owe Enphase [*]. The Parties agree that the payments and remedies set forth in this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color w:val="auto"/>
        </w:rPr>
        <w:t xml:space="preserve"> are a reasonable estimate of the presumed actual damages that such a breach would cause.</w:t>
      </w:r>
    </w:p>
    <w:p>
      <w:pPr>
        <w:spacing w:after="0" w:line="148" w:lineRule="exact"/>
        <w:rPr>
          <w:sz w:val="20"/>
          <w:szCs w:val="20"/>
          <w:color w:val="auto"/>
        </w:rPr>
      </w:pPr>
    </w:p>
    <w:p>
      <w:pPr>
        <w:ind w:left="6" w:right="1000" w:firstLine="629"/>
        <w:spacing w:after="0" w:line="231"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b w:val="1"/>
          <w:bCs w:val="1"/>
          <w:u w:val="single" w:color="auto"/>
          <w:color w:val="auto"/>
        </w:rPr>
        <w:t>Sales of SunPower Products to Third Parties</w:t>
      </w:r>
      <w:r>
        <w:rPr>
          <w:rFonts w:ascii="Times New Roman" w:cs="Times New Roman" w:eastAsia="Times New Roman" w:hAnsi="Times New Roman"/>
          <w:sz w:val="21"/>
          <w:szCs w:val="21"/>
          <w:b w:val="1"/>
          <w:bCs w:val="1"/>
          <w:i w:val="1"/>
          <w:iCs w:val="1"/>
          <w:u w:val="single" w:color="auto"/>
          <w:color w:val="auto"/>
        </w:rPr>
        <w:t>.</w:t>
      </w:r>
      <w:r>
        <w:rPr>
          <w:rFonts w:ascii="Times New Roman" w:cs="Times New Roman" w:eastAsia="Times New Roman" w:hAnsi="Times New Roman"/>
          <w:sz w:val="21"/>
          <w:szCs w:val="21"/>
          <w:color w:val="auto"/>
        </w:rPr>
        <w:t xml:space="preserve"> Enphase shall not, without SunPower’s consent, sell to Third Parties: (i) Products that are branded with SunPower branding and/or (ii) that portion of Enphase’s firmware specifically designed for SunPower.</w:t>
      </w:r>
    </w:p>
    <w:p>
      <w:pPr>
        <w:spacing w:after="0" w:line="168" w:lineRule="exact"/>
        <w:rPr>
          <w:sz w:val="20"/>
          <w:szCs w:val="20"/>
          <w:color w:val="auto"/>
        </w:rPr>
      </w:pPr>
    </w:p>
    <w:p>
      <w:pPr>
        <w:jc w:val="both"/>
        <w:ind w:left="6" w:right="300" w:firstLine="629"/>
        <w:spacing w:after="0" w:line="219"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b w:val="1"/>
          <w:bCs w:val="1"/>
          <w:u w:val="single" w:color="auto"/>
          <w:color w:val="auto"/>
        </w:rPr>
        <w:t>First Allocation of Supply</w:t>
      </w:r>
      <w:r>
        <w:rPr>
          <w:rFonts w:ascii="Times New Roman" w:cs="Times New Roman" w:eastAsia="Times New Roman" w:hAnsi="Times New Roman"/>
          <w:sz w:val="21"/>
          <w:szCs w:val="21"/>
          <w:b w:val="1"/>
          <w:bCs w:val="1"/>
          <w:i w:val="1"/>
          <w:iCs w:val="1"/>
          <w:u w:val="single" w:color="auto"/>
          <w:color w:val="auto"/>
        </w:rPr>
        <w:t>.</w:t>
      </w:r>
      <w:r>
        <w:rPr>
          <w:rFonts w:ascii="Times New Roman" w:cs="Times New Roman" w:eastAsia="Times New Roman" w:hAnsi="Times New Roman"/>
          <w:sz w:val="21"/>
          <w:szCs w:val="21"/>
          <w:color w:val="auto"/>
        </w:rPr>
        <w:t xml:space="preserve"> In consideration for SunPower’s undertakings in Section 1.1, Enphase shall prioritize and supply Products to SunPower in accordance with this MSA before Enphase supplies any Products to any Third Parties. For the avoidance of doubt, if at any time Enphase cannot concurrently satisfy all then-effective purchase orders from SunPower and Third Parties, [*]. In the event that Enphase breaches this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 SunPower shall be entitled to seek injunctive relief without the necessity of proving actual damages or posting any bond or other security, and without limiting any other rights or remedies that may be available to SunPower.</w:t>
      </w:r>
    </w:p>
    <w:p>
      <w:pPr>
        <w:spacing w:after="0" w:line="200" w:lineRule="exact"/>
        <w:rPr>
          <w:sz w:val="20"/>
          <w:szCs w:val="20"/>
          <w:color w:val="auto"/>
        </w:rPr>
      </w:pPr>
    </w:p>
    <w:p>
      <w:pPr>
        <w:spacing w:after="0" w:line="281" w:lineRule="exact"/>
        <w:rPr>
          <w:sz w:val="20"/>
          <w:szCs w:val="20"/>
          <w:color w:val="auto"/>
        </w:rPr>
      </w:pPr>
    </w:p>
    <w:p>
      <w:pPr>
        <w:jc w:val="center"/>
        <w:ind w:right="1034"/>
        <w:spacing w:after="0"/>
        <w:rPr>
          <w:sz w:val="20"/>
          <w:szCs w:val="20"/>
          <w:color w:val="auto"/>
        </w:rPr>
      </w:pPr>
      <w:r>
        <w:rPr>
          <w:rFonts w:ascii="Times New Roman" w:cs="Times New Roman" w:eastAsia="Times New Roman" w:hAnsi="Times New Roman"/>
          <w:sz w:val="19"/>
          <w:szCs w:val="19"/>
          <w:b w:val="1"/>
          <w:bCs w:val="1"/>
          <w:color w:val="010000"/>
        </w:rPr>
        <w:t>ARTICLE II</w:t>
      </w:r>
    </w:p>
    <w:p>
      <w:pPr>
        <w:spacing w:after="0" w:line="83" w:lineRule="exact"/>
        <w:rPr>
          <w:sz w:val="20"/>
          <w:szCs w:val="20"/>
          <w:color w:val="auto"/>
        </w:rPr>
      </w:pPr>
    </w:p>
    <w:p>
      <w:pPr>
        <w:ind w:left="2226"/>
        <w:spacing w:after="0"/>
        <w:rPr>
          <w:sz w:val="20"/>
          <w:szCs w:val="20"/>
          <w:color w:val="auto"/>
        </w:rPr>
      </w:pPr>
      <w:r>
        <w:rPr>
          <w:rFonts w:ascii="Times New Roman" w:cs="Times New Roman" w:eastAsia="Times New Roman" w:hAnsi="Times New Roman"/>
          <w:sz w:val="19"/>
          <w:szCs w:val="19"/>
          <w:b w:val="1"/>
          <w:bCs w:val="1"/>
          <w:color w:val="auto"/>
        </w:rPr>
        <w:t>FORECASTS, PURCHASE, PRICING AND PAYMENT</w:t>
      </w:r>
    </w:p>
    <w:p>
      <w:pPr>
        <w:spacing w:after="0" w:line="175" w:lineRule="exact"/>
        <w:rPr>
          <w:sz w:val="20"/>
          <w:szCs w:val="20"/>
          <w:color w:val="auto"/>
        </w:rPr>
      </w:pPr>
    </w:p>
    <w:p>
      <w:pPr>
        <w:ind w:left="626"/>
        <w:spacing w:after="0"/>
        <w:tabs>
          <w:tab w:leader="none" w:pos="1226"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9"/>
          <w:szCs w:val="19"/>
          <w:b w:val="1"/>
          <w:bCs w:val="1"/>
          <w:u w:val="single" w:color="auto"/>
          <w:color w:val="auto"/>
        </w:rPr>
        <w:t>Forecasts</w:t>
      </w:r>
      <w:r>
        <w:rPr>
          <w:rFonts w:ascii="Times New Roman" w:cs="Times New Roman" w:eastAsia="Times New Roman" w:hAnsi="Times New Roman"/>
          <w:sz w:val="19"/>
          <w:szCs w:val="19"/>
          <w:color w:val="auto"/>
        </w:rPr>
        <w:t>.</w:t>
      </w:r>
    </w:p>
    <w:p>
      <w:pPr>
        <w:spacing w:after="0" w:line="190" w:lineRule="exact"/>
        <w:rPr>
          <w:sz w:val="20"/>
          <w:szCs w:val="20"/>
          <w:color w:val="auto"/>
        </w:rPr>
      </w:pPr>
    </w:p>
    <w:p>
      <w:pPr>
        <w:jc w:val="both"/>
        <w:ind w:left="6" w:right="280" w:firstLine="1253"/>
        <w:spacing w:after="0" w:line="227" w:lineRule="auto"/>
        <w:tabs>
          <w:tab w:leader="none" w:pos="209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SunPower’s nonbinding, good-faith annual forecast of its anticipated requirements of Products through December 31, 2023 is attached as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On or before Wednesday of each calendar week during the Term, SunPower shall deliver to Enphase a rolling forecast of its anticipated requirements of Products for the 12-month period beginning on the first day of the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66"/>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0186"/>
          </w:cols>
          <w:pgMar w:left="1374" w:top="100"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 w:right="260"/>
        <w:spacing w:after="0" w:line="230" w:lineRule="auto"/>
        <w:rPr>
          <w:sz w:val="20"/>
          <w:szCs w:val="20"/>
          <w:color w:val="auto"/>
        </w:rPr>
      </w:pPr>
      <w:r>
        <w:rPr>
          <w:rFonts w:ascii="Times New Roman" w:cs="Times New Roman" w:eastAsia="Times New Roman" w:hAnsi="Times New Roman"/>
          <w:sz w:val="19"/>
          <w:szCs w:val="19"/>
          <w:color w:val="auto"/>
        </w:rPr>
        <w:t>calendar week (“</w:t>
      </w:r>
      <w:r>
        <w:rPr>
          <w:rFonts w:ascii="Times New Roman" w:cs="Times New Roman" w:eastAsia="Times New Roman" w:hAnsi="Times New Roman"/>
          <w:sz w:val="19"/>
          <w:szCs w:val="19"/>
          <w:b w:val="1"/>
          <w:bCs w:val="1"/>
          <w:i w:val="1"/>
          <w:iCs w:val="1"/>
          <w:color w:val="auto"/>
        </w:rPr>
        <w:t>Rolling Forecast</w:t>
      </w:r>
      <w:r>
        <w:rPr>
          <w:rFonts w:ascii="Times New Roman" w:cs="Times New Roman" w:eastAsia="Times New Roman" w:hAnsi="Times New Roman"/>
          <w:sz w:val="19"/>
          <w:szCs w:val="19"/>
          <w:color w:val="auto"/>
        </w:rPr>
        <w:t>”). The Rolling Forecast will include two components: (1) a weekly rolling forecast (“</w:t>
      </w:r>
      <w:r>
        <w:rPr>
          <w:rFonts w:ascii="Times New Roman" w:cs="Times New Roman" w:eastAsia="Times New Roman" w:hAnsi="Times New Roman"/>
          <w:sz w:val="19"/>
          <w:szCs w:val="19"/>
          <w:b w:val="1"/>
          <w:bCs w:val="1"/>
          <w:i w:val="1"/>
          <w:iCs w:val="1"/>
          <w:color w:val="auto"/>
        </w:rPr>
        <w:t>Weekly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Rolling Forecast</w:t>
      </w:r>
      <w:r>
        <w:rPr>
          <w:rFonts w:ascii="Times New Roman" w:cs="Times New Roman" w:eastAsia="Times New Roman" w:hAnsi="Times New Roman"/>
          <w:sz w:val="19"/>
          <w:szCs w:val="19"/>
          <w:color w:val="auto"/>
        </w:rPr>
        <w:t>”) of SunPower’s anticipated requirements for purchasing Products for the 6-month period beginning on the</w:t>
      </w:r>
    </w:p>
    <w:p>
      <w:pPr>
        <w:spacing w:after="0" w:line="1" w:lineRule="exact"/>
        <w:rPr>
          <w:sz w:val="20"/>
          <w:szCs w:val="20"/>
          <w:color w:val="auto"/>
        </w:rPr>
      </w:pPr>
    </w:p>
    <w:p>
      <w:pPr>
        <w:ind w:left="6" w:right="280"/>
        <w:spacing w:after="0" w:line="208" w:lineRule="auto"/>
        <w:rPr>
          <w:sz w:val="20"/>
          <w:szCs w:val="20"/>
          <w:color w:val="auto"/>
        </w:rPr>
      </w:pPr>
      <w:r>
        <w:rPr>
          <w:rFonts w:ascii="Times New Roman" w:cs="Times New Roman" w:eastAsia="Times New Roman" w:hAnsi="Times New Roman"/>
          <w:sz w:val="19"/>
          <w:szCs w:val="19"/>
          <w:color w:val="auto"/>
        </w:rPr>
        <w:t>first day of the next calendar week; and (2) a monthly rolling forecast (“</w:t>
      </w:r>
      <w:r>
        <w:rPr>
          <w:rFonts w:ascii="Times New Roman" w:cs="Times New Roman" w:eastAsia="Times New Roman" w:hAnsi="Times New Roman"/>
          <w:sz w:val="19"/>
          <w:szCs w:val="19"/>
          <w:b w:val="1"/>
          <w:bCs w:val="1"/>
          <w:i w:val="1"/>
          <w:iCs w:val="1"/>
          <w:color w:val="auto"/>
        </w:rPr>
        <w:t>Monthly Rolling Forecast</w:t>
      </w:r>
      <w:r>
        <w:rPr>
          <w:rFonts w:ascii="Times New Roman" w:cs="Times New Roman" w:eastAsia="Times New Roman" w:hAnsi="Times New Roman"/>
          <w:sz w:val="19"/>
          <w:szCs w:val="19"/>
          <w:color w:val="auto"/>
        </w:rPr>
        <w:t>”) of SunPower’s anticipated requirements for purchasing Products for the subsequent 6-month period. For example, for a period beginning January 1 of a</w:t>
      </w:r>
    </w:p>
    <w:p>
      <w:pPr>
        <w:ind w:left="6"/>
        <w:spacing w:after="0" w:line="217" w:lineRule="auto"/>
        <w:rPr>
          <w:sz w:val="20"/>
          <w:szCs w:val="20"/>
          <w:color w:val="auto"/>
        </w:rPr>
      </w:pPr>
      <w:r>
        <w:rPr>
          <w:rFonts w:ascii="Times New Roman" w:cs="Times New Roman" w:eastAsia="Times New Roman" w:hAnsi="Times New Roman"/>
          <w:sz w:val="19"/>
          <w:szCs w:val="19"/>
          <w:color w:val="auto"/>
        </w:rPr>
        <w:t>given year, the Rolling Forecast will include a forecast of SunPower’s anticipated requirements of Products on a weekly basis</w:t>
      </w:r>
    </w:p>
    <w:p>
      <w:pPr>
        <w:spacing w:after="0" w:line="1" w:lineRule="exact"/>
        <w:rPr>
          <w:sz w:val="20"/>
          <w:szCs w:val="20"/>
          <w:color w:val="auto"/>
        </w:rPr>
      </w:pPr>
    </w:p>
    <w:p>
      <w:pPr>
        <w:ind w:left="6" w:right="280"/>
        <w:spacing w:after="0" w:line="226" w:lineRule="auto"/>
        <w:rPr>
          <w:sz w:val="20"/>
          <w:szCs w:val="20"/>
          <w:color w:val="auto"/>
        </w:rPr>
      </w:pPr>
      <w:r>
        <w:rPr>
          <w:rFonts w:ascii="Times New Roman" w:cs="Times New Roman" w:eastAsia="Times New Roman" w:hAnsi="Times New Roman"/>
          <w:sz w:val="19"/>
          <w:szCs w:val="19"/>
          <w:color w:val="auto"/>
        </w:rPr>
        <w:t>for January 1 through June 30 of that year and a forecast of SunPower’s anticipated requirements of Products on a monthly basis from July 1 through December 31 of that same year. The Rolling Forecast is for planning purposes and is non-binding.</w:t>
      </w:r>
    </w:p>
    <w:p>
      <w:pPr>
        <w:spacing w:after="0" w:line="157" w:lineRule="exact"/>
        <w:rPr>
          <w:sz w:val="20"/>
          <w:szCs w:val="20"/>
          <w:color w:val="auto"/>
        </w:rPr>
      </w:pPr>
    </w:p>
    <w:p>
      <w:pPr>
        <w:jc w:val="both"/>
        <w:ind w:left="6" w:right="240" w:firstLine="1253"/>
        <w:spacing w:after="0" w:line="227" w:lineRule="auto"/>
        <w:tabs>
          <w:tab w:leader="none" w:pos="209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SunPower may order more than the quantities set forth in the Rolling Forecast, however, with respect to any quantities in excess of [*] in any Weekly Rolling Forecast, Enphase makes no commitment that it will be able to meet the Delivery Lead Times for those excess quantities and any delays shall not be included as a deficiency in calculating on-time-deliveries.</w:t>
      </w:r>
    </w:p>
    <w:p>
      <w:pPr>
        <w:spacing w:after="0" w:line="143" w:lineRule="exact"/>
        <w:rPr>
          <w:rFonts w:ascii="Times New Roman" w:cs="Times New Roman" w:eastAsia="Times New Roman" w:hAnsi="Times New Roman"/>
          <w:sz w:val="19"/>
          <w:szCs w:val="19"/>
          <w:color w:val="auto"/>
        </w:rPr>
      </w:pPr>
    </w:p>
    <w:p>
      <w:pPr>
        <w:jc w:val="both"/>
        <w:ind w:left="6" w:right="220" w:firstLine="1253"/>
        <w:spacing w:after="0" w:line="234" w:lineRule="auto"/>
        <w:tabs>
          <w:tab w:leader="none" w:pos="2094"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Enphase is unable to fulfill Purchase Orders in accordance with the applicable Delivery Lead Time(s) and at the applicable amounts set forth in the Weekly Rolling Forecast plus [*], SunPower may purchase from Third Parties alternative products as substitutes for those not supplied by Enphase, up to the quantities ordered under such Purchase Orders and not fulfilled by Enphase, without being in violation of any terms of this MSA. Purchases from a Third Party under this </w:t>
      </w:r>
      <w:r>
        <w:rPr>
          <w:rFonts w:ascii="Times New Roman" w:cs="Times New Roman" w:eastAsia="Times New Roman" w:hAnsi="Times New Roman"/>
          <w:sz w:val="19"/>
          <w:szCs w:val="19"/>
          <w:u w:val="single" w:color="auto"/>
          <w:color w:val="auto"/>
        </w:rPr>
        <w:t>Section 2.1(c)</w:t>
      </w:r>
      <w:r>
        <w:rPr>
          <w:rFonts w:ascii="Times New Roman" w:cs="Times New Roman" w:eastAsia="Times New Roman" w:hAnsi="Times New Roman"/>
          <w:sz w:val="19"/>
          <w:szCs w:val="19"/>
          <w:color w:val="auto"/>
        </w:rPr>
        <w:t xml:space="preserve"> will count towards the Total Purchase Commitment and Minimum Annual Commitments discussed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2.3</w:t>
      </w:r>
      <w:r>
        <w:rPr>
          <w:rFonts w:ascii="Times New Roman" w:cs="Times New Roman" w:eastAsia="Times New Roman" w:hAnsi="Times New Roman"/>
          <w:sz w:val="19"/>
          <w:szCs w:val="19"/>
          <w:color w:val="auto"/>
        </w:rPr>
        <w:t>, capped at [*]. For example, if the Weekly Rolling Forecast was for [*] units and SunPower issued a Purchase Order requesting [*] units, but Enphase could only supply [*] units towards fulfillment of that Purchase Order (thereby requiring SunPower to seek alternative supply to fulfill the [*] unit shortfall), SunPower would purchase the [*] units from Enphase and be entitled to purchase the [*] shortfall from an alternative supplier, and if SunPower purchased all of the foregoing amounts, SunPower would be credited with a total of [*] Products towards the Total Purchase Commitment and Minimum Annual Commitments. If Enphase was able to provide [*] Products towards fulfillment of that Purchase Order, [*] Products would be counted towards the Total Purchase Commitment and Minimum Annual Commitments (regardless of any quantities purchased from Third Parties).</w:t>
      </w:r>
    </w:p>
    <w:p>
      <w:pPr>
        <w:spacing w:after="0" w:line="158" w:lineRule="exact"/>
        <w:rPr>
          <w:rFonts w:ascii="Times New Roman" w:cs="Times New Roman" w:eastAsia="Times New Roman" w:hAnsi="Times New Roman"/>
          <w:sz w:val="19"/>
          <w:szCs w:val="19"/>
          <w:color w:val="auto"/>
        </w:rPr>
      </w:pPr>
    </w:p>
    <w:p>
      <w:pPr>
        <w:jc w:val="both"/>
        <w:ind w:left="6" w:right="200" w:firstLine="1253"/>
        <w:spacing w:after="0" w:line="221" w:lineRule="auto"/>
        <w:tabs>
          <w:tab w:leader="none" w:pos="209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Purchase Orders which result in purchases in excess of [*] but less than [*] of the Weekly Rolling Forecast, the Delivery Lead Time for the excess amount requested will be automatically increased to [*] weeks. With respect to any Purchase Orders which result in purchases in excess of [*] of the Weekly Rolling Forecast, Enphase will use commercially reasonable efforts to promptly fulfill such Purchase Orders, but makes no commitment to fulfill such Purchase Orders within a specified timeframe. Enphase agrees to promptly update SunPower regarding improvements or delays to the Delivery Lead Time.</w:t>
      </w:r>
    </w:p>
    <w:p>
      <w:pPr>
        <w:spacing w:after="0" w:line="155" w:lineRule="exact"/>
        <w:rPr>
          <w:sz w:val="20"/>
          <w:szCs w:val="20"/>
          <w:color w:val="auto"/>
        </w:rPr>
      </w:pPr>
    </w:p>
    <w:p>
      <w:pPr>
        <w:ind w:left="626"/>
        <w:spacing w:after="0"/>
        <w:tabs>
          <w:tab w:leader="none" w:pos="1226"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9"/>
          <w:szCs w:val="19"/>
          <w:b w:val="1"/>
          <w:bCs w:val="1"/>
          <w:u w:val="single" w:color="auto"/>
          <w:color w:val="auto"/>
        </w:rPr>
        <w:t>Purchase Orders</w:t>
      </w:r>
      <w:r>
        <w:rPr>
          <w:rFonts w:ascii="Times New Roman" w:cs="Times New Roman" w:eastAsia="Times New Roman" w:hAnsi="Times New Roman"/>
          <w:sz w:val="19"/>
          <w:szCs w:val="19"/>
          <w:color w:val="auto"/>
        </w:rPr>
        <w:t>.</w:t>
      </w:r>
    </w:p>
    <w:p>
      <w:pPr>
        <w:spacing w:after="0" w:line="190" w:lineRule="exact"/>
        <w:rPr>
          <w:sz w:val="20"/>
          <w:szCs w:val="20"/>
          <w:color w:val="auto"/>
        </w:rPr>
      </w:pPr>
    </w:p>
    <w:p>
      <w:pPr>
        <w:ind w:left="6" w:right="400" w:firstLine="1253"/>
        <w:spacing w:after="0" w:line="220" w:lineRule="auto"/>
        <w:tabs>
          <w:tab w:leader="none" w:pos="2094"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SunPower shall order Products by delivering to Enphase a written purchase order substantially in the form of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xml:space="preserve"> (each, a “</w:t>
      </w:r>
      <w:r>
        <w:rPr>
          <w:rFonts w:ascii="Times New Roman" w:cs="Times New Roman" w:eastAsia="Times New Roman" w:hAnsi="Times New Roman"/>
          <w:sz w:val="19"/>
          <w:szCs w:val="19"/>
          <w:b w:val="1"/>
          <w:bCs w:val="1"/>
          <w:i w:val="1"/>
          <w:iCs w:val="1"/>
          <w:color w:val="auto"/>
        </w:rPr>
        <w:t>Purchase Order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setting forth:</w:t>
      </w:r>
    </w:p>
    <w:p>
      <w:pPr>
        <w:spacing w:after="0" w:line="1" w:lineRule="exact"/>
        <w:rPr>
          <w:rFonts w:ascii="Times New Roman" w:cs="Times New Roman" w:eastAsia="Times New Roman" w:hAnsi="Times New Roman"/>
          <w:sz w:val="19"/>
          <w:szCs w:val="19"/>
          <w:color w:val="auto"/>
        </w:rPr>
      </w:pPr>
    </w:p>
    <w:p>
      <w:pPr>
        <w:jc w:val="both"/>
        <w:ind w:left="6" w:right="240" w:hanging="6"/>
        <w:spacing w:after="0" w:line="223" w:lineRule="auto"/>
        <w:tabs>
          <w:tab w:leader="none" w:pos="255"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Price for each Product ordered consistent with the Prices set forth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(ii) the quantity and SKU of Products ordered; and (iii) the requested Delivery Date, which shall not be less than the applicable Delivery Lead Time. Purchase Orders shall be submitted via the process reasonably requested by Enphase and mutually agreed by the Parties.</w:t>
      </w:r>
    </w:p>
    <w:p>
      <w:pPr>
        <w:spacing w:after="0" w:line="155" w:lineRule="exact"/>
        <w:rPr>
          <w:rFonts w:ascii="Times New Roman" w:cs="Times New Roman" w:eastAsia="Times New Roman" w:hAnsi="Times New Roman"/>
          <w:sz w:val="19"/>
          <w:szCs w:val="19"/>
          <w:color w:val="auto"/>
        </w:rPr>
      </w:pPr>
    </w:p>
    <w:p>
      <w:pPr>
        <w:jc w:val="both"/>
        <w:ind w:left="6" w:right="260" w:firstLine="1253"/>
        <w:spacing w:after="0"/>
        <w:tabs>
          <w:tab w:leader="none" w:pos="2092"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SunPower submits a Purchase Order requesting a Delivery Date at a time less than the applicable Delivery Lead Times, Enphase shall use commercially reasonable efforts to fulfill the Purchase Order by the requested Delivery Date, however, Enphase makes no commitment that it can meet such time frame and shall have no liability for failure to deliver in such expedited timeframe, and for purposes of measuring any delays or default with respect to such Purchase Order, the Delivery Date shall mean the later of the requested Delivery Date and the earliest Delivery Date consistent with the Delivery Lead Time.</w:t>
      </w:r>
    </w:p>
    <w:p>
      <w:pPr>
        <w:spacing w:after="0" w:line="267" w:lineRule="exact"/>
        <w:rPr>
          <w:rFonts w:ascii="Times New Roman" w:cs="Times New Roman" w:eastAsia="Times New Roman" w:hAnsi="Times New Roman"/>
          <w:sz w:val="19"/>
          <w:szCs w:val="19"/>
          <w:color w:val="auto"/>
        </w:rPr>
      </w:pPr>
    </w:p>
    <w:p>
      <w:pPr>
        <w:jc w:val="both"/>
        <w:ind w:left="6" w:right="200" w:firstLine="1253"/>
        <w:spacing w:after="0" w:line="232" w:lineRule="auto"/>
        <w:tabs>
          <w:tab w:leader="none" w:pos="2094"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Purchase Order requires Enphase’s signed acknowledgement (“</w:t>
      </w:r>
      <w:r>
        <w:rPr>
          <w:rFonts w:ascii="Times New Roman" w:cs="Times New Roman" w:eastAsia="Times New Roman" w:hAnsi="Times New Roman"/>
          <w:sz w:val="19"/>
          <w:szCs w:val="19"/>
          <w:b w:val="1"/>
          <w:bCs w:val="1"/>
          <w:i w:val="1"/>
          <w:iCs w:val="1"/>
          <w:color w:val="auto"/>
        </w:rPr>
        <w:t>Order Acknowledgment</w:t>
      </w:r>
      <w:r>
        <w:rPr>
          <w:rFonts w:ascii="Times New Roman" w:cs="Times New Roman" w:eastAsia="Times New Roman" w:hAnsi="Times New Roman"/>
          <w:sz w:val="19"/>
          <w:szCs w:val="19"/>
          <w:color w:val="auto"/>
        </w:rPr>
        <w:t>”) and acceptance within four (4) Business Days of the date that it was sent to Enphase. If Enphase fails to execute and return a Purchase Order without providing SunPower with notice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86"/>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0186"/>
          </w:cols>
          <w:pgMar w:left="1374" w:top="100"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 w:right="200"/>
        <w:spacing w:after="0" w:line="228" w:lineRule="auto"/>
        <w:rPr>
          <w:sz w:val="20"/>
          <w:szCs w:val="20"/>
          <w:color w:val="auto"/>
        </w:rPr>
      </w:pPr>
      <w:r>
        <w:rPr>
          <w:rFonts w:ascii="Times New Roman" w:cs="Times New Roman" w:eastAsia="Times New Roman" w:hAnsi="Times New Roman"/>
          <w:sz w:val="19"/>
          <w:szCs w:val="19"/>
          <w:color w:val="auto"/>
        </w:rPr>
        <w:t xml:space="preserve">defect or its rejection within that four (4) Business Day period, the Purchase Order will be automatically accepted (provided such Purchase Order and the submission thereof complies with </w:t>
      </w:r>
      <w:r>
        <w:rPr>
          <w:rFonts w:ascii="Times New Roman" w:cs="Times New Roman" w:eastAsia="Times New Roman" w:hAnsi="Times New Roman"/>
          <w:sz w:val="19"/>
          <w:szCs w:val="19"/>
          <w:u w:val="single" w:color="auto"/>
          <w:color w:val="auto"/>
        </w:rPr>
        <w:t>Section 2.2(a)</w:t>
      </w:r>
      <w:r>
        <w:rPr>
          <w:rFonts w:ascii="Times New Roman" w:cs="Times New Roman" w:eastAsia="Times New Roman" w:hAnsi="Times New Roman"/>
          <w:sz w:val="19"/>
          <w:szCs w:val="19"/>
          <w:color w:val="auto"/>
        </w:rPr>
        <w:t>), and Enphase agrees that SunPower may rely on that</w:t>
      </w:r>
    </w:p>
    <w:p>
      <w:pPr>
        <w:ind w:left="6" w:right="200"/>
        <w:spacing w:after="0" w:line="208" w:lineRule="auto"/>
        <w:rPr>
          <w:sz w:val="20"/>
          <w:szCs w:val="20"/>
          <w:color w:val="auto"/>
        </w:rPr>
      </w:pPr>
      <w:r>
        <w:rPr>
          <w:rFonts w:ascii="Times New Roman" w:cs="Times New Roman" w:eastAsia="Times New Roman" w:hAnsi="Times New Roman"/>
          <w:sz w:val="19"/>
          <w:szCs w:val="19"/>
          <w:color w:val="auto"/>
        </w:rPr>
        <w:t>automatic acceptance for all purposes. If Enphase notifies SunPower of a defect in the Purchase Order during the four (4) Business Day period, the four (4) Business Day period no longer applies and SunPower must resubmit a correct Purchase Order</w:t>
      </w:r>
    </w:p>
    <w:p>
      <w:pPr>
        <w:ind w:left="6"/>
        <w:spacing w:after="0" w:line="217" w:lineRule="auto"/>
        <w:rPr>
          <w:sz w:val="20"/>
          <w:szCs w:val="20"/>
          <w:color w:val="auto"/>
        </w:rPr>
      </w:pPr>
      <w:r>
        <w:rPr>
          <w:rFonts w:ascii="Times New Roman" w:cs="Times New Roman" w:eastAsia="Times New Roman" w:hAnsi="Times New Roman"/>
          <w:sz w:val="19"/>
          <w:szCs w:val="19"/>
          <w:color w:val="auto"/>
        </w:rPr>
        <w:t>at which time the four (4) Business Day period will start over. An accepted Purchase Order is a binding commitment to purchase</w:t>
      </w:r>
    </w:p>
    <w:p>
      <w:pPr>
        <w:spacing w:after="0" w:line="1" w:lineRule="exact"/>
        <w:rPr>
          <w:sz w:val="20"/>
          <w:szCs w:val="20"/>
          <w:color w:val="auto"/>
        </w:rPr>
      </w:pPr>
    </w:p>
    <w:p>
      <w:pPr>
        <w:ind w:left="6" w:right="200"/>
        <w:spacing w:after="0" w:line="208" w:lineRule="auto"/>
        <w:rPr>
          <w:sz w:val="20"/>
          <w:szCs w:val="20"/>
          <w:color w:val="auto"/>
        </w:rPr>
      </w:pPr>
      <w:r>
        <w:rPr>
          <w:rFonts w:ascii="Times New Roman" w:cs="Times New Roman" w:eastAsia="Times New Roman" w:hAnsi="Times New Roman"/>
          <w:sz w:val="19"/>
          <w:szCs w:val="19"/>
          <w:color w:val="auto"/>
        </w:rPr>
        <w:t>and sell Products under the terms of that Purchase Order and this MSA, provided, however, that no additional or conflicting terms set forth in a Purchase Order shall be of any force or effect. Upon issuance of the Order Acknowledgment, the Purchase Order</w:t>
      </w:r>
    </w:p>
    <w:p>
      <w:pPr>
        <w:spacing w:after="0" w:line="2" w:lineRule="exact"/>
        <w:rPr>
          <w:sz w:val="20"/>
          <w:szCs w:val="20"/>
          <w:color w:val="auto"/>
        </w:rPr>
      </w:pPr>
    </w:p>
    <w:p>
      <w:pPr>
        <w:ind w:left="6" w:right="200"/>
        <w:spacing w:after="0" w:line="208" w:lineRule="auto"/>
        <w:rPr>
          <w:sz w:val="20"/>
          <w:szCs w:val="20"/>
          <w:color w:val="auto"/>
        </w:rPr>
      </w:pPr>
      <w:r>
        <w:rPr>
          <w:rFonts w:ascii="Times New Roman" w:cs="Times New Roman" w:eastAsia="Times New Roman" w:hAnsi="Times New Roman"/>
          <w:sz w:val="19"/>
          <w:szCs w:val="19"/>
          <w:color w:val="auto"/>
        </w:rPr>
        <w:t>shall be non-cancelable. Once per Purchase Order, SunPower may reschedule Delivery under such Purchase Order at no charge, provided that the rescheduled Delivery Date is within the same calendar quarter as the original Delivery Date and consistent with</w:t>
      </w:r>
    </w:p>
    <w:p>
      <w:pPr>
        <w:ind w:left="6"/>
        <w:spacing w:after="0" w:line="217" w:lineRule="auto"/>
        <w:rPr>
          <w:sz w:val="20"/>
          <w:szCs w:val="20"/>
          <w:color w:val="auto"/>
        </w:rPr>
      </w:pPr>
      <w:r>
        <w:rPr>
          <w:rFonts w:ascii="Times New Roman" w:cs="Times New Roman" w:eastAsia="Times New Roman" w:hAnsi="Times New Roman"/>
          <w:sz w:val="19"/>
          <w:szCs w:val="19"/>
          <w:color w:val="auto"/>
        </w:rPr>
        <w:t>the Delivery Lead Time. The Parties agree that Purchase Orders will be governed by the terms and conditions of this MSA. Any</w:t>
      </w:r>
    </w:p>
    <w:p>
      <w:pPr>
        <w:spacing w:after="0" w:line="1" w:lineRule="exact"/>
        <w:rPr>
          <w:sz w:val="20"/>
          <w:szCs w:val="20"/>
          <w:color w:val="auto"/>
        </w:rPr>
      </w:pPr>
    </w:p>
    <w:p>
      <w:pPr>
        <w:ind w:left="6" w:right="200"/>
        <w:spacing w:after="0" w:line="208" w:lineRule="auto"/>
        <w:rPr>
          <w:sz w:val="20"/>
          <w:szCs w:val="20"/>
          <w:color w:val="auto"/>
        </w:rPr>
      </w:pPr>
      <w:r>
        <w:rPr>
          <w:rFonts w:ascii="Times New Roman" w:cs="Times New Roman" w:eastAsia="Times New Roman" w:hAnsi="Times New Roman"/>
          <w:sz w:val="19"/>
          <w:szCs w:val="19"/>
          <w:color w:val="auto"/>
        </w:rPr>
        <w:t>additional or different terms proposed by either Party in a Purchase Order or Order Acknowledgement are rejected and shall have no effect unless such terms are otherwise agreed by the Parties in a signed writing that specifically identifies the provision of this</w:t>
      </w:r>
    </w:p>
    <w:p>
      <w:pPr>
        <w:spacing w:after="0" w:line="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MSA being modified, superseded, or otherwise altered for any such Purchase Order.</w:t>
      </w:r>
    </w:p>
    <w:p>
      <w:pPr>
        <w:spacing w:after="0" w:line="200" w:lineRule="exact"/>
        <w:rPr>
          <w:sz w:val="20"/>
          <w:szCs w:val="20"/>
          <w:color w:val="auto"/>
        </w:rPr>
      </w:pPr>
    </w:p>
    <w:p>
      <w:pPr>
        <w:spacing w:after="0" w:line="292" w:lineRule="exact"/>
        <w:rPr>
          <w:sz w:val="20"/>
          <w:szCs w:val="20"/>
          <w:color w:val="auto"/>
        </w:rPr>
      </w:pPr>
    </w:p>
    <w:p>
      <w:pPr>
        <w:ind w:left="626"/>
        <w:spacing w:after="0"/>
        <w:tabs>
          <w:tab w:leader="none" w:pos="1226" w:val="left"/>
        </w:tabs>
        <w:rPr>
          <w:sz w:val="20"/>
          <w:szCs w:val="20"/>
          <w:color w:val="auto"/>
        </w:rPr>
      </w:pPr>
      <w:r>
        <w:rPr>
          <w:rFonts w:ascii="Times New Roman" w:cs="Times New Roman" w:eastAsia="Times New Roman" w:hAnsi="Times New Roman"/>
          <w:sz w:val="19"/>
          <w:szCs w:val="19"/>
          <w:color w:val="auto"/>
        </w:rPr>
        <w:t>2.3</w:t>
      </w:r>
      <w:r>
        <w:rPr>
          <w:sz w:val="20"/>
          <w:szCs w:val="20"/>
          <w:color w:val="auto"/>
        </w:rPr>
        <w:tab/>
      </w:r>
      <w:r>
        <w:rPr>
          <w:rFonts w:ascii="Times New Roman" w:cs="Times New Roman" w:eastAsia="Times New Roman" w:hAnsi="Times New Roman"/>
          <w:sz w:val="19"/>
          <w:szCs w:val="19"/>
          <w:b w:val="1"/>
          <w:bCs w:val="1"/>
          <w:u w:val="single" w:color="auto"/>
          <w:color w:val="auto"/>
        </w:rPr>
        <w:t>Purchase &amp; Sale Commitments</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jc w:val="both"/>
        <w:ind w:left="6" w:right="240" w:firstLine="1253"/>
        <w:spacing w:after="0" w:line="217" w:lineRule="auto"/>
        <w:tabs>
          <w:tab w:leader="none" w:pos="2094"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terms and conditions set forth in this MSA, SunPower agrees to purchase and Enphase agrees to sell to SunPower, a cumulative total of at least [*] MLPE Products during the Term (the “</w:t>
      </w:r>
      <w:r>
        <w:rPr>
          <w:rFonts w:ascii="Times New Roman" w:cs="Times New Roman" w:eastAsia="Times New Roman" w:hAnsi="Times New Roman"/>
          <w:sz w:val="19"/>
          <w:szCs w:val="19"/>
          <w:b w:val="1"/>
          <w:bCs w:val="1"/>
          <w:i w:val="1"/>
          <w:iCs w:val="1"/>
          <w:color w:val="auto"/>
        </w:rPr>
        <w:t>Total Purchase Commitment</w:t>
      </w:r>
      <w:r>
        <w:rPr>
          <w:rFonts w:ascii="Times New Roman" w:cs="Times New Roman" w:eastAsia="Times New Roman" w:hAnsi="Times New Roman"/>
          <w:sz w:val="19"/>
          <w:szCs w:val="19"/>
          <w:color w:val="auto"/>
        </w:rPr>
        <w:t>”) and the following annual minimum quantities of MLPE Products (each, a “</w:t>
      </w:r>
      <w:r>
        <w:rPr>
          <w:rFonts w:ascii="Times New Roman" w:cs="Times New Roman" w:eastAsia="Times New Roman" w:hAnsi="Times New Roman"/>
          <w:sz w:val="19"/>
          <w:szCs w:val="19"/>
          <w:b w:val="1"/>
          <w:bCs w:val="1"/>
          <w:i w:val="1"/>
          <w:iCs w:val="1"/>
          <w:color w:val="auto"/>
        </w:rPr>
        <w:t>Minimum Annual Commitment</w:t>
      </w:r>
      <w:r>
        <w:rPr>
          <w:rFonts w:ascii="Times New Roman" w:cs="Times New Roman" w:eastAsia="Times New Roman" w:hAnsi="Times New Roman"/>
          <w:sz w:val="19"/>
          <w:szCs w:val="19"/>
          <w:color w:val="auto"/>
        </w:rPr>
        <w:t>”): (i) [*] MLPE Products with Delivery Dates in calendar year [*]; (ii) [*] MLPE Products with Delivery Dates in calendar year [*], and (iii) [*] MLPE Products with Delivery Dates in calendar year [*]. All MLPE Products purchased in calendar year [*] will be applied toward the Minimum Annual Commitment for calendar year [*]. All purchases included in the Minimum Annual Commitments shall count toward the Total Purchase Commitment. All purchases under this MSA are non-cancellable, and may only be returned due to a Defect or Nonconformity as provided herein. Purchases returned for repair or replacement due to Defects or Nonconformities shall still count toward the Total Purchase Commitment and the Minimum Annual Commitments. Minimum Annual Commitment shortfalls in any calendar year may not be carried over and satisfied in a subsequent calendar year.</w:t>
      </w:r>
    </w:p>
    <w:p>
      <w:pPr>
        <w:spacing w:after="0" w:line="162" w:lineRule="exact"/>
        <w:rPr>
          <w:rFonts w:ascii="Times New Roman" w:cs="Times New Roman" w:eastAsia="Times New Roman" w:hAnsi="Times New Roman"/>
          <w:sz w:val="19"/>
          <w:szCs w:val="19"/>
          <w:color w:val="auto"/>
        </w:rPr>
      </w:pPr>
    </w:p>
    <w:p>
      <w:pPr>
        <w:jc w:val="both"/>
        <w:ind w:left="6" w:right="200" w:firstLine="1253"/>
        <w:spacing w:after="0" w:line="222" w:lineRule="auto"/>
        <w:tabs>
          <w:tab w:leader="none" w:pos="2092"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SunPower does not satisfy the Minimum Annual Commitment in a given year, then SunPower shall pay Enphase an amount equal to [*]. For example, if in [*], SunPower purchased [*] of the [*] MLPE Products of the [*] Minimum Annual Commitment, then SunPower would owe Enphase [*]. While this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xml:space="preserve"> discusses the Total Purchase Commitment and Annual Minimum Commitments in terms of MLPEs, Enphase agrees that each purchased MLPE Product hereunder will be provided with the associated Software and AC Cable included in the definition of “Product”.</w:t>
      </w:r>
    </w:p>
    <w:p>
      <w:pPr>
        <w:spacing w:after="0" w:line="152" w:lineRule="exact"/>
        <w:rPr>
          <w:rFonts w:ascii="Times New Roman" w:cs="Times New Roman" w:eastAsia="Times New Roman" w:hAnsi="Times New Roman"/>
          <w:sz w:val="19"/>
          <w:szCs w:val="19"/>
          <w:color w:val="auto"/>
        </w:rPr>
      </w:pPr>
    </w:p>
    <w:p>
      <w:pPr>
        <w:ind w:left="2086" w:hanging="827"/>
        <w:spacing w:after="0"/>
        <w:tabs>
          <w:tab w:leader="none" w:pos="2086"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SunPower shall purchase [*] MLPE Products in [*] (the “</w:t>
      </w:r>
      <w:r>
        <w:rPr>
          <w:rFonts w:ascii="Times New Roman" w:cs="Times New Roman" w:eastAsia="Times New Roman" w:hAnsi="Times New Roman"/>
          <w:sz w:val="19"/>
          <w:szCs w:val="19"/>
          <w:b w:val="1"/>
          <w:bCs w:val="1"/>
          <w:i w:val="1"/>
          <w:iCs w:val="1"/>
          <w:color w:val="auto"/>
        </w:rPr>
        <w:t>Transaction Execution Incentive</w:t>
      </w:r>
      <w:r>
        <w:rPr>
          <w:rFonts w:ascii="Times New Roman" w:cs="Times New Roman" w:eastAsia="Times New Roman" w:hAnsi="Times New Roman"/>
          <w:sz w:val="19"/>
          <w:szCs w:val="19"/>
          <w:color w:val="auto"/>
        </w:rPr>
        <w:t>”) if [*]:</w:t>
      </w:r>
    </w:p>
    <w:p>
      <w:pPr>
        <w:spacing w:after="0" w:line="4" w:lineRule="exact"/>
        <w:rPr>
          <w:rFonts w:ascii="Times New Roman" w:cs="Times New Roman" w:eastAsia="Times New Roman" w:hAnsi="Times New Roman"/>
          <w:sz w:val="19"/>
          <w:szCs w:val="19"/>
          <w:color w:val="auto"/>
        </w:rPr>
      </w:pPr>
    </w:p>
    <w:p>
      <w:pPr>
        <w:ind w:left="6" w:right="280" w:hanging="6"/>
        <w:spacing w:after="0" w:line="226" w:lineRule="auto"/>
        <w:tabs>
          <w:tab w:leader="none" w:pos="311"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meets the qualification requirements under </w:t>
      </w:r>
      <w:r>
        <w:rPr>
          <w:rFonts w:ascii="Times New Roman" w:cs="Times New Roman" w:eastAsia="Times New Roman" w:hAnsi="Times New Roman"/>
          <w:sz w:val="19"/>
          <w:szCs w:val="19"/>
          <w:u w:val="single" w:color="auto"/>
          <w:color w:val="auto"/>
        </w:rPr>
        <w:t>Exhibit J</w:t>
      </w:r>
      <w:r>
        <w:rPr>
          <w:rFonts w:ascii="Times New Roman" w:cs="Times New Roman" w:eastAsia="Times New Roman" w:hAnsi="Times New Roman"/>
          <w:sz w:val="19"/>
          <w:szCs w:val="19"/>
          <w:color w:val="auto"/>
        </w:rPr>
        <w:t>, and (b) the Products have obtained all necessary governmental certifications for commercial use.</w:t>
      </w:r>
    </w:p>
    <w:p>
      <w:pPr>
        <w:spacing w:after="0" w:line="155" w:lineRule="exact"/>
        <w:rPr>
          <w:sz w:val="20"/>
          <w:szCs w:val="20"/>
          <w:color w:val="auto"/>
        </w:rPr>
      </w:pPr>
    </w:p>
    <w:p>
      <w:pPr>
        <w:ind w:left="626"/>
        <w:spacing w:after="0"/>
        <w:tabs>
          <w:tab w:leader="none" w:pos="1446"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9"/>
          <w:szCs w:val="19"/>
          <w:b w:val="1"/>
          <w:bCs w:val="1"/>
          <w:u w:val="single" w:color="auto"/>
          <w:color w:val="auto"/>
        </w:rPr>
        <w:t>Pricing</w:t>
      </w:r>
      <w:r>
        <w:rPr>
          <w:rFonts w:ascii="Times New Roman" w:cs="Times New Roman" w:eastAsia="Times New Roman" w:hAnsi="Times New Roman"/>
          <w:sz w:val="19"/>
          <w:szCs w:val="19"/>
          <w:color w:val="auto"/>
        </w:rPr>
        <w:t>. Enphase shall sell and SunPower shall purchase the Products at the Prices listed in</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All</w:t>
      </w:r>
    </w:p>
    <w:p>
      <w:pPr>
        <w:spacing w:after="0" w:line="2" w:lineRule="exact"/>
        <w:rPr>
          <w:sz w:val="20"/>
          <w:szCs w:val="20"/>
          <w:color w:val="auto"/>
        </w:rPr>
      </w:pPr>
    </w:p>
    <w:p>
      <w:pPr>
        <w:jc w:val="both"/>
        <w:ind w:left="6" w:right="380"/>
        <w:spacing w:after="0" w:line="208" w:lineRule="auto"/>
        <w:rPr>
          <w:sz w:val="20"/>
          <w:szCs w:val="20"/>
          <w:color w:val="auto"/>
        </w:rPr>
      </w:pPr>
      <w:r>
        <w:rPr>
          <w:rFonts w:ascii="Times New Roman" w:cs="Times New Roman" w:eastAsia="Times New Roman" w:hAnsi="Times New Roman"/>
          <w:sz w:val="19"/>
          <w:szCs w:val="19"/>
          <w:color w:val="auto"/>
        </w:rPr>
        <w:t>Prices are exclusive of all Taxes and all costs of shipping and delivery. SunPower shall be solely responsible for and shall pay directly or reimburse Enphase for all Taxes (except Taxes on Enphase’s income which shall be Enphase’s responsibility)</w:t>
      </w:r>
    </w:p>
    <w:p>
      <w:pPr>
        <w:spacing w:after="0" w:line="2" w:lineRule="exact"/>
        <w:rPr>
          <w:sz w:val="20"/>
          <w:szCs w:val="20"/>
          <w:color w:val="auto"/>
        </w:rPr>
      </w:pPr>
    </w:p>
    <w:p>
      <w:pPr>
        <w:ind w:left="6" w:right="360"/>
        <w:spacing w:after="0" w:line="233" w:lineRule="auto"/>
        <w:rPr>
          <w:sz w:val="20"/>
          <w:szCs w:val="20"/>
          <w:color w:val="auto"/>
        </w:rPr>
      </w:pPr>
      <w:r>
        <w:rPr>
          <w:rFonts w:ascii="Times New Roman" w:cs="Times New Roman" w:eastAsia="Times New Roman" w:hAnsi="Times New Roman"/>
          <w:sz w:val="19"/>
          <w:szCs w:val="19"/>
          <w:color w:val="auto"/>
        </w:rPr>
        <w:t>incurred in connection with the manufacture, sale, purchase, shipment, use or Price of the Products (including any interest and penalties) under this MSA. For clarity, shipping costs will be handled in accordance with FOB (Incoterms 2010).</w:t>
      </w:r>
    </w:p>
    <w:p>
      <w:pPr>
        <w:spacing w:after="0" w:line="140" w:lineRule="exact"/>
        <w:rPr>
          <w:sz w:val="20"/>
          <w:szCs w:val="20"/>
          <w:color w:val="auto"/>
        </w:rPr>
      </w:pPr>
    </w:p>
    <w:p>
      <w:pPr>
        <w:ind w:left="6" w:right="440" w:firstLine="629"/>
        <w:spacing w:after="0" w:line="256" w:lineRule="auto"/>
        <w:rPr>
          <w:sz w:val="20"/>
          <w:szCs w:val="20"/>
          <w:color w:val="auto"/>
        </w:rPr>
      </w:pPr>
      <w:r>
        <w:rPr>
          <w:rFonts w:ascii="Times New Roman" w:cs="Times New Roman" w:eastAsia="Times New Roman" w:hAnsi="Times New Roman"/>
          <w:sz w:val="19"/>
          <w:szCs w:val="19"/>
          <w:color w:val="auto"/>
        </w:rPr>
        <w:t xml:space="preserve">2.5 </w:t>
      </w:r>
      <w:r>
        <w:rPr>
          <w:rFonts w:ascii="Times New Roman" w:cs="Times New Roman" w:eastAsia="Times New Roman" w:hAnsi="Times New Roman"/>
          <w:sz w:val="19"/>
          <w:szCs w:val="19"/>
          <w:b w:val="1"/>
          <w:bCs w:val="1"/>
          <w:u w:val="single" w:color="auto"/>
          <w:color w:val="auto"/>
        </w:rPr>
        <w:t>Invoices</w:t>
      </w:r>
      <w:r>
        <w:rPr>
          <w:rFonts w:ascii="Times New Roman" w:cs="Times New Roman" w:eastAsia="Times New Roman" w:hAnsi="Times New Roman"/>
          <w:sz w:val="19"/>
          <w:szCs w:val="19"/>
          <w:color w:val="auto"/>
        </w:rPr>
        <w:t>. Enphase shall invoice SunPower for Products (“</w:t>
      </w:r>
      <w:r>
        <w:rPr>
          <w:rFonts w:ascii="Times New Roman" w:cs="Times New Roman" w:eastAsia="Times New Roman" w:hAnsi="Times New Roman"/>
          <w:sz w:val="19"/>
          <w:szCs w:val="19"/>
          <w:b w:val="1"/>
          <w:bCs w:val="1"/>
          <w:i w:val="1"/>
          <w:iCs w:val="1"/>
          <w:color w:val="auto"/>
        </w:rPr>
        <w:t>Invoice</w:t>
      </w:r>
      <w:r>
        <w:rPr>
          <w:rFonts w:ascii="Times New Roman" w:cs="Times New Roman" w:eastAsia="Times New Roman" w:hAnsi="Times New Roman"/>
          <w:sz w:val="19"/>
          <w:szCs w:val="19"/>
          <w:color w:val="auto"/>
        </w:rPr>
        <w:t>”) on or after the Delivery Date of such Products to the Origin Port. Each Invoice shall reference the applicable Purchase Order number.</w:t>
      </w:r>
    </w:p>
    <w:p>
      <w:pPr>
        <w:spacing w:after="0" w:line="139" w:lineRule="exact"/>
        <w:rPr>
          <w:sz w:val="20"/>
          <w:szCs w:val="20"/>
          <w:color w:val="auto"/>
        </w:rPr>
      </w:pPr>
    </w:p>
    <w:p>
      <w:pPr>
        <w:ind w:left="626"/>
        <w:spacing w:after="0"/>
        <w:tabs>
          <w:tab w:leader="none" w:pos="1446" w:val="left"/>
        </w:tabs>
        <w:rPr>
          <w:sz w:val="20"/>
          <w:szCs w:val="20"/>
          <w:color w:val="auto"/>
        </w:rPr>
      </w:pPr>
      <w:r>
        <w:rPr>
          <w:rFonts w:ascii="Times New Roman" w:cs="Times New Roman" w:eastAsia="Times New Roman" w:hAnsi="Times New Roman"/>
          <w:sz w:val="19"/>
          <w:szCs w:val="19"/>
          <w:color w:val="auto"/>
        </w:rPr>
        <w:t>2.6</w:t>
      </w:r>
      <w:r>
        <w:rPr>
          <w:sz w:val="20"/>
          <w:szCs w:val="20"/>
          <w:color w:val="auto"/>
        </w:rPr>
        <w:tab/>
      </w:r>
      <w:r>
        <w:rPr>
          <w:rFonts w:ascii="Times New Roman" w:cs="Times New Roman" w:eastAsia="Times New Roman" w:hAnsi="Times New Roman"/>
          <w:sz w:val="19"/>
          <w:szCs w:val="19"/>
          <w:b w:val="1"/>
          <w:bCs w:val="1"/>
          <w:u w:val="single" w:color="auto"/>
          <w:color w:val="auto"/>
        </w:rPr>
        <w:t>Payment</w:t>
      </w:r>
      <w:r>
        <w:rPr>
          <w:rFonts w:ascii="Times New Roman" w:cs="Times New Roman" w:eastAsia="Times New Roman" w:hAnsi="Times New Roman"/>
          <w:sz w:val="19"/>
          <w:szCs w:val="19"/>
          <w:color w:val="auto"/>
        </w:rPr>
        <w:t>. SunPower shall pay each Invoice by wire transfer under the wire instructions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66"/>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0186"/>
          </w:cols>
          <w:pgMar w:left="1374" w:top="100"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w:t>
      </w: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Terms of payment are [*] days from date of Invoice, provided, however, that payment will not be owed until the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or the 15</w:t>
      </w:r>
      <w:r>
        <w:rPr>
          <w:rFonts w:ascii="Times New Roman" w:cs="Times New Roman" w:eastAsia="Times New Roman" w:hAnsi="Times New Roman"/>
          <w:sz w:val="24"/>
          <w:szCs w:val="24"/>
          <w:color w:val="auto"/>
          <w:vertAlign w:val="superscript"/>
        </w:rPr>
        <w:t>th</w:t>
      </w:r>
    </w:p>
    <w:p>
      <w:pPr>
        <w:ind w:right="200"/>
        <w:spacing w:after="0" w:line="208" w:lineRule="auto"/>
        <w:rPr>
          <w:sz w:val="20"/>
          <w:szCs w:val="20"/>
          <w:color w:val="auto"/>
        </w:rPr>
      </w:pPr>
      <w:r>
        <w:rPr>
          <w:rFonts w:ascii="Times New Roman" w:cs="Times New Roman" w:eastAsia="Times New Roman" w:hAnsi="Times New Roman"/>
          <w:sz w:val="19"/>
          <w:szCs w:val="19"/>
          <w:color w:val="auto"/>
        </w:rPr>
        <w:t>day of a calendar month, whichever of those days is the first to occur on or after the end of such [*] period. [*]. SunPower shall reimburse Enphase for all costs reasonably incurred by Enphase in collecting late payments, including attorneys’ fees and court</w:t>
      </w:r>
    </w:p>
    <w:p>
      <w:pPr>
        <w:spacing w:after="0" w:line="217" w:lineRule="auto"/>
        <w:rPr>
          <w:sz w:val="20"/>
          <w:szCs w:val="20"/>
          <w:color w:val="auto"/>
        </w:rPr>
      </w:pPr>
      <w:r>
        <w:rPr>
          <w:rFonts w:ascii="Times New Roman" w:cs="Times New Roman" w:eastAsia="Times New Roman" w:hAnsi="Times New Roman"/>
          <w:sz w:val="19"/>
          <w:szCs w:val="19"/>
          <w:color w:val="auto"/>
        </w:rPr>
        <w:t>costs. Notwithstanding the foregoing, and without limiting any other rights or remedies that Enphase may or could have under</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9"/>
          <w:szCs w:val="19"/>
          <w:color w:val="auto"/>
        </w:rPr>
        <w:t xml:space="preserve">this MSA, applicable Law, or otherwise, if (i) SunPower fails to pay any amounts in excess of [*] when due in accordance with this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xml:space="preserve"> and fails to cure such default within [*] after receipt of written notice thereof from Enphase, (ii) SunPower has</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9"/>
          <w:szCs w:val="19"/>
          <w:color w:val="auto"/>
        </w:rPr>
        <w:t>ceased or threatened to cease paying its debts as they come due in the ordinary course of business or has ceased or threatened to cease conducting all or any material part of its business, or (iii) any Proceeding is brought by or against SunPower that is</w:t>
      </w:r>
    </w:p>
    <w:p>
      <w:pPr>
        <w:spacing w:after="0" w:line="217" w:lineRule="auto"/>
        <w:rPr>
          <w:sz w:val="20"/>
          <w:szCs w:val="20"/>
          <w:color w:val="auto"/>
        </w:rPr>
      </w:pPr>
      <w:r>
        <w:rPr>
          <w:rFonts w:ascii="Times New Roman" w:cs="Times New Roman" w:eastAsia="Times New Roman" w:hAnsi="Times New Roman"/>
          <w:sz w:val="19"/>
          <w:szCs w:val="19"/>
          <w:color w:val="auto"/>
        </w:rPr>
        <w:t>reasonably likely to impair SunPower’s ability to perform its obligations to Enphase under this MSA, then Enphase may (a)</w:t>
      </w:r>
    </w:p>
    <w:p>
      <w:pPr>
        <w:spacing w:after="0" w:line="1"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9"/>
          <w:szCs w:val="19"/>
          <w:color w:val="auto"/>
        </w:rPr>
        <w:t>suspend delivery of any Products, or (b) reject any Purchase Orders and/or cancel any outstanding Purchase Orders, or (c) require SunPower to pay for Products on a cash-in-advance or cash-on-delivery basis. Until full payment has been received by Enphase</w:t>
      </w:r>
    </w:p>
    <w:p>
      <w:pPr>
        <w:spacing w:after="0" w:line="217" w:lineRule="auto"/>
        <w:rPr>
          <w:sz w:val="20"/>
          <w:szCs w:val="20"/>
          <w:color w:val="auto"/>
        </w:rPr>
      </w:pPr>
      <w:r>
        <w:rPr>
          <w:rFonts w:ascii="Times New Roman" w:cs="Times New Roman" w:eastAsia="Times New Roman" w:hAnsi="Times New Roman"/>
          <w:sz w:val="19"/>
          <w:szCs w:val="19"/>
          <w:color w:val="auto"/>
        </w:rPr>
        <w:t>from SunPower, without prejudice to any other right or remedy available to Enphase, Enphase shall be entitled to a first-priority</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9"/>
          <w:szCs w:val="19"/>
          <w:color w:val="auto"/>
        </w:rPr>
        <w:t>purchase money security interest on all Products sold to SunPower, wherever located, as well as all proceeds (including insurance proceeds) of the above, exercisable in respect of all sums lawfully due from SunPower to Enphase. SunPower agrees to execute</w:t>
      </w:r>
    </w:p>
    <w:p>
      <w:pPr>
        <w:spacing w:after="0" w:line="217" w:lineRule="auto"/>
        <w:rPr>
          <w:sz w:val="20"/>
          <w:szCs w:val="20"/>
          <w:color w:val="auto"/>
        </w:rPr>
      </w:pPr>
      <w:r>
        <w:rPr>
          <w:rFonts w:ascii="Times New Roman" w:cs="Times New Roman" w:eastAsia="Times New Roman" w:hAnsi="Times New Roman"/>
          <w:sz w:val="19"/>
          <w:szCs w:val="19"/>
          <w:color w:val="auto"/>
        </w:rPr>
        <w:t>any document appropriate or necessary to perfect the security interest of Enphase, or in the alternative, Enphase may file any</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9"/>
          <w:szCs w:val="19"/>
          <w:color w:val="auto"/>
        </w:rPr>
        <w:t>Invoice as a financing statement or chattel mortgage. Enphase reserves all rights granted to a secured creditor under the California Commercial Code or other Law, including the right to repossess the Products upon default by SunPower. SunPower</w:t>
      </w:r>
    </w:p>
    <w:p>
      <w:pPr>
        <w:spacing w:after="0" w:line="217" w:lineRule="auto"/>
        <w:rPr>
          <w:sz w:val="20"/>
          <w:szCs w:val="20"/>
          <w:color w:val="auto"/>
        </w:rPr>
      </w:pPr>
      <w:r>
        <w:rPr>
          <w:rFonts w:ascii="Times New Roman" w:cs="Times New Roman" w:eastAsia="Times New Roman" w:hAnsi="Times New Roman"/>
          <w:sz w:val="19"/>
          <w:szCs w:val="19"/>
          <w:color w:val="auto"/>
        </w:rPr>
        <w:t>agrees to assist, at Enphase’s expense, in Enphase’s repossession of the Products upon such default. Immediately upon</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9"/>
          <w:szCs w:val="19"/>
          <w:color w:val="auto"/>
        </w:rPr>
        <w:t>satisfaction of any payment shortfalls and SunPower’s demonstration that SunPower is able to pay in a timely manner, the Parties shall revert to the ordinary procurement and payment process under this MSA. All amounts required to be paid under this MSA</w:t>
      </w:r>
    </w:p>
    <w:p>
      <w:pPr>
        <w:spacing w:after="0" w:line="217" w:lineRule="auto"/>
        <w:rPr>
          <w:sz w:val="20"/>
          <w:szCs w:val="20"/>
          <w:color w:val="auto"/>
        </w:rPr>
      </w:pPr>
      <w:r>
        <w:rPr>
          <w:rFonts w:ascii="Times New Roman" w:cs="Times New Roman" w:eastAsia="Times New Roman" w:hAnsi="Times New Roman"/>
          <w:sz w:val="19"/>
          <w:szCs w:val="19"/>
          <w:color w:val="auto"/>
        </w:rPr>
        <w:t>shall be paid in full without assertion for any reason of any right of set-off, counterclaim, withholding, recoupment, or deduction,</w:t>
      </w:r>
    </w:p>
    <w:p>
      <w:pPr>
        <w:spacing w:after="0" w:line="1"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9"/>
          <w:szCs w:val="19"/>
          <w:color w:val="auto"/>
        </w:rPr>
        <w:t xml:space="preserve">and SunPower waives all such rights; provided, however, that SunPower reserves the right of set-off solely with respect to any overdue amounts owed by Enphase pursuant to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19"/>
          <w:szCs w:val="19"/>
          <w:color w:val="auto"/>
        </w:rPr>
        <w:t>2.7</w:t>
      </w:r>
      <w:r>
        <w:rPr>
          <w:sz w:val="20"/>
          <w:szCs w:val="20"/>
          <w:color w:val="auto"/>
        </w:rPr>
        <w:tab/>
      </w:r>
      <w:r>
        <w:rPr>
          <w:rFonts w:ascii="Times New Roman" w:cs="Times New Roman" w:eastAsia="Times New Roman" w:hAnsi="Times New Roman"/>
          <w:sz w:val="19"/>
          <w:szCs w:val="19"/>
          <w:b w:val="1"/>
          <w:bCs w:val="1"/>
          <w:u w:val="single" w:color="auto"/>
          <w:color w:val="auto"/>
        </w:rPr>
        <w:t>New Products: Qualification, Rollout and Discontinuance</w:t>
      </w:r>
      <w:r>
        <w:rPr>
          <w:rFonts w:ascii="Times New Roman" w:cs="Times New Roman" w:eastAsia="Times New Roman" w:hAnsi="Times New Roman"/>
          <w:sz w:val="19"/>
          <w:szCs w:val="19"/>
          <w:color w:val="auto"/>
        </w:rPr>
        <w:t>. From time to time during the Term, Enphase</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9"/>
          <w:szCs w:val="19"/>
          <w:color w:val="auto"/>
        </w:rPr>
        <w:t>may release new Products (each a “</w:t>
      </w:r>
      <w:r>
        <w:rPr>
          <w:rFonts w:ascii="Times New Roman" w:cs="Times New Roman" w:eastAsia="Times New Roman" w:hAnsi="Times New Roman"/>
          <w:sz w:val="19"/>
          <w:szCs w:val="19"/>
          <w:b w:val="1"/>
          <w:bCs w:val="1"/>
          <w:i w:val="1"/>
          <w:iCs w:val="1"/>
          <w:color w:val="auto"/>
        </w:rPr>
        <w:t>Next Gen Product</w:t>
      </w:r>
      <w:r>
        <w:rPr>
          <w:rFonts w:ascii="Times New Roman" w:cs="Times New Roman" w:eastAsia="Times New Roman" w:hAnsi="Times New Roman"/>
          <w:sz w:val="19"/>
          <w:szCs w:val="19"/>
          <w:color w:val="auto"/>
        </w:rPr>
        <w:t xml:space="preserve">”). SunPower will use commercially reasonable efforts to qualify, in accordance with </w:t>
      </w:r>
      <w:r>
        <w:rPr>
          <w:rFonts w:ascii="Times New Roman" w:cs="Times New Roman" w:eastAsia="Times New Roman" w:hAnsi="Times New Roman"/>
          <w:sz w:val="19"/>
          <w:szCs w:val="19"/>
          <w:u w:val="single" w:color="auto"/>
          <w:color w:val="auto"/>
        </w:rPr>
        <w:t>Exhibit J</w:t>
      </w:r>
      <w:r>
        <w:rPr>
          <w:rFonts w:ascii="Times New Roman" w:cs="Times New Roman" w:eastAsia="Times New Roman" w:hAnsi="Times New Roman"/>
          <w:sz w:val="19"/>
          <w:szCs w:val="19"/>
          <w:color w:val="auto"/>
        </w:rPr>
        <w:t>, each Next Gen Product that is form, fit and function compatible with an existing Product within [*] of</w:t>
      </w:r>
    </w:p>
    <w:p>
      <w:pPr>
        <w:spacing w:after="0" w:line="217" w:lineRule="auto"/>
        <w:rPr>
          <w:sz w:val="20"/>
          <w:szCs w:val="20"/>
          <w:color w:val="auto"/>
        </w:rPr>
      </w:pPr>
      <w:r>
        <w:rPr>
          <w:rFonts w:ascii="Times New Roman" w:cs="Times New Roman" w:eastAsia="Times New Roman" w:hAnsi="Times New Roman"/>
          <w:sz w:val="19"/>
          <w:szCs w:val="19"/>
          <w:color w:val="auto"/>
        </w:rPr>
        <w:t>receipt of a sample. If a Next Gen Product is not form, fit and function compatible with an existing Product, Enphase shall</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9"/>
          <w:szCs w:val="19"/>
          <w:color w:val="auto"/>
        </w:rPr>
        <w:t>provide SunPower with [*] to first complete due diligence on the applicable Product design to confirm its compatibility with the SunPower photovoltaic modules. Prior to purchase by SunPower each Next Gen Product must satisfy the following (the “</w:t>
      </w:r>
      <w:r>
        <w:rPr>
          <w:rFonts w:ascii="Times New Roman" w:cs="Times New Roman" w:eastAsia="Times New Roman" w:hAnsi="Times New Roman"/>
          <w:sz w:val="19"/>
          <w:szCs w:val="19"/>
          <w:b w:val="1"/>
          <w:bCs w:val="1"/>
          <w:i w:val="1"/>
          <w:iCs w:val="1"/>
          <w:color w:val="auto"/>
        </w:rPr>
        <w:t>Next</w:t>
      </w:r>
    </w:p>
    <w:p>
      <w:pPr>
        <w:spacing w:after="0" w:line="217" w:lineRule="auto"/>
        <w:rPr>
          <w:sz w:val="20"/>
          <w:szCs w:val="20"/>
          <w:color w:val="auto"/>
        </w:rPr>
      </w:pPr>
      <w:r>
        <w:rPr>
          <w:rFonts w:ascii="Times New Roman" w:cs="Times New Roman" w:eastAsia="Times New Roman" w:hAnsi="Times New Roman"/>
          <w:sz w:val="19"/>
          <w:szCs w:val="19"/>
          <w:b w:val="1"/>
          <w:bCs w:val="1"/>
          <w:i w:val="1"/>
          <w:iCs w:val="1"/>
          <w:color w:val="auto"/>
        </w:rPr>
        <w:t>Gen Product Approval Requirements</w:t>
      </w:r>
      <w:r>
        <w:rPr>
          <w:rFonts w:ascii="Times New Roman" w:cs="Times New Roman" w:eastAsia="Times New Roman" w:hAnsi="Times New Roman"/>
          <w:sz w:val="19"/>
          <w:szCs w:val="19"/>
          <w:color w:val="auto"/>
        </w:rPr>
        <w:t>”): (a) meet the qualification requirements under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auto"/>
        </w:rPr>
        <w:t>Exhibit J</w:t>
      </w:r>
      <w:r>
        <w:rPr>
          <w:rFonts w:ascii="Times New Roman" w:cs="Times New Roman" w:eastAsia="Times New Roman" w:hAnsi="Times New Roman"/>
          <w:sz w:val="19"/>
          <w:szCs w:val="19"/>
          <w:color w:val="auto"/>
        </w:rPr>
        <w:t>, and (b) have obtained all</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9"/>
          <w:szCs w:val="19"/>
          <w:color w:val="auto"/>
        </w:rPr>
        <w:t>necessary governmental certifications for commercial use. Until the Next Gen Product Approval Requirements are met (i) SunPower will not be obligated to purchase such Next Gen Product, and (ii) Enphase shall continue to supply the Product being</w:t>
      </w:r>
    </w:p>
    <w:p>
      <w:pPr>
        <w:spacing w:after="0" w:line="217" w:lineRule="auto"/>
        <w:rPr>
          <w:sz w:val="20"/>
          <w:szCs w:val="20"/>
          <w:color w:val="auto"/>
        </w:rPr>
      </w:pPr>
      <w:r>
        <w:rPr>
          <w:rFonts w:ascii="Times New Roman" w:cs="Times New Roman" w:eastAsia="Times New Roman" w:hAnsi="Times New Roman"/>
          <w:sz w:val="19"/>
          <w:szCs w:val="19"/>
          <w:color w:val="auto"/>
        </w:rPr>
        <w:t>superseded or discontinued by such Next Gen Product. Once the Next Gen Product Approval Requirements are met, at Enphase’s</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9"/>
          <w:szCs w:val="19"/>
          <w:color w:val="auto"/>
        </w:rPr>
        <w:t>request, SunPower shall promptly transition to purchasing and deploying such Next Gen Product in lieu of the superseded version for all of its subsequent Product purchases, at which time the Next Gen Product will be subject to all criteria applicable to</w:t>
      </w:r>
    </w:p>
    <w:p>
      <w:pPr>
        <w:spacing w:after="0" w:line="2"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9"/>
          <w:szCs w:val="19"/>
          <w:color w:val="auto"/>
        </w:rPr>
        <w:t xml:space="preserve">Products in this MSA, including Pricing as set forth in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Enphase shall not discontinue a Product unless and until Enphase releases a Next Gen Product that meets the Next Gen Product Approval Requirements.</w:t>
      </w:r>
    </w:p>
    <w:p>
      <w:pPr>
        <w:spacing w:after="0" w:line="142" w:lineRule="exact"/>
        <w:rPr>
          <w:sz w:val="20"/>
          <w:szCs w:val="20"/>
          <w:color w:val="auto"/>
        </w:rPr>
      </w:pPr>
    </w:p>
    <w:p>
      <w:pPr>
        <w:ind w:right="220" w:firstLine="629"/>
        <w:spacing w:after="0" w:line="254" w:lineRule="auto"/>
        <w:rPr>
          <w:sz w:val="20"/>
          <w:szCs w:val="20"/>
          <w:color w:val="auto"/>
        </w:rPr>
      </w:pPr>
      <w:r>
        <w:rPr>
          <w:rFonts w:ascii="Times New Roman" w:cs="Times New Roman" w:eastAsia="Times New Roman" w:hAnsi="Times New Roman"/>
          <w:sz w:val="19"/>
          <w:szCs w:val="19"/>
          <w:color w:val="auto"/>
        </w:rPr>
        <w:t xml:space="preserve">2.8 </w:t>
      </w:r>
      <w:r>
        <w:rPr>
          <w:rFonts w:ascii="Times New Roman" w:cs="Times New Roman" w:eastAsia="Times New Roman" w:hAnsi="Times New Roman"/>
          <w:sz w:val="19"/>
          <w:szCs w:val="19"/>
          <w:b w:val="1"/>
          <w:bCs w:val="1"/>
          <w:u w:val="single" w:color="auto"/>
          <w:color w:val="auto"/>
        </w:rPr>
        <w:t>Miscellaneous Accessories</w:t>
      </w:r>
      <w:r>
        <w:rPr>
          <w:rFonts w:ascii="Times New Roman" w:cs="Times New Roman" w:eastAsia="Times New Roman" w:hAnsi="Times New Roman"/>
          <w:sz w:val="19"/>
          <w:szCs w:val="19"/>
          <w:color w:val="auto"/>
        </w:rPr>
        <w:t xml:space="preserve">. In addition to the Products, SunPower shall have the right to purchase Miscellaneous Accessories in accordance with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w:t>
      </w:r>
    </w:p>
    <w:p>
      <w:pPr>
        <w:spacing w:after="0" w:line="141" w:lineRule="exact"/>
        <w:rPr>
          <w:sz w:val="20"/>
          <w:szCs w:val="20"/>
          <w:color w:val="auto"/>
        </w:rPr>
      </w:pPr>
    </w:p>
    <w:p>
      <w:pPr>
        <w:ind w:right="240" w:firstLine="629"/>
        <w:spacing w:after="0" w:line="222" w:lineRule="auto"/>
        <w:rPr>
          <w:sz w:val="20"/>
          <w:szCs w:val="20"/>
          <w:color w:val="auto"/>
        </w:rPr>
      </w:pPr>
      <w:r>
        <w:rPr>
          <w:rFonts w:ascii="Times New Roman" w:cs="Times New Roman" w:eastAsia="Times New Roman" w:hAnsi="Times New Roman"/>
          <w:sz w:val="19"/>
          <w:szCs w:val="19"/>
          <w:color w:val="auto"/>
        </w:rPr>
        <w:t xml:space="preserve">2.9 </w:t>
      </w:r>
      <w:r>
        <w:rPr>
          <w:rFonts w:ascii="Times New Roman" w:cs="Times New Roman" w:eastAsia="Times New Roman" w:hAnsi="Times New Roman"/>
          <w:sz w:val="19"/>
          <w:szCs w:val="19"/>
          <w:b w:val="1"/>
          <w:bCs w:val="1"/>
          <w:u w:val="single" w:color="auto"/>
          <w:color w:val="auto"/>
        </w:rPr>
        <w:t>Software Updates</w:t>
      </w:r>
      <w:r>
        <w:rPr>
          <w:rFonts w:ascii="Times New Roman" w:cs="Times New Roman" w:eastAsia="Times New Roman" w:hAnsi="Times New Roman"/>
          <w:sz w:val="19"/>
          <w:szCs w:val="19"/>
          <w:color w:val="auto"/>
        </w:rPr>
        <w:t>. Subject to all applicable Laws, and with reasonable advance notice to, and consent from, SunPower, such consent not to be unreasonably withheld, delayed, or conditioned, Enphase may update the Software associated</w:t>
      </w:r>
    </w:p>
    <w:p>
      <w:pPr>
        <w:ind w:right="220"/>
        <w:spacing w:after="0" w:line="233" w:lineRule="auto"/>
        <w:rPr>
          <w:sz w:val="20"/>
          <w:szCs w:val="20"/>
          <w:color w:val="auto"/>
        </w:rPr>
      </w:pPr>
      <w:r>
        <w:rPr>
          <w:rFonts w:ascii="Times New Roman" w:cs="Times New Roman" w:eastAsia="Times New Roman" w:hAnsi="Times New Roman"/>
          <w:sz w:val="19"/>
          <w:szCs w:val="19"/>
          <w:color w:val="auto"/>
        </w:rPr>
        <w:t>with Products from time to time throughout the Term, including in connection with maintenance or patches. SunPower will approve all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0180"/>
          </w:cols>
          <w:pgMar w:left="1380" w:top="102"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19"/>
          <w:szCs w:val="19"/>
          <w:color w:val="auto"/>
        </w:rPr>
        <w:t>updates requested by Enphase to address quality or security issues as soon as practicable and within one (1) week. Upon approval by SunPower, SunPower will ensure that all updates of the Software are transmitted to all applicable Products, subject</w:t>
      </w:r>
    </w:p>
    <w:p>
      <w:pPr>
        <w:ind w:right="240"/>
        <w:spacing w:after="0" w:line="208" w:lineRule="auto"/>
        <w:rPr>
          <w:sz w:val="20"/>
          <w:szCs w:val="20"/>
          <w:color w:val="auto"/>
        </w:rPr>
      </w:pPr>
      <w:r>
        <w:rPr>
          <w:rFonts w:ascii="Times New Roman" w:cs="Times New Roman" w:eastAsia="Times New Roman" w:hAnsi="Times New Roman"/>
          <w:sz w:val="19"/>
          <w:szCs w:val="19"/>
          <w:color w:val="auto"/>
        </w:rPr>
        <w:t xml:space="preserve">to all applicable Laws. SunPower agrees to require all System Owners to consent to the receipt of Software updates, subject to all applicable Laws. All Software included with the Products is licensed and not sold. This </w:t>
      </w:r>
      <w:r>
        <w:rPr>
          <w:rFonts w:ascii="Times New Roman" w:cs="Times New Roman" w:eastAsia="Times New Roman" w:hAnsi="Times New Roman"/>
          <w:sz w:val="19"/>
          <w:szCs w:val="19"/>
          <w:u w:val="single" w:color="auto"/>
          <w:color w:val="auto"/>
        </w:rPr>
        <w:t>Section 2.9</w:t>
      </w:r>
      <w:r>
        <w:rPr>
          <w:rFonts w:ascii="Times New Roman" w:cs="Times New Roman" w:eastAsia="Times New Roman" w:hAnsi="Times New Roman"/>
          <w:sz w:val="19"/>
          <w:szCs w:val="19"/>
          <w:color w:val="auto"/>
        </w:rPr>
        <w:t xml:space="preserve"> is applicable only to those</w:t>
      </w:r>
    </w:p>
    <w:p>
      <w:pPr>
        <w:spacing w:after="0" w:line="2"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19"/>
          <w:szCs w:val="19"/>
          <w:color w:val="auto"/>
        </w:rPr>
        <w:t>Products sold by Enphase to SunPower after the Effective Date of the MSA and only to those System Owners who have purchased an item incorporating a Product sold by Enphase pursuant to this MSA.</w:t>
      </w:r>
    </w:p>
    <w:p>
      <w:pPr>
        <w:spacing w:after="0" w:line="142"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19"/>
          <w:szCs w:val="19"/>
          <w:color w:val="auto"/>
        </w:rPr>
        <w:t>2.10</w:t>
      </w:r>
      <w:r>
        <w:rPr>
          <w:sz w:val="20"/>
          <w:szCs w:val="20"/>
          <w:color w:val="auto"/>
        </w:rPr>
        <w:tab/>
      </w:r>
      <w:r>
        <w:rPr>
          <w:rFonts w:ascii="Times New Roman" w:cs="Times New Roman" w:eastAsia="Times New Roman" w:hAnsi="Times New Roman"/>
          <w:sz w:val="19"/>
          <w:szCs w:val="19"/>
          <w:b w:val="1"/>
          <w:bCs w:val="1"/>
          <w:u w:val="single" w:color="auto"/>
          <w:color w:val="auto"/>
        </w:rPr>
        <w:t>Integration, Certification, Testing and Customer Sales</w:t>
      </w:r>
      <w:r>
        <w:rPr>
          <w:rFonts w:ascii="Times New Roman" w:cs="Times New Roman" w:eastAsia="Times New Roman" w:hAnsi="Times New Roman"/>
          <w:sz w:val="19"/>
          <w:szCs w:val="19"/>
          <w:color w:val="auto"/>
        </w:rPr>
        <w:t>. SunPower shall be responsible for module</w:t>
      </w:r>
    </w:p>
    <w:p>
      <w:pPr>
        <w:spacing w:after="0" w:line="204" w:lineRule="auto"/>
        <w:rPr>
          <w:sz w:val="20"/>
          <w:szCs w:val="20"/>
          <w:color w:val="auto"/>
        </w:rPr>
      </w:pPr>
      <w:r>
        <w:rPr>
          <w:rFonts w:ascii="Times New Roman" w:cs="Times New Roman" w:eastAsia="Times New Roman" w:hAnsi="Times New Roman"/>
          <w:sz w:val="19"/>
          <w:szCs w:val="19"/>
          <w:color w:val="auto"/>
        </w:rPr>
        <w:t>integration, AC module regulatory certification, and AC module testing, as well as for the sale of Products to System Owners.</w:t>
      </w:r>
    </w:p>
    <w:p>
      <w:pPr>
        <w:spacing w:after="0"/>
        <w:rPr>
          <w:sz w:val="20"/>
          <w:szCs w:val="20"/>
          <w:color w:val="auto"/>
        </w:rPr>
      </w:pPr>
      <w:r>
        <w:rPr>
          <w:rFonts w:ascii="Times New Roman" w:cs="Times New Roman" w:eastAsia="Times New Roman" w:hAnsi="Times New Roman"/>
          <w:sz w:val="19"/>
          <w:szCs w:val="19"/>
          <w:color w:val="auto"/>
        </w:rPr>
        <w:t xml:space="preserve">Nothing in this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alters Enphase’s obligations with respect to its responsibilities under this MSA.</w:t>
      </w:r>
    </w:p>
    <w:p>
      <w:pPr>
        <w:spacing w:after="0" w:line="164"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19"/>
          <w:szCs w:val="19"/>
          <w:color w:val="auto"/>
        </w:rPr>
        <w:t>2.11</w:t>
      </w:r>
      <w:r>
        <w:rPr>
          <w:sz w:val="20"/>
          <w:szCs w:val="20"/>
          <w:color w:val="auto"/>
        </w:rPr>
        <w:tab/>
      </w:r>
      <w:r>
        <w:rPr>
          <w:rFonts w:ascii="Times New Roman" w:cs="Times New Roman" w:eastAsia="Times New Roman" w:hAnsi="Times New Roman"/>
          <w:sz w:val="19"/>
          <w:szCs w:val="19"/>
          <w:b w:val="1"/>
          <w:bCs w:val="1"/>
          <w:u w:val="single" w:color="auto"/>
          <w:color w:val="auto"/>
        </w:rPr>
        <w:t>Managed Inventory Program</w:t>
      </w:r>
      <w:r>
        <w:rPr>
          <w:rFonts w:ascii="Times New Roman" w:cs="Times New Roman" w:eastAsia="Times New Roman" w:hAnsi="Times New Roman"/>
          <w:sz w:val="19"/>
          <w:szCs w:val="19"/>
          <w:color w:val="auto"/>
        </w:rPr>
        <w:t>. Enphase shall utilize its best commercial efforts to continually (a) reduce</w:t>
      </w:r>
    </w:p>
    <w:p>
      <w:pPr>
        <w:spacing w:after="0" w:line="2" w:lineRule="exact"/>
        <w:rPr>
          <w:sz w:val="20"/>
          <w:szCs w:val="20"/>
          <w:color w:val="auto"/>
        </w:rPr>
      </w:pPr>
    </w:p>
    <w:p>
      <w:pPr>
        <w:ind w:right="280"/>
        <w:spacing w:after="0" w:line="208" w:lineRule="auto"/>
        <w:rPr>
          <w:sz w:val="20"/>
          <w:szCs w:val="20"/>
          <w:color w:val="auto"/>
        </w:rPr>
      </w:pPr>
      <w:r>
        <w:rPr>
          <w:rFonts w:ascii="Times New Roman" w:cs="Times New Roman" w:eastAsia="Times New Roman" w:hAnsi="Times New Roman"/>
          <w:sz w:val="19"/>
          <w:szCs w:val="19"/>
          <w:color w:val="auto"/>
        </w:rPr>
        <w:t>cycle time, (b) reduce MLPE Product costs, (c) increase delivery accuracy, and (d) improve Enphase’s ability to meet SunPower’s demand for MLPE Products. If mutually agreed by the Parties, Enphase shall implement a Vendor Management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Inventory or a direct ship process, as mutually agreed to by the Parties.</w:t>
      </w:r>
    </w:p>
    <w:p>
      <w:pPr>
        <w:spacing w:after="0" w:line="164" w:lineRule="exact"/>
        <w:rPr>
          <w:sz w:val="20"/>
          <w:szCs w:val="20"/>
          <w:color w:val="auto"/>
        </w:rPr>
      </w:pPr>
    </w:p>
    <w:p>
      <w:pPr>
        <w:ind w:right="300" w:firstLine="629"/>
        <w:spacing w:after="0" w:line="222" w:lineRule="auto"/>
        <w:rPr>
          <w:sz w:val="20"/>
          <w:szCs w:val="20"/>
          <w:color w:val="auto"/>
        </w:rPr>
      </w:pPr>
      <w:r>
        <w:rPr>
          <w:rFonts w:ascii="Times New Roman" w:cs="Times New Roman" w:eastAsia="Times New Roman" w:hAnsi="Times New Roman"/>
          <w:sz w:val="19"/>
          <w:szCs w:val="19"/>
          <w:color w:val="auto"/>
        </w:rPr>
        <w:t xml:space="preserve">2.12 </w:t>
      </w:r>
      <w:r>
        <w:rPr>
          <w:rFonts w:ascii="Times New Roman" w:cs="Times New Roman" w:eastAsia="Times New Roman" w:hAnsi="Times New Roman"/>
          <w:sz w:val="19"/>
          <w:szCs w:val="19"/>
          <w:b w:val="1"/>
          <w:bCs w:val="1"/>
          <w:u w:val="single" w:color="auto"/>
          <w:color w:val="auto"/>
        </w:rPr>
        <w:t>Branding</w:t>
      </w:r>
      <w:r>
        <w:rPr>
          <w:rFonts w:ascii="Times New Roman" w:cs="Times New Roman" w:eastAsia="Times New Roman" w:hAnsi="Times New Roman"/>
          <w:sz w:val="19"/>
          <w:szCs w:val="19"/>
          <w:color w:val="auto"/>
        </w:rPr>
        <w:t>. All SunPower AC module residential solar systems and Products purchased under this MSA shall exclusively be branded as SunPower products in all customer- facing materials; provided, however, that the Parties may</w:t>
      </w:r>
    </w:p>
    <w:p>
      <w:pPr>
        <w:spacing w:after="0" w:line="216" w:lineRule="auto"/>
        <w:rPr>
          <w:sz w:val="20"/>
          <w:szCs w:val="20"/>
          <w:color w:val="auto"/>
        </w:rPr>
      </w:pPr>
      <w:r>
        <w:rPr>
          <w:rFonts w:ascii="Times New Roman" w:cs="Times New Roman" w:eastAsia="Times New Roman" w:hAnsi="Times New Roman"/>
          <w:sz w:val="19"/>
          <w:szCs w:val="19"/>
          <w:color w:val="auto"/>
        </w:rPr>
        <w:t>mutually agree to change the branding approach during the Term. During the Term, SunPower will not brand with the name,</w:t>
      </w:r>
    </w:p>
    <w:p>
      <w:pPr>
        <w:spacing w:after="0" w:line="201" w:lineRule="auto"/>
        <w:rPr>
          <w:sz w:val="20"/>
          <w:szCs w:val="20"/>
          <w:color w:val="auto"/>
        </w:rPr>
      </w:pPr>
      <w:r>
        <w:rPr>
          <w:rFonts w:ascii="Times New Roman" w:cs="Times New Roman" w:eastAsia="Times New Roman" w:hAnsi="Times New Roman"/>
          <w:sz w:val="19"/>
          <w:szCs w:val="19"/>
          <w:color w:val="auto"/>
        </w:rPr>
        <w:t>logo, or other branding of SunPower, or authorize such branding of, any Third-Party MLPEs for use in the grid-tied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residential market or associated documentation.</w:t>
      </w:r>
    </w:p>
    <w:p>
      <w:pPr>
        <w:spacing w:after="0" w:line="200" w:lineRule="exact"/>
        <w:rPr>
          <w:sz w:val="20"/>
          <w:szCs w:val="20"/>
          <w:color w:val="auto"/>
        </w:rPr>
      </w:pPr>
    </w:p>
    <w:p>
      <w:pPr>
        <w:spacing w:after="0" w:line="29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b w:val="1"/>
          <w:bCs w:val="1"/>
          <w:color w:val="010000"/>
        </w:rPr>
        <w:t>ARTICLE III</w:t>
      </w:r>
    </w:p>
    <w:p>
      <w:pPr>
        <w:spacing w:after="0" w:line="8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9"/>
          <w:szCs w:val="19"/>
          <w:b w:val="1"/>
          <w:bCs w:val="1"/>
          <w:color w:val="auto"/>
        </w:rPr>
        <w:t>SHIPMENT AND DELIVERY</w:t>
      </w:r>
    </w:p>
    <w:p>
      <w:pPr>
        <w:spacing w:after="0" w:line="175"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9"/>
          <w:szCs w:val="19"/>
          <w:b w:val="1"/>
          <w:bCs w:val="1"/>
          <w:u w:val="single" w:color="auto"/>
          <w:color w:val="auto"/>
        </w:rPr>
        <w:t>Shipping &amp; Delivery</w:t>
      </w:r>
      <w:r>
        <w:rPr>
          <w:rFonts w:ascii="Times New Roman" w:cs="Times New Roman" w:eastAsia="Times New Roman" w:hAnsi="Times New Roman"/>
          <w:sz w:val="19"/>
          <w:szCs w:val="19"/>
          <w:color w:val="auto"/>
        </w:rPr>
        <w:t>. Products shall be delivered FOB (Incoterms 2010) Origin Port. Enphase may make</w:t>
      </w:r>
    </w:p>
    <w:p>
      <w:pPr>
        <w:spacing w:after="0" w:line="2"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9"/>
          <w:szCs w:val="19"/>
          <w:color w:val="auto"/>
        </w:rPr>
        <w:t xml:space="preserve">partial shipments of the Products, and each shipment will constitute a separate sale. SunPower shall pay for Products shipped, in accordance with the payment terms specified in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regardless of whether such shipment is in whole or partial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fulfillment of a Purchase Order. SunPower also will pay shipping charges in accordance with FOB.</w:t>
      </w:r>
    </w:p>
    <w:p>
      <w:pPr>
        <w:spacing w:after="0" w:line="164" w:lineRule="exact"/>
        <w:rPr>
          <w:sz w:val="20"/>
          <w:szCs w:val="20"/>
          <w:color w:val="auto"/>
        </w:rPr>
      </w:pPr>
    </w:p>
    <w:p>
      <w:pPr>
        <w:ind w:right="200" w:firstLine="629"/>
        <w:spacing w:after="0" w:line="222"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b w:val="1"/>
          <w:bCs w:val="1"/>
          <w:u w:val="single" w:color="auto"/>
          <w:color w:val="auto"/>
        </w:rPr>
        <w:t>Delivery Delays</w:t>
      </w:r>
      <w:r>
        <w:rPr>
          <w:rFonts w:ascii="Times New Roman" w:cs="Times New Roman" w:eastAsia="Times New Roman" w:hAnsi="Times New Roman"/>
          <w:sz w:val="19"/>
          <w:szCs w:val="19"/>
          <w:color w:val="auto"/>
        </w:rPr>
        <w:t>. Enphase will use commercially reasonable efforts to deliver all Products to the Origin Port on or before the Delivery Date, subject to applicable Delivery Lead Times. If Enphase fails in any [*] consecutive calendar</w:t>
      </w:r>
    </w:p>
    <w:p>
      <w:pPr>
        <w:spacing w:after="0" w:line="216" w:lineRule="auto"/>
        <w:rPr>
          <w:sz w:val="20"/>
          <w:szCs w:val="20"/>
          <w:color w:val="auto"/>
        </w:rPr>
      </w:pPr>
      <w:r>
        <w:rPr>
          <w:rFonts w:ascii="Times New Roman" w:cs="Times New Roman" w:eastAsia="Times New Roman" w:hAnsi="Times New Roman"/>
          <w:sz w:val="19"/>
          <w:szCs w:val="19"/>
          <w:color w:val="auto"/>
        </w:rPr>
        <w:t>months to deliver at least [*] of Products ordered via accepted Purchase Orders to the Origin Port within [*] after the Delivery</w:t>
      </w:r>
    </w:p>
    <w:p>
      <w:pPr>
        <w:ind w:right="200"/>
        <w:spacing w:after="0" w:line="208" w:lineRule="auto"/>
        <w:rPr>
          <w:sz w:val="20"/>
          <w:szCs w:val="20"/>
          <w:color w:val="auto"/>
        </w:rPr>
      </w:pPr>
      <w:r>
        <w:rPr>
          <w:rFonts w:ascii="Times New Roman" w:cs="Times New Roman" w:eastAsia="Times New Roman" w:hAnsi="Times New Roman"/>
          <w:sz w:val="19"/>
          <w:szCs w:val="19"/>
          <w:color w:val="auto"/>
        </w:rPr>
        <w:t>Date that accords with applicable Delivery Lead Times (excluding any delays due to acts or omissions of SunPower or its Representatives or to Force Majeure) (a “</w:t>
      </w:r>
      <w:r>
        <w:rPr>
          <w:rFonts w:ascii="Times New Roman" w:cs="Times New Roman" w:eastAsia="Times New Roman" w:hAnsi="Times New Roman"/>
          <w:sz w:val="19"/>
          <w:szCs w:val="19"/>
          <w:b w:val="1"/>
          <w:bCs w:val="1"/>
          <w:i w:val="1"/>
          <w:iCs w:val="1"/>
          <w:color w:val="auto"/>
        </w:rPr>
        <w:t>Delayed Delivery Period</w:t>
      </w:r>
      <w:r>
        <w:rPr>
          <w:rFonts w:ascii="Times New Roman" w:cs="Times New Roman" w:eastAsia="Times New Roman" w:hAnsi="Times New Roman"/>
          <w:sz w:val="19"/>
          <w:szCs w:val="19"/>
          <w:color w:val="auto"/>
        </w:rPr>
        <w:t>”), then, provided SunPower notifies Enphase in writing of its</w:t>
      </w:r>
    </w:p>
    <w:p>
      <w:pPr>
        <w:spacing w:after="0" w:line="217" w:lineRule="auto"/>
        <w:rPr>
          <w:sz w:val="20"/>
          <w:szCs w:val="20"/>
          <w:color w:val="auto"/>
        </w:rPr>
      </w:pPr>
      <w:r>
        <w:rPr>
          <w:rFonts w:ascii="Times New Roman" w:cs="Times New Roman" w:eastAsia="Times New Roman" w:hAnsi="Times New Roman"/>
          <w:sz w:val="19"/>
          <w:szCs w:val="19"/>
          <w:color w:val="auto"/>
        </w:rPr>
        <w:t>election to temporarily procure products from a Third Party supplier, beginning one month after SunPower delivers such notice to</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9"/>
          <w:szCs w:val="19"/>
          <w:color w:val="auto"/>
        </w:rPr>
        <w:t>Enphase, and provided that Enphase has not resumed [*] on-time Delivery as described above, SunPower may procure MLPEs and Cables from a Third Party until Enphase is able to resume such [*] on-time delivery in accordance with the Delivery Lead</w:t>
      </w:r>
    </w:p>
    <w:p>
      <w:pPr>
        <w:spacing w:after="0" w:line="217" w:lineRule="auto"/>
        <w:rPr>
          <w:sz w:val="20"/>
          <w:szCs w:val="20"/>
          <w:color w:val="auto"/>
        </w:rPr>
      </w:pPr>
      <w:r>
        <w:rPr>
          <w:rFonts w:ascii="Times New Roman" w:cs="Times New Roman" w:eastAsia="Times New Roman" w:hAnsi="Times New Roman"/>
          <w:sz w:val="19"/>
          <w:szCs w:val="19"/>
          <w:color w:val="auto"/>
        </w:rPr>
        <w:t xml:space="preserve">Times. Purchases from a Third Party under this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will count toward the Total Purchase Commitment or Minimum</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9"/>
          <w:szCs w:val="19"/>
          <w:color w:val="auto"/>
        </w:rPr>
        <w:t>Annual Commitments up to [*] of the Weekly Rolling Forecast amount. Notwithstanding the foregoing, (i) Enphase will use commercially reasonable efforts to deliver, in [*], at least [*], and in [*], at least [*], of Products ordered via accepted Purchase</w:t>
      </w:r>
    </w:p>
    <w:p>
      <w:pPr>
        <w:spacing w:after="0" w:line="217" w:lineRule="auto"/>
        <w:rPr>
          <w:sz w:val="20"/>
          <w:szCs w:val="20"/>
          <w:color w:val="auto"/>
        </w:rPr>
      </w:pPr>
      <w:r>
        <w:rPr>
          <w:rFonts w:ascii="Times New Roman" w:cs="Times New Roman" w:eastAsia="Times New Roman" w:hAnsi="Times New Roman"/>
          <w:sz w:val="19"/>
          <w:szCs w:val="19"/>
          <w:color w:val="auto"/>
        </w:rPr>
        <w:t>Orders to the Origin Port within [*] after the Delivery Date subject to applicable Delivery Lead Times (excluding any delays due</w:t>
      </w:r>
    </w:p>
    <w:p>
      <w:pPr>
        <w:spacing w:after="0" w:line="1"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9"/>
          <w:szCs w:val="19"/>
          <w:color w:val="auto"/>
        </w:rPr>
        <w:t>to acts or omissions of SunPower or its Representatives or to Force Majeure), and (ii) the Parties will work together in good faith to develop and implement a plan and associated business processes to improve on-time Delivery metrics.</w:t>
      </w:r>
    </w:p>
    <w:p>
      <w:pPr>
        <w:spacing w:after="0" w:line="181"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19"/>
          <w:szCs w:val="19"/>
          <w:color w:val="auto"/>
        </w:rPr>
        <w:t>3.3</w:t>
      </w:r>
      <w:r>
        <w:rPr>
          <w:sz w:val="20"/>
          <w:szCs w:val="20"/>
          <w:color w:val="auto"/>
        </w:rPr>
        <w:tab/>
      </w:r>
      <w:r>
        <w:rPr>
          <w:rFonts w:ascii="Times New Roman" w:cs="Times New Roman" w:eastAsia="Times New Roman" w:hAnsi="Times New Roman"/>
          <w:sz w:val="19"/>
          <w:szCs w:val="19"/>
          <w:b w:val="1"/>
          <w:bCs w:val="1"/>
          <w:u w:val="single" w:color="auto"/>
          <w:color w:val="auto"/>
        </w:rPr>
        <w:t>Extraordinary Transportation for Late Deliveries</w:t>
      </w:r>
      <w:r>
        <w:rPr>
          <w:rFonts w:ascii="Times New Roman" w:cs="Times New Roman" w:eastAsia="Times New Roman" w:hAnsi="Times New Roman"/>
          <w:sz w:val="19"/>
          <w:szCs w:val="19"/>
          <w:color w:val="auto"/>
        </w:rPr>
        <w:t>. If Enphase will not be able to deliver Product on the</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9"/>
          <w:szCs w:val="19"/>
          <w:color w:val="auto"/>
        </w:rPr>
        <w:t>applicable Delivery Date through no fault of SunPower or its Representatives and not due to a Force Majeure Event, it must use commercially reasonable extraordinary transportation</w:t>
      </w:r>
    </w:p>
    <w:p>
      <w:pPr>
        <w:sectPr>
          <w:pgSz w:w="11900" w:h="16838" w:orient="portrait"/>
          <w:cols w:equalWidth="0" w:num="1">
            <w:col w:w="10180"/>
          </w:cols>
          <w:pgMar w:left="1380" w:top="101"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 w:right="260"/>
        <w:spacing w:after="0" w:line="252" w:lineRule="auto"/>
        <w:rPr>
          <w:sz w:val="20"/>
          <w:szCs w:val="20"/>
          <w:color w:val="auto"/>
        </w:rPr>
      </w:pPr>
      <w:r>
        <w:rPr>
          <w:rFonts w:ascii="Times New Roman" w:cs="Times New Roman" w:eastAsia="Times New Roman" w:hAnsi="Times New Roman"/>
          <w:sz w:val="19"/>
          <w:szCs w:val="19"/>
          <w:color w:val="auto"/>
        </w:rPr>
        <w:t xml:space="preserve">(including air) to achieve delivery at the earliest possible date after the Delivery Date. Enphase will bear all extraordinary transportation costs incurred by Enphase under this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w:t>
      </w:r>
    </w:p>
    <w:p>
      <w:pPr>
        <w:spacing w:after="0" w:line="142" w:lineRule="exact"/>
        <w:rPr>
          <w:sz w:val="20"/>
          <w:szCs w:val="20"/>
          <w:color w:val="auto"/>
        </w:rPr>
      </w:pPr>
    </w:p>
    <w:p>
      <w:pPr>
        <w:ind w:left="6" w:right="320" w:firstLine="629"/>
        <w:spacing w:after="0" w:line="222"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b w:val="1"/>
          <w:bCs w:val="1"/>
          <w:u w:val="single" w:color="auto"/>
          <w:color w:val="auto"/>
        </w:rPr>
        <w:t>Title</w:t>
      </w:r>
      <w:r>
        <w:rPr>
          <w:rFonts w:ascii="Times New Roman" w:cs="Times New Roman" w:eastAsia="Times New Roman" w:hAnsi="Times New Roman"/>
          <w:sz w:val="19"/>
          <w:szCs w:val="19"/>
          <w:color w:val="auto"/>
        </w:rPr>
        <w:t>. Enphase warrants that legal title to the Products shall be free and clear of all liens, claims, security interests or other encumbrances upon Delivery to the Origin Port, and shall indemnify SunPower against any Third Party claims</w:t>
      </w:r>
    </w:p>
    <w:p>
      <w:pPr>
        <w:ind w:left="6"/>
        <w:spacing w:after="0" w:line="216" w:lineRule="auto"/>
        <w:rPr>
          <w:sz w:val="20"/>
          <w:szCs w:val="20"/>
          <w:color w:val="auto"/>
        </w:rPr>
      </w:pPr>
      <w:r>
        <w:rPr>
          <w:rFonts w:ascii="Times New Roman" w:cs="Times New Roman" w:eastAsia="Times New Roman" w:hAnsi="Times New Roman"/>
          <w:sz w:val="19"/>
          <w:szCs w:val="19"/>
          <w:color w:val="auto"/>
        </w:rPr>
        <w:t>for breach of the above warranty. All Products must be packaged, marked, and otherwise prepared in accordance with</w:t>
      </w:r>
    </w:p>
    <w:p>
      <w:pPr>
        <w:ind w:left="6" w:right="320"/>
        <w:spacing w:after="0" w:line="226" w:lineRule="auto"/>
        <w:rPr>
          <w:sz w:val="20"/>
          <w:szCs w:val="20"/>
          <w:color w:val="auto"/>
        </w:rPr>
      </w:pPr>
      <w:r>
        <w:rPr>
          <w:rFonts w:ascii="Times New Roman" w:cs="Times New Roman" w:eastAsia="Times New Roman" w:hAnsi="Times New Roman"/>
          <w:sz w:val="19"/>
          <w:szCs w:val="19"/>
          <w:color w:val="auto"/>
        </w:rPr>
        <w:t>applicable Law and reasonable commercial practices to reduce the risk of damage or loss. Title to Products shipped under any Purchase Order shall pass to SunPower upon delivery to the Origin Port.</w:t>
      </w:r>
    </w:p>
    <w:p>
      <w:pPr>
        <w:spacing w:after="0" w:line="200" w:lineRule="exact"/>
        <w:rPr>
          <w:sz w:val="20"/>
          <w:szCs w:val="20"/>
          <w:color w:val="auto"/>
        </w:rPr>
      </w:pPr>
    </w:p>
    <w:p>
      <w:pPr>
        <w:spacing w:after="0" w:line="282" w:lineRule="exact"/>
        <w:rPr>
          <w:sz w:val="20"/>
          <w:szCs w:val="20"/>
          <w:color w:val="auto"/>
        </w:rPr>
      </w:pPr>
    </w:p>
    <w:p>
      <w:pPr>
        <w:ind w:left="4286"/>
        <w:spacing w:after="0"/>
        <w:rPr>
          <w:sz w:val="20"/>
          <w:szCs w:val="20"/>
          <w:color w:val="auto"/>
        </w:rPr>
      </w:pPr>
      <w:r>
        <w:rPr>
          <w:rFonts w:ascii="Times New Roman" w:cs="Times New Roman" w:eastAsia="Times New Roman" w:hAnsi="Times New Roman"/>
          <w:sz w:val="19"/>
          <w:szCs w:val="19"/>
          <w:b w:val="1"/>
          <w:bCs w:val="1"/>
          <w:color w:val="010000"/>
        </w:rPr>
        <w:t>ARTICLE IV</w:t>
      </w:r>
    </w:p>
    <w:p>
      <w:pPr>
        <w:spacing w:after="0" w:line="83" w:lineRule="exact"/>
        <w:rPr>
          <w:sz w:val="20"/>
          <w:szCs w:val="20"/>
          <w:color w:val="auto"/>
        </w:rPr>
      </w:pPr>
    </w:p>
    <w:p>
      <w:pPr>
        <w:ind w:left="3506"/>
        <w:spacing w:after="0"/>
        <w:rPr>
          <w:sz w:val="20"/>
          <w:szCs w:val="20"/>
          <w:color w:val="auto"/>
        </w:rPr>
      </w:pPr>
      <w:r>
        <w:rPr>
          <w:rFonts w:ascii="Times New Roman" w:cs="Times New Roman" w:eastAsia="Times New Roman" w:hAnsi="Times New Roman"/>
          <w:sz w:val="19"/>
          <w:szCs w:val="19"/>
          <w:b w:val="1"/>
          <w:bCs w:val="1"/>
          <w:color w:val="auto"/>
        </w:rPr>
        <w:t>PRODUCT WARRANTY</w:t>
      </w:r>
    </w:p>
    <w:p>
      <w:pPr>
        <w:spacing w:after="0" w:line="175" w:lineRule="exact"/>
        <w:rPr>
          <w:sz w:val="20"/>
          <w:szCs w:val="20"/>
          <w:color w:val="auto"/>
        </w:rPr>
      </w:pPr>
    </w:p>
    <w:p>
      <w:pPr>
        <w:ind w:left="626"/>
        <w:spacing w:after="0"/>
        <w:tabs>
          <w:tab w:leader="none" w:pos="1446" w:val="left"/>
        </w:tabs>
        <w:rPr>
          <w:sz w:val="20"/>
          <w:szCs w:val="20"/>
          <w:color w:val="auto"/>
        </w:rPr>
      </w:pPr>
      <w:r>
        <w:rPr>
          <w:rFonts w:ascii="Times New Roman" w:cs="Times New Roman" w:eastAsia="Times New Roman" w:hAnsi="Times New Roman"/>
          <w:sz w:val="19"/>
          <w:szCs w:val="19"/>
          <w:color w:val="auto"/>
        </w:rPr>
        <w:t>4.1</w:t>
      </w:r>
      <w:r>
        <w:rPr>
          <w:sz w:val="20"/>
          <w:szCs w:val="20"/>
          <w:color w:val="auto"/>
        </w:rPr>
        <w:tab/>
      </w:r>
      <w:r>
        <w:rPr>
          <w:rFonts w:ascii="Times New Roman" w:cs="Times New Roman" w:eastAsia="Times New Roman" w:hAnsi="Times New Roman"/>
          <w:sz w:val="19"/>
          <w:szCs w:val="19"/>
          <w:b w:val="1"/>
          <w:bCs w:val="1"/>
          <w:u w:val="single" w:color="auto"/>
          <w:color w:val="auto"/>
        </w:rPr>
        <w:t>Limited Warranty</w:t>
      </w:r>
      <w:r>
        <w:rPr>
          <w:rFonts w:ascii="Times New Roman" w:cs="Times New Roman" w:eastAsia="Times New Roman" w:hAnsi="Times New Roman"/>
          <w:sz w:val="19"/>
          <w:szCs w:val="19"/>
          <w:color w:val="auto"/>
        </w:rPr>
        <w:t>. The Products shall conform to Enphase’s standard limited warranties as set forth on its</w:t>
      </w:r>
    </w:p>
    <w:p>
      <w:pPr>
        <w:spacing w:after="0" w:line="2" w:lineRule="exact"/>
        <w:rPr>
          <w:sz w:val="20"/>
          <w:szCs w:val="20"/>
          <w:color w:val="auto"/>
        </w:rPr>
      </w:pPr>
    </w:p>
    <w:p>
      <w:pPr>
        <w:ind w:left="6" w:right="320"/>
        <w:spacing w:after="0" w:line="208" w:lineRule="auto"/>
        <w:rPr>
          <w:sz w:val="20"/>
          <w:szCs w:val="20"/>
          <w:color w:val="auto"/>
        </w:rPr>
      </w:pPr>
      <w:r>
        <w:rPr>
          <w:rFonts w:ascii="Times New Roman" w:cs="Times New Roman" w:eastAsia="Times New Roman" w:hAnsi="Times New Roman"/>
          <w:sz w:val="19"/>
          <w:szCs w:val="19"/>
          <w:color w:val="auto"/>
        </w:rPr>
        <w:t xml:space="preserve">website (www.enphase.com/en-us/warranties) as well as the minimum criteria set forth in this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Limited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Warranty</w:t>
      </w:r>
      <w:r>
        <w:rPr>
          <w:rFonts w:ascii="Times New Roman" w:cs="Times New Roman" w:eastAsia="Times New Roman" w:hAnsi="Times New Roman"/>
          <w:sz w:val="19"/>
          <w:szCs w:val="19"/>
          <w:color w:val="auto"/>
        </w:rPr>
        <w:t>”). The Limited Warranty is set forth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auto"/>
        </w:rPr>
        <w:t>Exhibit G</w:t>
      </w:r>
      <w:r>
        <w:rPr>
          <w:rFonts w:ascii="Times New Roman" w:cs="Times New Roman" w:eastAsia="Times New Roman" w:hAnsi="Times New Roman"/>
          <w:sz w:val="19"/>
          <w:szCs w:val="19"/>
          <w:color w:val="auto"/>
        </w:rPr>
        <w:t>, and applies to all Products subject to this MSA, regardless of</w:t>
      </w:r>
    </w:p>
    <w:p>
      <w:pPr>
        <w:ind w:left="6"/>
        <w:spacing w:after="0" w:line="217" w:lineRule="auto"/>
        <w:rPr>
          <w:sz w:val="20"/>
          <w:szCs w:val="20"/>
          <w:color w:val="auto"/>
        </w:rPr>
      </w:pPr>
      <w:r>
        <w:rPr>
          <w:rFonts w:ascii="Times New Roman" w:cs="Times New Roman" w:eastAsia="Times New Roman" w:hAnsi="Times New Roman"/>
          <w:sz w:val="19"/>
          <w:szCs w:val="19"/>
          <w:color w:val="auto"/>
        </w:rPr>
        <w:t xml:space="preserve">whether the specific Product name is listed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During the Term, Enphase will not reduce the coverage provided by</w:t>
      </w:r>
    </w:p>
    <w:p>
      <w:pPr>
        <w:spacing w:after="0" w:line="1" w:lineRule="exact"/>
        <w:rPr>
          <w:sz w:val="20"/>
          <w:szCs w:val="20"/>
          <w:color w:val="auto"/>
        </w:rPr>
      </w:pPr>
    </w:p>
    <w:p>
      <w:pPr>
        <w:ind w:left="6" w:right="320"/>
        <w:spacing w:after="0" w:line="208" w:lineRule="auto"/>
        <w:rPr>
          <w:sz w:val="20"/>
          <w:szCs w:val="20"/>
          <w:color w:val="auto"/>
        </w:rPr>
      </w:pPr>
      <w:r>
        <w:rPr>
          <w:rFonts w:ascii="Times New Roman" w:cs="Times New Roman" w:eastAsia="Times New Roman" w:hAnsi="Times New Roman"/>
          <w:sz w:val="19"/>
          <w:szCs w:val="19"/>
          <w:color w:val="auto"/>
        </w:rPr>
        <w:t xml:space="preserve">the Limited Warranty. Without limiting SunPower’s rights to terminate this MSA or any Party’s obligations set forth in </w:t>
      </w:r>
      <w:r>
        <w:rPr>
          <w:rFonts w:ascii="Times New Roman" w:cs="Times New Roman" w:eastAsia="Times New Roman" w:hAnsi="Times New Roman"/>
          <w:sz w:val="19"/>
          <w:szCs w:val="19"/>
          <w:u w:val="single" w:color="auto"/>
          <w:color w:val="auto"/>
        </w:rPr>
        <w:t>Article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VIII</w:t>
      </w:r>
      <w:r>
        <w:rPr>
          <w:rFonts w:ascii="Times New Roman" w:cs="Times New Roman" w:eastAsia="Times New Roman" w:hAnsi="Times New Roman"/>
          <w:sz w:val="19"/>
          <w:szCs w:val="19"/>
          <w:color w:val="auto"/>
        </w:rPr>
        <w:t>: (i) the Limited Warranty contains SunPower’s, System Owners’, and other Third-Party users’ exclusive remedy for</w:t>
      </w:r>
    </w:p>
    <w:p>
      <w:pPr>
        <w:ind w:left="6"/>
        <w:spacing w:after="0" w:line="217" w:lineRule="auto"/>
        <w:rPr>
          <w:sz w:val="20"/>
          <w:szCs w:val="20"/>
          <w:color w:val="auto"/>
        </w:rPr>
      </w:pPr>
      <w:r>
        <w:rPr>
          <w:rFonts w:ascii="Times New Roman" w:cs="Times New Roman" w:eastAsia="Times New Roman" w:hAnsi="Times New Roman"/>
          <w:sz w:val="19"/>
          <w:szCs w:val="19"/>
          <w:color w:val="auto"/>
        </w:rPr>
        <w:t>Defective Products, and sets forth Enphase’s entire liability for any breach of the Limited Warranty, and</w:t>
      </w:r>
    </w:p>
    <w:p>
      <w:pPr>
        <w:spacing w:after="0" w:line="1" w:lineRule="exact"/>
        <w:rPr>
          <w:sz w:val="20"/>
          <w:szCs w:val="20"/>
          <w:color w:val="auto"/>
        </w:rPr>
      </w:pPr>
    </w:p>
    <w:p>
      <w:pPr>
        <w:jc w:val="both"/>
        <w:ind w:left="6" w:right="280" w:hanging="6"/>
        <w:spacing w:after="0" w:line="223" w:lineRule="auto"/>
        <w:tabs>
          <w:tab w:leader="none" w:pos="29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expressly provided in this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Enphase’s liability with respect to the Products shall be limited to the Price paid for the Products. The Limited Warranty may be changed from time to time by Enphase, but the Limited Warranty shall, at a minimum, include the following minimum criteria:</w:t>
      </w:r>
    </w:p>
    <w:p>
      <w:pPr>
        <w:spacing w:after="0" w:line="143" w:lineRule="exact"/>
        <w:rPr>
          <w:sz w:val="20"/>
          <w:szCs w:val="20"/>
          <w:color w:val="auto"/>
        </w:rPr>
      </w:pPr>
    </w:p>
    <w:p>
      <w:pPr>
        <w:ind w:left="2086" w:hanging="827"/>
        <w:spacing w:after="0"/>
        <w:tabs>
          <w:tab w:leader="none" w:pos="2086"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of the Limited Warranty shall be twenty-five (25) years for Products that are MLPE</w:t>
      </w:r>
    </w:p>
    <w:p>
      <w:pPr>
        <w:ind w:left="6"/>
        <w:spacing w:after="0"/>
        <w:rPr>
          <w:sz w:val="20"/>
          <w:szCs w:val="20"/>
          <w:color w:val="auto"/>
        </w:rPr>
      </w:pPr>
      <w:r>
        <w:rPr>
          <w:rFonts w:ascii="Times New Roman" w:cs="Times New Roman" w:eastAsia="Times New Roman" w:hAnsi="Times New Roman"/>
          <w:sz w:val="19"/>
          <w:szCs w:val="19"/>
          <w:color w:val="auto"/>
        </w:rPr>
        <w:t>or AC Cables;</w:t>
      </w:r>
    </w:p>
    <w:p>
      <w:pPr>
        <w:spacing w:after="0" w:line="166" w:lineRule="exact"/>
        <w:rPr>
          <w:sz w:val="20"/>
          <w:szCs w:val="20"/>
          <w:color w:val="auto"/>
        </w:rPr>
      </w:pPr>
    </w:p>
    <w:p>
      <w:pPr>
        <w:ind w:left="6" w:right="300" w:firstLine="1253"/>
        <w:spacing w:after="0" w:line="238" w:lineRule="auto"/>
        <w:tabs>
          <w:tab w:leader="none" w:pos="2092"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Parts coverage shall be one-hundred percent (100%) for twenty-five (25) years for Products that are MLPE or AC Cables. Enphase will provide a new or equivalent unit;</w:t>
      </w:r>
    </w:p>
    <w:p>
      <w:pPr>
        <w:spacing w:after="0" w:line="156" w:lineRule="exact"/>
        <w:rPr>
          <w:rFonts w:ascii="Times New Roman" w:cs="Times New Roman" w:eastAsia="Times New Roman" w:hAnsi="Times New Roman"/>
          <w:sz w:val="19"/>
          <w:szCs w:val="19"/>
          <w:color w:val="auto"/>
        </w:rPr>
      </w:pPr>
    </w:p>
    <w:p>
      <w:pPr>
        <w:jc w:val="both"/>
        <w:ind w:left="6" w:right="260" w:firstLine="1253"/>
        <w:spacing w:after="0" w:line="219" w:lineRule="auto"/>
        <w:tabs>
          <w:tab w:leader="none" w:pos="2094"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Site labor coverage for [*] after installation of the Products, provided that Enphase will only be responsible for paying truckroll fees for failures at sites where the number of Defective Products with an approved RMA at the site is greater than [*] of the units installed at the site (each such multi-failure instance with an approved RMA, a “</w:t>
      </w:r>
      <w:r>
        <w:rPr>
          <w:rFonts w:ascii="Times New Roman" w:cs="Times New Roman" w:eastAsia="Times New Roman" w:hAnsi="Times New Roman"/>
          <w:sz w:val="19"/>
          <w:szCs w:val="19"/>
          <w:b w:val="1"/>
          <w:bCs w:val="1"/>
          <w:i w:val="1"/>
          <w:iCs w:val="1"/>
          <w:color w:val="auto"/>
        </w:rPr>
        <w:t>Truckroll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Event</w:t>
      </w:r>
      <w:r>
        <w:rPr>
          <w:rFonts w:ascii="Times New Roman" w:cs="Times New Roman" w:eastAsia="Times New Roman" w:hAnsi="Times New Roman"/>
          <w:sz w:val="19"/>
          <w:szCs w:val="19"/>
          <w:color w:val="auto"/>
        </w:rPr>
        <w:t>”), and only for one truckroll per Truckroll Event. For example, if [*]units are installed at the site, the required number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Defective Products would be [*] unit, if [*] units are installed at the site the required number of Defective Products would be [*] units, if [*] units are installed at the site, the required number of Defective Products would be [*] units, if [*] units are installed at the site the required number of Defective Products would be [*] units, and so on. The fees paid by Enphase will be [*] per truckroll and [*] per Microinverter replaced unless otherwise mutually agreed in writing; and</w:t>
      </w:r>
    </w:p>
    <w:p>
      <w:pPr>
        <w:spacing w:after="0" w:line="149" w:lineRule="exact"/>
        <w:rPr>
          <w:rFonts w:ascii="Times New Roman" w:cs="Times New Roman" w:eastAsia="Times New Roman" w:hAnsi="Times New Roman"/>
          <w:sz w:val="19"/>
          <w:szCs w:val="19"/>
          <w:color w:val="auto"/>
        </w:rPr>
      </w:pPr>
    </w:p>
    <w:p>
      <w:pPr>
        <w:ind w:left="1886" w:hanging="627"/>
        <w:spacing w:after="0"/>
        <w:tabs>
          <w:tab w:leader="none" w:pos="1886"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shipment coverage for a replacement Product.</w:t>
      </w:r>
    </w:p>
    <w:p>
      <w:pPr>
        <w:spacing w:after="0" w:line="186" w:lineRule="exact"/>
        <w:rPr>
          <w:sz w:val="20"/>
          <w:szCs w:val="20"/>
          <w:color w:val="auto"/>
        </w:rPr>
      </w:pPr>
    </w:p>
    <w:p>
      <w:pPr>
        <w:ind w:left="6" w:right="240" w:firstLine="629"/>
        <w:spacing w:after="0" w:line="254"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b w:val="1"/>
          <w:bCs w:val="1"/>
          <w:u w:val="single" w:color="auto"/>
          <w:color w:val="auto"/>
        </w:rPr>
        <w:t>Assignment of Warranties</w:t>
      </w:r>
      <w:r>
        <w:rPr>
          <w:rFonts w:ascii="Times New Roman" w:cs="Times New Roman" w:eastAsia="Times New Roman" w:hAnsi="Times New Roman"/>
          <w:sz w:val="19"/>
          <w:szCs w:val="19"/>
          <w:color w:val="auto"/>
        </w:rPr>
        <w:t>. SunPower shall have the right to assign, without consent, all Limited Warranties to System Owners. Enphase shall have no obligations to System Owners other than as set forth in the Limited Warranties.</w:t>
      </w:r>
    </w:p>
    <w:p>
      <w:pPr>
        <w:spacing w:after="0" w:line="128" w:lineRule="exact"/>
        <w:rPr>
          <w:sz w:val="20"/>
          <w:szCs w:val="20"/>
          <w:color w:val="auto"/>
        </w:rPr>
      </w:pPr>
    </w:p>
    <w:p>
      <w:pPr>
        <w:ind w:left="6" w:right="220" w:firstLine="629"/>
        <w:spacing w:after="0" w:line="229"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b w:val="1"/>
          <w:bCs w:val="1"/>
          <w:u w:val="single" w:color="auto"/>
          <w:color w:val="auto"/>
        </w:rPr>
        <w:t>Manufacturer’s Warranties</w:t>
      </w:r>
      <w:r>
        <w:rPr>
          <w:rFonts w:ascii="Times New Roman" w:cs="Times New Roman" w:eastAsia="Times New Roman" w:hAnsi="Times New Roman"/>
          <w:sz w:val="19"/>
          <w:szCs w:val="19"/>
          <w:color w:val="auto"/>
        </w:rPr>
        <w:t>. For semiconductor chip Products purchased by SunPower during the Term, Enphase shall pass through to SunPower all manufacturer warranties of Third Parties for semiconductor chip Products to the</w:t>
      </w:r>
    </w:p>
    <w:p>
      <w:pPr>
        <w:ind w:left="6" w:right="220"/>
        <w:spacing w:after="0" w:line="226" w:lineRule="auto"/>
        <w:rPr>
          <w:sz w:val="20"/>
          <w:szCs w:val="20"/>
          <w:color w:val="auto"/>
        </w:rPr>
      </w:pPr>
      <w:r>
        <w:rPr>
          <w:rFonts w:ascii="Times New Roman" w:cs="Times New Roman" w:eastAsia="Times New Roman" w:hAnsi="Times New Roman"/>
          <w:sz w:val="19"/>
          <w:szCs w:val="19"/>
          <w:color w:val="auto"/>
        </w:rPr>
        <w:t xml:space="preserve">extent Enphase has the right to do so. Notwithstanding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such Third Party warranties are the sole warranties for any semiconductor chip Products.</w:t>
      </w:r>
    </w:p>
    <w:p>
      <w:pPr>
        <w:spacing w:after="0" w:line="10" w:lineRule="exact"/>
        <w:rPr>
          <w:sz w:val="20"/>
          <w:szCs w:val="20"/>
          <w:color w:val="auto"/>
        </w:rPr>
      </w:pPr>
    </w:p>
    <w:p>
      <w:pPr>
        <w:ind w:left="6" w:right="280" w:firstLine="629"/>
        <w:spacing w:after="0" w:line="222"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b w:val="1"/>
          <w:bCs w:val="1"/>
          <w:u w:val="single" w:color="auto"/>
          <w:color w:val="auto"/>
        </w:rPr>
        <w:t>No Other Product Warranties; Non-Reliance</w:t>
      </w:r>
      <w:r>
        <w:rPr>
          <w:rFonts w:ascii="Times New Roman" w:cs="Times New Roman" w:eastAsia="Times New Roman" w:hAnsi="Times New Roman"/>
          <w:sz w:val="19"/>
          <w:szCs w:val="19"/>
          <w:color w:val="auto"/>
        </w:rPr>
        <w:t>. EXCEPT AS OTHERWISE EXPRESSLY PROVIDED FOR IN THIS MSA AND THE LIMITED WARRANTY, NEITHER PARTY HAS MADE OR MAKES ANY OTHER</w:t>
      </w:r>
    </w:p>
    <w:p>
      <w:pPr>
        <w:ind w:left="6"/>
        <w:spacing w:after="0"/>
        <w:rPr>
          <w:sz w:val="20"/>
          <w:szCs w:val="20"/>
          <w:color w:val="auto"/>
        </w:rPr>
      </w:pPr>
      <w:r>
        <w:rPr>
          <w:rFonts w:ascii="Times New Roman" w:cs="Times New Roman" w:eastAsia="Times New Roman" w:hAnsi="Times New Roman"/>
          <w:sz w:val="19"/>
          <w:szCs w:val="19"/>
          <w:color w:val="auto"/>
        </w:rPr>
        <w:t>REPRESENTATIONS OR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66"/>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0186"/>
          </w:cols>
          <w:pgMar w:left="1374" w:top="100"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80"/>
        <w:spacing w:after="0" w:line="220" w:lineRule="auto"/>
        <w:rPr>
          <w:sz w:val="20"/>
          <w:szCs w:val="20"/>
          <w:color w:val="auto"/>
        </w:rPr>
      </w:pPr>
      <w:r>
        <w:rPr>
          <w:rFonts w:ascii="Times New Roman" w:cs="Times New Roman" w:eastAsia="Times New Roman" w:hAnsi="Times New Roman"/>
          <w:sz w:val="19"/>
          <w:szCs w:val="19"/>
          <w:color w:val="auto"/>
        </w:rPr>
        <w:t>EXPRESS OR IMPLIED, REGARDING THE PRODUCTS, INCLUDING ANY WARRANTY OF MERCHANTABILITY, FITNESS FOR A PARTICULAR PURPOSE, TITLE, NON-INFRINGEMENT, OR PERFORMANCE OF PRODUCTS TO</w:t>
      </w:r>
    </w:p>
    <w:p>
      <w:pPr>
        <w:spacing w:after="0" w:line="218" w:lineRule="auto"/>
        <w:rPr>
          <w:sz w:val="20"/>
          <w:szCs w:val="20"/>
          <w:color w:val="auto"/>
        </w:rPr>
      </w:pPr>
      <w:r>
        <w:rPr>
          <w:rFonts w:ascii="Times New Roman" w:cs="Times New Roman" w:eastAsia="Times New Roman" w:hAnsi="Times New Roman"/>
          <w:sz w:val="19"/>
          <w:szCs w:val="19"/>
          <w:color w:val="auto"/>
        </w:rPr>
        <w:t>STANDARDS SPECIFIC TO THE COUNTRY OF IMPORT, WHETHER ARISING FROM LAW, COURSE OF DEALING,</w:t>
      </w:r>
    </w:p>
    <w:p>
      <w:pPr>
        <w:ind w:right="280"/>
        <w:spacing w:after="0" w:line="208" w:lineRule="auto"/>
        <w:rPr>
          <w:sz w:val="20"/>
          <w:szCs w:val="20"/>
          <w:color w:val="auto"/>
        </w:rPr>
      </w:pPr>
      <w:r>
        <w:rPr>
          <w:rFonts w:ascii="Times New Roman" w:cs="Times New Roman" w:eastAsia="Times New Roman" w:hAnsi="Times New Roman"/>
          <w:sz w:val="19"/>
          <w:szCs w:val="19"/>
          <w:color w:val="auto"/>
        </w:rPr>
        <w:t>COURSE OF PERFORMANCE, USAGE OF TRADE, OR OTHERWISE, AND ALL OF WHICH ARE EXPRESSLY DISCLAIMED. SUNPOWER AGREES THAT IT HAS NOT RELIED ON ANY REPRESENTATION OR WARRANTY</w:t>
      </w:r>
    </w:p>
    <w:p>
      <w:pPr>
        <w:spacing w:after="0" w:line="2"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19"/>
          <w:szCs w:val="19"/>
          <w:color w:val="auto"/>
        </w:rPr>
        <w:t xml:space="preserve">REGARDING THE PRODUCTS OTHER THAN THAT SPECIFICALLY PROVIDED IN THIS </w:t>
      </w:r>
      <w:r>
        <w:rPr>
          <w:rFonts w:ascii="Times New Roman" w:cs="Times New Roman" w:eastAsia="Times New Roman" w:hAnsi="Times New Roman"/>
          <w:sz w:val="19"/>
          <w:szCs w:val="19"/>
          <w:u w:val="single" w:color="auto"/>
          <w:color w:val="auto"/>
        </w:rPr>
        <w:t>SECTION 4.4</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u w:val="single" w:color="auto"/>
          <w:color w:val="auto"/>
        </w:rPr>
        <w:t>SECTION 4.4</w:t>
      </w:r>
      <w:r>
        <w:rPr>
          <w:rFonts w:ascii="Times New Roman" w:cs="Times New Roman" w:eastAsia="Times New Roman" w:hAnsi="Times New Roman"/>
          <w:sz w:val="19"/>
          <w:szCs w:val="19"/>
          <w:color w:val="auto"/>
        </w:rPr>
        <w:t xml:space="preserve"> DOES NOT LIMIT OR ALTER ANY WARRANTIES EXPRESSLY SET FORTH IN THE APA.</w:t>
      </w:r>
    </w:p>
    <w:p>
      <w:pPr>
        <w:spacing w:after="0" w:line="139"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21"/>
          <w:szCs w:val="21"/>
          <w:color w:val="auto"/>
        </w:rPr>
        <w:t>4.5</w:t>
      </w:r>
      <w:r>
        <w:rPr>
          <w:sz w:val="20"/>
          <w:szCs w:val="20"/>
          <w:color w:val="auto"/>
        </w:rPr>
        <w:tab/>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9"/>
          <w:szCs w:val="19"/>
          <w:b w:val="1"/>
          <w:bCs w:val="1"/>
          <w:color w:val="010000"/>
        </w:rPr>
        <w:t>ARTICLE V</w:t>
      </w:r>
    </w:p>
    <w:p>
      <w:pPr>
        <w:spacing w:after="0" w:line="7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b w:val="1"/>
          <w:bCs w:val="1"/>
          <w:color w:val="auto"/>
        </w:rPr>
        <w:t>QUALITY ASSURANCE AND CONTROL; CUSTOMER SUPPORT</w:t>
      </w:r>
    </w:p>
    <w:p>
      <w:pPr>
        <w:spacing w:after="0" w:line="188" w:lineRule="exact"/>
        <w:rPr>
          <w:sz w:val="20"/>
          <w:szCs w:val="20"/>
          <w:color w:val="auto"/>
        </w:rPr>
      </w:pPr>
    </w:p>
    <w:p>
      <w:pPr>
        <w:ind w:right="320" w:firstLine="629"/>
        <w:spacing w:after="0" w:line="222" w:lineRule="auto"/>
        <w:rPr>
          <w:sz w:val="20"/>
          <w:szCs w:val="20"/>
          <w:color w:val="auto"/>
        </w:rPr>
      </w:pPr>
      <w:r>
        <w:rPr>
          <w:rFonts w:ascii="Times New Roman" w:cs="Times New Roman" w:eastAsia="Times New Roman" w:hAnsi="Times New Roman"/>
          <w:sz w:val="19"/>
          <w:szCs w:val="19"/>
          <w:color w:val="auto"/>
        </w:rPr>
        <w:t xml:space="preserve">5.1 </w:t>
      </w:r>
      <w:r>
        <w:rPr>
          <w:rFonts w:ascii="Times New Roman" w:cs="Times New Roman" w:eastAsia="Times New Roman" w:hAnsi="Times New Roman"/>
          <w:sz w:val="19"/>
          <w:szCs w:val="19"/>
          <w:b w:val="1"/>
          <w:bCs w:val="1"/>
          <w:u w:val="single" w:color="auto"/>
          <w:color w:val="auto"/>
        </w:rPr>
        <w:t>Customer Support</w:t>
      </w:r>
      <w:r>
        <w:rPr>
          <w:rFonts w:ascii="Times New Roman" w:cs="Times New Roman" w:eastAsia="Times New Roman" w:hAnsi="Times New Roman"/>
          <w:sz w:val="19"/>
          <w:szCs w:val="19"/>
          <w:color w:val="auto"/>
        </w:rPr>
        <w:t>. SunPower will be responsible for providing first-level technical support to installers, System Owners and other Third-Party users for all AC Modules that utilize or incorporate Products. In the event of a return</w:t>
      </w:r>
    </w:p>
    <w:p>
      <w:pPr>
        <w:spacing w:after="0" w:line="216" w:lineRule="auto"/>
        <w:rPr>
          <w:sz w:val="20"/>
          <w:szCs w:val="20"/>
          <w:color w:val="auto"/>
        </w:rPr>
      </w:pPr>
      <w:r>
        <w:rPr>
          <w:rFonts w:ascii="Times New Roman" w:cs="Times New Roman" w:eastAsia="Times New Roman" w:hAnsi="Times New Roman"/>
          <w:sz w:val="19"/>
          <w:szCs w:val="19"/>
          <w:color w:val="auto"/>
        </w:rPr>
        <w:t>merchandise authorization (“</w:t>
      </w:r>
      <w:r>
        <w:rPr>
          <w:rFonts w:ascii="Times New Roman" w:cs="Times New Roman" w:eastAsia="Times New Roman" w:hAnsi="Times New Roman"/>
          <w:sz w:val="19"/>
          <w:szCs w:val="19"/>
          <w:b w:val="1"/>
          <w:bCs w:val="1"/>
          <w:i w:val="1"/>
          <w:iCs w:val="1"/>
          <w:color w:val="auto"/>
        </w:rPr>
        <w:t>RMA</w:t>
      </w:r>
      <w:r>
        <w:rPr>
          <w:rFonts w:ascii="Times New Roman" w:cs="Times New Roman" w:eastAsia="Times New Roman" w:hAnsi="Times New Roman"/>
          <w:sz w:val="19"/>
          <w:szCs w:val="19"/>
          <w:color w:val="auto"/>
        </w:rPr>
        <w:t>”) for a Defective Product, the returned units will be provided to Enphase for Failure</w:t>
      </w:r>
    </w:p>
    <w:p>
      <w:pPr>
        <w:ind w:right="320"/>
        <w:spacing w:after="0" w:line="208" w:lineRule="auto"/>
        <w:rPr>
          <w:sz w:val="20"/>
          <w:szCs w:val="20"/>
          <w:color w:val="auto"/>
        </w:rPr>
      </w:pPr>
      <w:r>
        <w:rPr>
          <w:rFonts w:ascii="Times New Roman" w:cs="Times New Roman" w:eastAsia="Times New Roman" w:hAnsi="Times New Roman"/>
          <w:sz w:val="19"/>
          <w:szCs w:val="19"/>
          <w:color w:val="auto"/>
        </w:rPr>
        <w:t xml:space="preserve">Analysis and remedy in accordance with the Limited Warranty. SunPower shall be provided access to the Product performance data for Defective Products set forth on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The Parties agree to allocate the responsibility for performing and the costs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providing Limited Warranty services as set forth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Exhibit G</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right="320" w:firstLine="629"/>
        <w:spacing w:after="0" w:line="222"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b w:val="1"/>
          <w:bCs w:val="1"/>
          <w:u w:val="single" w:color="auto"/>
          <w:color w:val="auto"/>
        </w:rPr>
        <w:t>Quality Assurance and Quality Control</w:t>
      </w:r>
      <w:r>
        <w:rPr>
          <w:rFonts w:ascii="Times New Roman" w:cs="Times New Roman" w:eastAsia="Times New Roman" w:hAnsi="Times New Roman"/>
          <w:sz w:val="19"/>
          <w:szCs w:val="19"/>
          <w:color w:val="auto"/>
        </w:rPr>
        <w:t xml:space="preserve">. The quality assurance and control plan attached to this MSA as </w:t>
      </w:r>
      <w:r>
        <w:rPr>
          <w:rFonts w:ascii="Times New Roman" w:cs="Times New Roman" w:eastAsia="Times New Roman" w:hAnsi="Times New Roman"/>
          <w:sz w:val="19"/>
          <w:szCs w:val="19"/>
          <w:u w:val="single" w:color="auto"/>
          <w:color w:val="auto"/>
        </w:rPr>
        <w:t>Exhibit H</w:t>
      </w:r>
      <w:r>
        <w:rPr>
          <w:rFonts w:ascii="Times New Roman" w:cs="Times New Roman" w:eastAsia="Times New Roman" w:hAnsi="Times New Roman"/>
          <w:sz w:val="19"/>
          <w:szCs w:val="19"/>
          <w:color w:val="auto"/>
        </w:rPr>
        <w:t>, as may be updated or amended by written agreement of the Parties (the “</w:t>
      </w:r>
      <w:r>
        <w:rPr>
          <w:rFonts w:ascii="Times New Roman" w:cs="Times New Roman" w:eastAsia="Times New Roman" w:hAnsi="Times New Roman"/>
          <w:sz w:val="19"/>
          <w:szCs w:val="19"/>
          <w:b w:val="1"/>
          <w:bCs w:val="1"/>
          <w:i w:val="1"/>
          <w:iCs w:val="1"/>
          <w:color w:val="auto"/>
        </w:rPr>
        <w:t>Quality Plan</w:t>
      </w:r>
      <w:r>
        <w:rPr>
          <w:rFonts w:ascii="Times New Roman" w:cs="Times New Roman" w:eastAsia="Times New Roman" w:hAnsi="Times New Roman"/>
          <w:sz w:val="19"/>
          <w:szCs w:val="19"/>
          <w:color w:val="auto"/>
        </w:rPr>
        <w:t>”), shall apply to the</w:t>
      </w:r>
    </w:p>
    <w:p>
      <w:pPr>
        <w:spacing w:after="0" w:line="216" w:lineRule="auto"/>
        <w:rPr>
          <w:sz w:val="20"/>
          <w:szCs w:val="20"/>
          <w:color w:val="auto"/>
        </w:rPr>
      </w:pPr>
      <w:r>
        <w:rPr>
          <w:rFonts w:ascii="Times New Roman" w:cs="Times New Roman" w:eastAsia="Times New Roman" w:hAnsi="Times New Roman"/>
          <w:sz w:val="19"/>
          <w:szCs w:val="19"/>
          <w:color w:val="auto"/>
        </w:rPr>
        <w:t>manufacture and provision of Products under this MSA. At a minimum, the Quality Plan shall conform with the requirements</w:t>
      </w:r>
    </w:p>
    <w:p>
      <w:pPr>
        <w:ind w:right="320"/>
        <w:spacing w:after="0" w:line="208" w:lineRule="auto"/>
        <w:rPr>
          <w:sz w:val="20"/>
          <w:szCs w:val="20"/>
          <w:color w:val="auto"/>
        </w:rPr>
      </w:pPr>
      <w:r>
        <w:rPr>
          <w:rFonts w:ascii="Times New Roman" w:cs="Times New Roman" w:eastAsia="Times New Roman" w:hAnsi="Times New Roman"/>
          <w:sz w:val="19"/>
          <w:szCs w:val="19"/>
          <w:color w:val="auto"/>
        </w:rPr>
        <w:t>of ISO 9000 International Organization for Standardization Quality Standards. Enphase will be responsible for implementing the Quality Plan and will use commercially reasonable efforts to ensure that all Products sold to SunPower under this MSA are</w:t>
      </w:r>
    </w:p>
    <w:p>
      <w:pPr>
        <w:spacing w:after="0" w:line="2" w:lineRule="exact"/>
        <w:rPr>
          <w:sz w:val="20"/>
          <w:szCs w:val="20"/>
          <w:color w:val="auto"/>
        </w:rPr>
      </w:pPr>
    </w:p>
    <w:p>
      <w:pPr>
        <w:ind w:right="320"/>
        <w:spacing w:after="0" w:line="233" w:lineRule="auto"/>
        <w:rPr>
          <w:sz w:val="20"/>
          <w:szCs w:val="20"/>
          <w:color w:val="auto"/>
        </w:rPr>
      </w:pPr>
      <w:r>
        <w:rPr>
          <w:rFonts w:ascii="Times New Roman" w:cs="Times New Roman" w:eastAsia="Times New Roman" w:hAnsi="Times New Roman"/>
          <w:sz w:val="19"/>
          <w:szCs w:val="19"/>
          <w:color w:val="auto"/>
        </w:rPr>
        <w:t>manufactured and provided in accordance with the Quality Plan. Enphase shall be responsible for ensuring all of its manufacturing, testing, and other activities conform to the Quality Plan.</w:t>
      </w:r>
    </w:p>
    <w:p>
      <w:pPr>
        <w:spacing w:after="0" w:line="139"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21"/>
          <w:szCs w:val="21"/>
          <w:color w:val="auto"/>
        </w:rPr>
        <w:t>5.3</w:t>
      </w:r>
      <w:r>
        <w:rPr>
          <w:sz w:val="20"/>
          <w:szCs w:val="20"/>
          <w:color w:val="auto"/>
        </w:rPr>
        <w:tab/>
      </w:r>
      <w:r>
        <w:rPr>
          <w:rFonts w:ascii="Times New Roman" w:cs="Times New Roman" w:eastAsia="Times New Roman" w:hAnsi="Times New Roman"/>
          <w:sz w:val="19"/>
          <w:szCs w:val="19"/>
          <w:b w:val="1"/>
          <w:bCs w:val="1"/>
          <w:u w:val="single" w:color="auto"/>
          <w:color w:val="auto"/>
        </w:rPr>
        <w:t>Quality Audits and Inspections</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jc w:val="both"/>
        <w:ind w:right="200" w:firstLine="1253"/>
        <w:spacing w:after="0" w:line="216" w:lineRule="auto"/>
        <w:tabs>
          <w:tab w:leader="none" w:pos="2088"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On-Site Audits and Inspections</w:t>
      </w:r>
      <w:r>
        <w:rPr>
          <w:rFonts w:ascii="Times New Roman" w:cs="Times New Roman" w:eastAsia="Times New Roman" w:hAnsi="Times New Roman"/>
          <w:sz w:val="19"/>
          <w:szCs w:val="19"/>
          <w:color w:val="auto"/>
        </w:rPr>
        <w:t>. Enphase shall use reasonable efforts to request that its contract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manufacturers make their premises where the Products are manufactured available to SunPower Representatives at mutually agreeable times during normal business hours for the purpose of inspecting raw materials, work in progress, tooling, equipment and production facilities for conformance with the requirements of this MSA, provided that SunPower must give at least five (5) Business Days’ prior written notice of any such inspection and conduct such inspection in a manner that does not disrupt or delay the business activities of Enphase or its contract manufacturers, and conduct such inspections no more than once per six (6) months unless otherwise agreed. The limitation on the number of inspections per year will not apply in a particular calendar quarter in the event that there are material Nonconformities with Products delivered in the preceding calendar quarter. As part of such audit, SunPower may inspect the Products prior to shipment to determine compliance with the Product Specifications and the Quality Plan in </w:t>
      </w:r>
      <w:r>
        <w:rPr>
          <w:rFonts w:ascii="Times New Roman" w:cs="Times New Roman" w:eastAsia="Times New Roman" w:hAnsi="Times New Roman"/>
          <w:sz w:val="19"/>
          <w:szCs w:val="19"/>
          <w:u w:val="single" w:color="auto"/>
          <w:color w:val="auto"/>
        </w:rPr>
        <w:t>Exhibit H</w:t>
      </w:r>
      <w:r>
        <w:rPr>
          <w:rFonts w:ascii="Times New Roman" w:cs="Times New Roman" w:eastAsia="Times New Roman" w:hAnsi="Times New Roman"/>
          <w:sz w:val="19"/>
          <w:szCs w:val="19"/>
          <w:color w:val="auto"/>
        </w:rPr>
        <w:t xml:space="preserve">. Enphase will use commercially reasonable efforts to promptly remedy any Nonconformities found with the Products during any such audit. The Parties will be responsible for each of their respective costs associated with conducting audits and inspections in accordance with this </w:t>
      </w:r>
      <w:r>
        <w:rPr>
          <w:rFonts w:ascii="Times New Roman" w:cs="Times New Roman" w:eastAsia="Times New Roman" w:hAnsi="Times New Roman"/>
          <w:sz w:val="19"/>
          <w:szCs w:val="19"/>
          <w:u w:val="single" w:color="auto"/>
          <w:color w:val="auto"/>
        </w:rPr>
        <w:t>Section 5.3(a)</w:t>
      </w:r>
      <w:r>
        <w:rPr>
          <w:rFonts w:ascii="Times New Roman" w:cs="Times New Roman" w:eastAsia="Times New Roman" w:hAnsi="Times New Roman"/>
          <w:sz w:val="19"/>
          <w:szCs w:val="19"/>
          <w:color w:val="auto"/>
        </w:rPr>
        <w:t>, such as airfare, meals, and lodging.</w:t>
      </w:r>
    </w:p>
    <w:p>
      <w:pPr>
        <w:spacing w:after="0" w:line="158" w:lineRule="exact"/>
        <w:rPr>
          <w:rFonts w:ascii="Times New Roman" w:cs="Times New Roman" w:eastAsia="Times New Roman" w:hAnsi="Times New Roman"/>
          <w:sz w:val="19"/>
          <w:szCs w:val="19"/>
          <w:color w:val="auto"/>
        </w:rPr>
      </w:pPr>
    </w:p>
    <w:p>
      <w:pPr>
        <w:ind w:left="1880" w:hanging="627"/>
        <w:spacing w:after="0"/>
        <w:tabs>
          <w:tab w:leader="none" w:pos="188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Inspection After Delivery</w:t>
      </w:r>
      <w:r>
        <w:rPr>
          <w:rFonts w:ascii="Times New Roman" w:cs="Times New Roman" w:eastAsia="Times New Roman" w:hAnsi="Times New Roman"/>
          <w:sz w:val="19"/>
          <w:szCs w:val="19"/>
          <w:color w:val="auto"/>
        </w:rPr>
        <w:t>.</w:t>
      </w:r>
    </w:p>
    <w:p>
      <w:pPr>
        <w:spacing w:after="0" w:line="190" w:lineRule="exact"/>
        <w:rPr>
          <w:rFonts w:ascii="Times New Roman" w:cs="Times New Roman" w:eastAsia="Times New Roman" w:hAnsi="Times New Roman"/>
          <w:sz w:val="19"/>
          <w:szCs w:val="19"/>
          <w:color w:val="auto"/>
        </w:rPr>
      </w:pPr>
    </w:p>
    <w:p>
      <w:pPr>
        <w:jc w:val="both"/>
        <w:ind w:right="360" w:firstLine="1882"/>
        <w:spacing w:after="0" w:line="222" w:lineRule="auto"/>
        <w:tabs>
          <w:tab w:leader="none" w:pos="2096"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Products are subject to inspection and testing by SunPower at the Origin Port and/or after their receipt at SunPower’s manufacturing facilities for compliance with this MSA. SunPower’s inspection may include the confirmation of identity, quantity, and any other Nonconformities. SunPower shall notify Enphase of any Nonconformities within [*] after delivery to SunPower’s manufacturing facilities setting forth with particularity the nature of such Nonconformity and the Product(s)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0180"/>
          </w:cols>
          <w:pgMar w:left="1380" w:top="100"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0" w:firstLine="1882"/>
        <w:spacing w:after="0" w:line="217" w:lineRule="auto"/>
        <w:tabs>
          <w:tab w:leader="none" w:pos="2726"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SunPower identifies and notifies Enphase of a Nonconformity in accordance with clause (i), Enphase will (a) promptly inspect and test all Products reasonably identified as Nonconforming by SunPower after reasonable testing by SunPower to confirm such Nonconformity, and (b) segregate conforming Products from Nonconforming Products. At Enphase’s request, SunPower will ship the Nonconforming Product to Enphase for such inspection, testing, and segregation, along with relevant information from the shipping notice. If a Product is determined to be Nonconforming, Enphase will be responsible for SunPower’s reasonable inspection, testing, and shipping costs incurred in accordance with this </w:t>
      </w:r>
      <w:r>
        <w:rPr>
          <w:rFonts w:ascii="Times New Roman" w:cs="Times New Roman" w:eastAsia="Times New Roman" w:hAnsi="Times New Roman"/>
          <w:sz w:val="19"/>
          <w:szCs w:val="19"/>
          <w:u w:val="single" w:color="auto"/>
          <w:color w:val="auto"/>
        </w:rPr>
        <w:t>Section 5.3(b)</w:t>
      </w:r>
      <w:r>
        <w:rPr>
          <w:rFonts w:ascii="Times New Roman" w:cs="Times New Roman" w:eastAsia="Times New Roman" w:hAnsi="Times New Roman"/>
          <w:sz w:val="19"/>
          <w:szCs w:val="19"/>
          <w:color w:val="auto"/>
        </w:rPr>
        <w:t xml:space="preserve">, and will promptly repair or replace the Nonconforming Product. If a Product is determined not to have a Nonconformity, then SunPower will be responsible for Enphase’s reasonable inspection, testing, and shipping costs incurred in accordance with this </w:t>
      </w:r>
      <w:r>
        <w:rPr>
          <w:rFonts w:ascii="Times New Roman" w:cs="Times New Roman" w:eastAsia="Times New Roman" w:hAnsi="Times New Roman"/>
          <w:sz w:val="19"/>
          <w:szCs w:val="19"/>
          <w:u w:val="single" w:color="auto"/>
          <w:color w:val="auto"/>
        </w:rPr>
        <w:t>Section 5.3(b)</w:t>
      </w:r>
      <w:r>
        <w:rPr>
          <w:rFonts w:ascii="Times New Roman" w:cs="Times New Roman" w:eastAsia="Times New Roman" w:hAnsi="Times New Roman"/>
          <w:sz w:val="19"/>
          <w:szCs w:val="19"/>
          <w:color w:val="auto"/>
        </w:rPr>
        <w:t xml:space="preserve">. Any disputes under this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with respect to whether a Product is Nonconforming will be resolved by a mutually agreeable independent testing lab.</w:t>
      </w:r>
    </w:p>
    <w:p>
      <w:pPr>
        <w:spacing w:after="0" w:line="154" w:lineRule="exact"/>
        <w:rPr>
          <w:sz w:val="20"/>
          <w:szCs w:val="20"/>
          <w:color w:val="auto"/>
        </w:rPr>
      </w:pPr>
    </w:p>
    <w:p>
      <w:pPr>
        <w:ind w:right="300" w:firstLine="944"/>
        <w:spacing w:after="0" w:line="215"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b w:val="1"/>
          <w:bCs w:val="1"/>
          <w:u w:val="single" w:color="auto"/>
          <w:color w:val="auto"/>
        </w:rPr>
        <w:t>Recordkeeping Audits</w:t>
      </w:r>
      <w:r>
        <w:rPr>
          <w:rFonts w:ascii="Times New Roman" w:cs="Times New Roman" w:eastAsia="Times New Roman" w:hAnsi="Times New Roman"/>
          <w:sz w:val="21"/>
          <w:szCs w:val="21"/>
          <w:color w:val="auto"/>
        </w:rPr>
        <w:t>. Each Party will maintain reasonable books and records relating to the payments hereunder and its compliance with the requirements of this MSA. During the Term, the other Party, directly or through its Representatives, shall have the right, no more than once per year, to audit such books and records and related materials to determine compliance with the requirements of this MSA. The audited Party shall make such books and records and related materials readily available for such audit. If any financial audit reveals an overpayment or underpayment, the overpaid or underpaying Party, as applicable shall promptly refund or pay the differential, and in the event that any such differential is greater than [*] percent of the total cost of the overall transaction subject to audit, then the Party responsible for the differential shall promptly reimburse the other Party for the reasonable out-of-pocket costs and expenses incurred in the conduct of the audit. The results of any such audit shall be Confidential Information of the audited Party.</w:t>
      </w:r>
    </w:p>
    <w:p>
      <w:pPr>
        <w:spacing w:after="0" w:line="151" w:lineRule="exact"/>
        <w:rPr>
          <w:sz w:val="20"/>
          <w:szCs w:val="20"/>
          <w:color w:val="auto"/>
        </w:rPr>
      </w:pPr>
    </w:p>
    <w:p>
      <w:pPr>
        <w:ind w:left="940"/>
        <w:spacing w:after="0"/>
        <w:tabs>
          <w:tab w:leader="none" w:pos="1700" w:val="left"/>
        </w:tabs>
        <w:rPr>
          <w:sz w:val="20"/>
          <w:szCs w:val="20"/>
          <w:color w:val="auto"/>
        </w:rPr>
      </w:pPr>
      <w:r>
        <w:rPr>
          <w:rFonts w:ascii="Times New Roman" w:cs="Times New Roman" w:eastAsia="Times New Roman" w:hAnsi="Times New Roman"/>
          <w:sz w:val="19"/>
          <w:szCs w:val="19"/>
          <w:color w:val="auto"/>
        </w:rPr>
        <w:t>5.5</w:t>
      </w:r>
      <w:r>
        <w:rPr>
          <w:sz w:val="20"/>
          <w:szCs w:val="20"/>
          <w:color w:val="auto"/>
        </w:rPr>
        <w:tab/>
      </w:r>
      <w:r>
        <w:rPr>
          <w:rFonts w:ascii="Times New Roman" w:cs="Times New Roman" w:eastAsia="Times New Roman" w:hAnsi="Times New Roman"/>
          <w:sz w:val="19"/>
          <w:szCs w:val="19"/>
          <w:b w:val="1"/>
          <w:bCs w:val="1"/>
          <w:u w:val="single" w:color="auto"/>
          <w:color w:val="auto"/>
        </w:rPr>
        <w:t>Information Rights</w:t>
      </w:r>
      <w:r>
        <w:rPr>
          <w:rFonts w:ascii="Times New Roman" w:cs="Times New Roman" w:eastAsia="Times New Roman" w:hAnsi="Times New Roman"/>
          <w:sz w:val="19"/>
          <w:szCs w:val="19"/>
          <w:color w:val="auto"/>
        </w:rPr>
        <w:t>. During the Term (and with respect to an installed Product, any remaining Limited</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9"/>
          <w:szCs w:val="19"/>
          <w:color w:val="auto"/>
        </w:rPr>
        <w:t xml:space="preserve">Warranty period thereafter), Enphase shall provide SunPower with the information set forth on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with respect to the performance of SunPower equipment using Products (“</w:t>
      </w:r>
      <w:r>
        <w:rPr>
          <w:rFonts w:ascii="Times New Roman" w:cs="Times New Roman" w:eastAsia="Times New Roman" w:hAnsi="Times New Roman"/>
          <w:sz w:val="19"/>
          <w:szCs w:val="19"/>
          <w:b w:val="1"/>
          <w:bCs w:val="1"/>
          <w:i w:val="1"/>
          <w:iCs w:val="1"/>
          <w:color w:val="auto"/>
        </w:rPr>
        <w:t>Product Data</w:t>
      </w:r>
      <w:r>
        <w:rPr>
          <w:rFonts w:ascii="Times New Roman" w:cs="Times New Roman" w:eastAsia="Times New Roman" w:hAnsi="Times New Roman"/>
          <w:sz w:val="19"/>
          <w:szCs w:val="19"/>
          <w:color w:val="auto"/>
        </w:rPr>
        <w:t>”). SunPower shall have the perpetual right to use and</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9"/>
          <w:szCs w:val="19"/>
          <w:color w:val="auto"/>
        </w:rPr>
        <w:t>analyze the Product Data provided for its internal purposes, subject in all cases to Laws and the requirements or restrictions in any applicable customer agreements. All such Product Data constitutes Confidential Information of the Parties. The Parties shall</w:t>
      </w:r>
    </w:p>
    <w:p>
      <w:pPr>
        <w:spacing w:after="0" w:line="217" w:lineRule="auto"/>
        <w:rPr>
          <w:sz w:val="20"/>
          <w:szCs w:val="20"/>
          <w:color w:val="auto"/>
        </w:rPr>
      </w:pPr>
      <w:r>
        <w:rPr>
          <w:rFonts w:ascii="Times New Roman" w:cs="Times New Roman" w:eastAsia="Times New Roman" w:hAnsi="Times New Roman"/>
          <w:sz w:val="19"/>
          <w:szCs w:val="19"/>
          <w:color w:val="auto"/>
        </w:rPr>
        <w:t>have no right to share Product Data with any Third Party or outside of written mutual agreement of the Parties, provided,</w:t>
      </w:r>
    </w:p>
    <w:p>
      <w:pPr>
        <w:spacing w:after="0" w:line="1" w:lineRule="exact"/>
        <w:rPr>
          <w:sz w:val="20"/>
          <w:szCs w:val="20"/>
          <w:color w:val="auto"/>
        </w:rPr>
      </w:pPr>
    </w:p>
    <w:p>
      <w:pPr>
        <w:ind w:right="240"/>
        <w:spacing w:after="0" w:line="208" w:lineRule="auto"/>
        <w:rPr>
          <w:sz w:val="20"/>
          <w:szCs w:val="20"/>
          <w:color w:val="auto"/>
        </w:rPr>
      </w:pPr>
      <w:r>
        <w:rPr>
          <w:rFonts w:ascii="Times New Roman" w:cs="Times New Roman" w:eastAsia="Times New Roman" w:hAnsi="Times New Roman"/>
          <w:sz w:val="19"/>
          <w:szCs w:val="19"/>
          <w:color w:val="auto"/>
        </w:rPr>
        <w:t>however that the foregoing will not limit Enphase’s rights to share any data regarding its products or the performance thereof provided that such information is not identified to SunPower or its equipment. Enphase will comply with SunPower’s Personal</w:t>
      </w:r>
    </w:p>
    <w:p>
      <w:pPr>
        <w:spacing w:after="0" w:line="217" w:lineRule="auto"/>
        <w:rPr>
          <w:sz w:val="20"/>
          <w:szCs w:val="20"/>
          <w:color w:val="auto"/>
        </w:rPr>
      </w:pPr>
      <w:r>
        <w:rPr>
          <w:rFonts w:ascii="Times New Roman" w:cs="Times New Roman" w:eastAsia="Times New Roman" w:hAnsi="Times New Roman"/>
          <w:sz w:val="19"/>
          <w:szCs w:val="19"/>
          <w:color w:val="auto"/>
        </w:rPr>
        <w:t>Data Protection Addendum and any amendments thereto, each upon Enphase’s written acceptance thereof, such acceptance not</w:t>
      </w:r>
    </w:p>
    <w:p>
      <w:pPr>
        <w:spacing w:after="0" w:line="1"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9"/>
          <w:szCs w:val="19"/>
          <w:color w:val="auto"/>
        </w:rPr>
        <w:t xml:space="preserve">to be unreasonably withheld, conditioned or delayed. SunPower’s rights to use Product Data as set forth in this </w:t>
      </w:r>
      <w:r>
        <w:rPr>
          <w:rFonts w:ascii="Times New Roman" w:cs="Times New Roman" w:eastAsia="Times New Roman" w:hAnsi="Times New Roman"/>
          <w:sz w:val="19"/>
          <w:szCs w:val="19"/>
          <w:u w:val="single" w:color="auto"/>
          <w:color w:val="auto"/>
        </w:rPr>
        <w:t>Section 5.5</w:t>
      </w:r>
      <w:r>
        <w:rPr>
          <w:rFonts w:ascii="Times New Roman" w:cs="Times New Roman" w:eastAsia="Times New Roman" w:hAnsi="Times New Roman"/>
          <w:sz w:val="19"/>
          <w:szCs w:val="19"/>
          <w:color w:val="auto"/>
        </w:rPr>
        <w:t xml:space="preserve"> shall survive any termination or expiration of this MSA.</w:t>
      </w:r>
    </w:p>
    <w:p>
      <w:pPr>
        <w:spacing w:after="0" w:line="155"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9"/>
          <w:szCs w:val="19"/>
          <w:b w:val="1"/>
          <w:bCs w:val="1"/>
          <w:color w:val="010000"/>
        </w:rPr>
        <w:t>ARTICLE VI</w:t>
      </w:r>
    </w:p>
    <w:p>
      <w:pPr>
        <w:spacing w:after="0" w:line="8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b w:val="1"/>
          <w:bCs w:val="1"/>
          <w:color w:val="auto"/>
        </w:rPr>
        <w:t>TERM, EVENTS OF DEFAULT, REMEDIES, AND TERMINATION</w:t>
      </w:r>
    </w:p>
    <w:p>
      <w:pPr>
        <w:spacing w:after="0" w:line="173" w:lineRule="exact"/>
        <w:rPr>
          <w:sz w:val="20"/>
          <w:szCs w:val="20"/>
          <w:color w:val="auto"/>
        </w:rPr>
      </w:pPr>
    </w:p>
    <w:p>
      <w:pPr>
        <w:ind w:right="260" w:firstLine="629"/>
        <w:spacing w:after="0" w:line="230"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b w:val="1"/>
          <w:bCs w:val="1"/>
          <w:u w:val="single" w:color="auto"/>
          <w:color w:val="auto"/>
        </w:rPr>
        <w:t>Term</w:t>
      </w:r>
      <w:r>
        <w:rPr>
          <w:rFonts w:ascii="Times New Roman" w:cs="Times New Roman" w:eastAsia="Times New Roman" w:hAnsi="Times New Roman"/>
          <w:sz w:val="19"/>
          <w:szCs w:val="19"/>
          <w:color w:val="auto"/>
        </w:rPr>
        <w:t>. This MSA shall remain in effect from the Effective Date through December 31, 2023 (“</w:t>
      </w:r>
      <w:r>
        <w:rPr>
          <w:rFonts w:ascii="Times New Roman" w:cs="Times New Roman" w:eastAsia="Times New Roman" w:hAnsi="Times New Roman"/>
          <w:sz w:val="19"/>
          <w:szCs w:val="19"/>
          <w:b w:val="1"/>
          <w:bCs w:val="1"/>
          <w:i w:val="1"/>
          <w:iCs w:val="1"/>
          <w:color w:val="auto"/>
        </w:rPr>
        <w:t>Initial Term</w:t>
      </w:r>
      <w:r>
        <w:rPr>
          <w:rFonts w:ascii="Times New Roman" w:cs="Times New Roman" w:eastAsia="Times New Roman" w:hAnsi="Times New Roman"/>
          <w:sz w:val="19"/>
          <w:szCs w:val="19"/>
          <w:color w:val="auto"/>
        </w:rPr>
        <w:t>”). The Initial Term shall automatically be extended for successive two-year periods (each a “</w:t>
      </w:r>
      <w:r>
        <w:rPr>
          <w:rFonts w:ascii="Times New Roman" w:cs="Times New Roman" w:eastAsia="Times New Roman" w:hAnsi="Times New Roman"/>
          <w:sz w:val="19"/>
          <w:szCs w:val="19"/>
          <w:b w:val="1"/>
          <w:bCs w:val="1"/>
          <w:i w:val="1"/>
          <w:iCs w:val="1"/>
          <w:color w:val="auto"/>
        </w:rPr>
        <w:t>Renewal Term</w:t>
      </w:r>
      <w:r>
        <w:rPr>
          <w:rFonts w:ascii="Times New Roman" w:cs="Times New Roman" w:eastAsia="Times New Roman" w:hAnsi="Times New Roman"/>
          <w:sz w:val="19"/>
          <w:szCs w:val="19"/>
          <w:color w:val="auto"/>
        </w:rPr>
        <w:t>”) unless either Party</w:t>
      </w:r>
    </w:p>
    <w:p>
      <w:pPr>
        <w:spacing w:after="0" w:line="1"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9"/>
          <w:szCs w:val="19"/>
          <w:color w:val="auto"/>
        </w:rPr>
        <w:t>gives written notice to the other Party of its intent not to renew the MSA no later than six months prior to the expiration of the then-current Initial Term or Renewal Term. In the event of termination of this MSA by either Party, or upon either Party’s</w:t>
      </w:r>
    </w:p>
    <w:p>
      <w:pPr>
        <w:spacing w:after="0" w:line="217" w:lineRule="auto"/>
        <w:rPr>
          <w:sz w:val="20"/>
          <w:szCs w:val="20"/>
          <w:color w:val="auto"/>
        </w:rPr>
      </w:pPr>
      <w:r>
        <w:rPr>
          <w:rFonts w:ascii="Times New Roman" w:cs="Times New Roman" w:eastAsia="Times New Roman" w:hAnsi="Times New Roman"/>
          <w:sz w:val="19"/>
          <w:szCs w:val="19"/>
          <w:color w:val="auto"/>
        </w:rPr>
        <w:t>decision to not renew any Term hereunder, SunPower may, up to six (6) months prior to the effective date of such termination or</w:t>
      </w:r>
    </w:p>
    <w:p>
      <w:pPr>
        <w:spacing w:after="0" w:line="1"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9"/>
          <w:szCs w:val="19"/>
          <w:color w:val="auto"/>
        </w:rPr>
        <w:t xml:space="preserve">non-renewal, begin transition planning activities with an alternative MLPE supplier without being in violation of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of this MSA or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xml:space="preserve"> of the APA, provided that such activities do not involve the commercial use or sale of Third-Party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products.</w:t>
      </w:r>
    </w:p>
    <w:p>
      <w:pPr>
        <w:spacing w:after="0" w:line="162" w:lineRule="exact"/>
        <w:rPr>
          <w:sz w:val="20"/>
          <w:szCs w:val="20"/>
          <w:color w:val="auto"/>
        </w:rPr>
      </w:pPr>
    </w:p>
    <w:p>
      <w:pPr>
        <w:ind w:right="380" w:firstLine="629"/>
        <w:spacing w:after="0" w:line="223"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b w:val="1"/>
          <w:bCs w:val="1"/>
          <w:u w:val="single" w:color="auto"/>
          <w:color w:val="auto"/>
        </w:rPr>
        <w:t>Termination and Events of Default</w:t>
      </w:r>
      <w:r>
        <w:rPr>
          <w:rFonts w:ascii="Times New Roman" w:cs="Times New Roman" w:eastAsia="Times New Roman" w:hAnsi="Times New Roman"/>
          <w:sz w:val="19"/>
          <w:szCs w:val="19"/>
          <w:color w:val="auto"/>
        </w:rPr>
        <w:t>. The occurrence of any of the following will constitute an “</w:t>
      </w:r>
      <w:r>
        <w:rPr>
          <w:rFonts w:ascii="Times New Roman" w:cs="Times New Roman" w:eastAsia="Times New Roman" w:hAnsi="Times New Roman"/>
          <w:sz w:val="19"/>
          <w:szCs w:val="19"/>
          <w:b w:val="1"/>
          <w:bCs w:val="1"/>
          <w:i w:val="1"/>
          <w:iCs w:val="1"/>
          <w:color w:val="auto"/>
        </w:rPr>
        <w:t>Event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Default</w:t>
      </w:r>
      <w:r>
        <w:rPr>
          <w:rFonts w:ascii="Times New Roman" w:cs="Times New Roman" w:eastAsia="Times New Roman" w:hAnsi="Times New Roman"/>
          <w:sz w:val="19"/>
          <w:szCs w:val="19"/>
          <w:color w:val="auto"/>
        </w:rPr>
        <w:t>” by Enphase or SunPower, as applicable, who will then be the “</w:t>
      </w:r>
      <w:r>
        <w:rPr>
          <w:rFonts w:ascii="Times New Roman" w:cs="Times New Roman" w:eastAsia="Times New Roman" w:hAnsi="Times New Roman"/>
          <w:sz w:val="19"/>
          <w:szCs w:val="19"/>
          <w:b w:val="1"/>
          <w:bCs w:val="1"/>
          <w:i w:val="1"/>
          <w:iCs w:val="1"/>
          <w:color w:val="auto"/>
        </w:rPr>
        <w:t>Defaulting Party</w:t>
      </w:r>
      <w:r>
        <w:rPr>
          <w:rFonts w:ascii="Times New Roman" w:cs="Times New Roman" w:eastAsia="Times New Roman" w:hAnsi="Times New Roman"/>
          <w:sz w:val="19"/>
          <w:szCs w:val="19"/>
          <w:color w:val="auto"/>
        </w:rPr>
        <w:t>”. The non-Defaulting Party may, at</w:t>
      </w:r>
    </w:p>
    <w:p>
      <w:pPr>
        <w:ind w:right="380"/>
        <w:spacing w:after="0" w:line="233" w:lineRule="auto"/>
        <w:rPr>
          <w:sz w:val="20"/>
          <w:szCs w:val="20"/>
          <w:color w:val="auto"/>
        </w:rPr>
      </w:pPr>
      <w:r>
        <w:rPr>
          <w:rFonts w:ascii="Times New Roman" w:cs="Times New Roman" w:eastAsia="Times New Roman" w:hAnsi="Times New Roman"/>
          <w:sz w:val="19"/>
          <w:szCs w:val="19"/>
          <w:color w:val="auto"/>
        </w:rPr>
        <w:t>its sole discretion, terminate the MSA by written notice to the Defaulting Party, provided that the non-Defaulting Party first provides the Defaulting Party prior written notice detailing such Event of Default, and the Defaulting Party fails to cure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0180"/>
          </w:cols>
          <w:pgMar w:left="1380" w:top="100"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 w:right="400"/>
        <w:spacing w:after="0" w:line="236" w:lineRule="auto"/>
        <w:rPr>
          <w:sz w:val="20"/>
          <w:szCs w:val="20"/>
          <w:color w:val="auto"/>
        </w:rPr>
      </w:pPr>
      <w:r>
        <w:rPr>
          <w:rFonts w:ascii="Times New Roman" w:cs="Times New Roman" w:eastAsia="Times New Roman" w:hAnsi="Times New Roman"/>
          <w:sz w:val="19"/>
          <w:szCs w:val="19"/>
          <w:color w:val="auto"/>
        </w:rPr>
        <w:t>Event of Default within [*] after receipt of such written notice or such shorter cure period as set forth below. Any such termination must occur within [*] after the expiration of the applicable cure period unless otherwise agreed to in writing by the Parties.</w:t>
      </w:r>
    </w:p>
    <w:p>
      <w:pPr>
        <w:spacing w:after="0" w:line="140" w:lineRule="exact"/>
        <w:rPr>
          <w:sz w:val="20"/>
          <w:szCs w:val="20"/>
          <w:color w:val="auto"/>
        </w:rPr>
      </w:pPr>
    </w:p>
    <w:p>
      <w:pPr>
        <w:ind w:left="2086" w:hanging="827"/>
        <w:spacing w:after="0"/>
        <w:tabs>
          <w:tab w:leader="none" w:pos="2086"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Enphase’s Default</w:t>
      </w:r>
      <w:r>
        <w:rPr>
          <w:rFonts w:ascii="Times New Roman" w:cs="Times New Roman" w:eastAsia="Times New Roman" w:hAnsi="Times New Roman"/>
          <w:sz w:val="19"/>
          <w:szCs w:val="19"/>
          <w:color w:val="auto"/>
        </w:rPr>
        <w:t>. Enphase will be the Defaulting Party upon the occurrence of any of the</w:t>
      </w:r>
    </w:p>
    <w:p>
      <w:pPr>
        <w:spacing w:after="0" w:line="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following:</w:t>
      </w:r>
    </w:p>
    <w:p>
      <w:pPr>
        <w:spacing w:after="0" w:line="166" w:lineRule="exact"/>
        <w:rPr>
          <w:sz w:val="20"/>
          <w:szCs w:val="20"/>
          <w:color w:val="auto"/>
        </w:rPr>
      </w:pPr>
    </w:p>
    <w:p>
      <w:pPr>
        <w:jc w:val="both"/>
        <w:ind w:left="6" w:right="200" w:firstLine="1882"/>
        <w:spacing w:after="0" w:line="217" w:lineRule="auto"/>
        <w:tabs>
          <w:tab w:leader="none" w:pos="2102" w:val="left"/>
        </w:tabs>
        <w:numPr>
          <w:ilvl w:val="2"/>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Enphase fails in [*] to deliver at least [*] of Products pursuant to accepted Purchase Orders to the Origin Port within five Business Days after the Delivery Date in accordance with Delivery Lead Times (excluding any delays due to acts or omissions of SunPower or its Representatives or to Force Majeure). Upon notice to Enphase of this Event of Default, Enphase will promptly provide SunPower with a remediation plan to address late deliveries (“</w:t>
      </w:r>
      <w:r>
        <w:rPr>
          <w:rFonts w:ascii="Times New Roman" w:cs="Times New Roman" w:eastAsia="Times New Roman" w:hAnsi="Times New Roman"/>
          <w:sz w:val="19"/>
          <w:szCs w:val="19"/>
          <w:b w:val="1"/>
          <w:bCs w:val="1"/>
          <w:i w:val="1"/>
          <w:iCs w:val="1"/>
          <w:color w:val="auto"/>
        </w:rPr>
        <w:t>Late Delivery Remediation Plan</w:t>
      </w:r>
      <w:r>
        <w:rPr>
          <w:rFonts w:ascii="Times New Roman" w:cs="Times New Roman" w:eastAsia="Times New Roman" w:hAnsi="Times New Roman"/>
          <w:sz w:val="19"/>
          <w:szCs w:val="19"/>
          <w:color w:val="auto"/>
        </w:rPr>
        <w:t>”). If the proposed Late Delivery Remediation Plan is not agreeable to SunPower, the Parties will negotiate in good faith to establish a mutually agreeable Late Delivery Remediation Plan, each Party’s agreement will not be unreasonably withheld, conditioned, or delayed. If the Parties are not able to mutually agree on a Late Delivery Remediation Plan within 90 days of SunPower’s notice of this Event of Default, despite such good faith negotiations, then SunPower may, at its sole discretion, immediately terminate the MSA by written notice to Enphase;</w:t>
      </w:r>
    </w:p>
    <w:p>
      <w:pPr>
        <w:spacing w:after="0" w:line="145" w:lineRule="exact"/>
        <w:rPr>
          <w:rFonts w:ascii="Times New Roman" w:cs="Times New Roman" w:eastAsia="Times New Roman" w:hAnsi="Times New Roman"/>
          <w:sz w:val="19"/>
          <w:szCs w:val="19"/>
          <w:color w:val="auto"/>
        </w:rPr>
      </w:pPr>
    </w:p>
    <w:p>
      <w:pPr>
        <w:jc w:val="both"/>
        <w:ind w:left="6" w:right="200" w:firstLine="1882"/>
        <w:spacing w:after="0" w:line="219" w:lineRule="auto"/>
        <w:tabs>
          <w:tab w:leader="none" w:pos="2732" w:val="left"/>
        </w:tabs>
        <w:numPr>
          <w:ilvl w:val="2"/>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any [*] period (each a “</w:t>
      </w:r>
      <w:r>
        <w:rPr>
          <w:rFonts w:ascii="Times New Roman" w:cs="Times New Roman" w:eastAsia="Times New Roman" w:hAnsi="Times New Roman"/>
          <w:sz w:val="19"/>
          <w:szCs w:val="19"/>
          <w:b w:val="1"/>
          <w:bCs w:val="1"/>
          <w:i w:val="1"/>
          <w:iCs w:val="1"/>
          <w:color w:val="auto"/>
        </w:rPr>
        <w:t>Measurement Period</w:t>
      </w:r>
      <w:r>
        <w:rPr>
          <w:rFonts w:ascii="Times New Roman" w:cs="Times New Roman" w:eastAsia="Times New Roman" w:hAnsi="Times New Roman"/>
          <w:sz w:val="19"/>
          <w:szCs w:val="19"/>
          <w:color w:val="auto"/>
        </w:rPr>
        <w:t>”), the RMA rate for Defective Products that are MLPEs installed in any calendar year during the Term (the “</w:t>
      </w:r>
      <w:r>
        <w:rPr>
          <w:rFonts w:ascii="Times New Roman" w:cs="Times New Roman" w:eastAsia="Times New Roman" w:hAnsi="Times New Roman"/>
          <w:sz w:val="19"/>
          <w:szCs w:val="19"/>
          <w:b w:val="1"/>
          <w:bCs w:val="1"/>
          <w:i w:val="1"/>
          <w:iCs w:val="1"/>
          <w:color w:val="auto"/>
        </w:rPr>
        <w:t>Annual PPM</w:t>
      </w:r>
      <w:r>
        <w:rPr>
          <w:rFonts w:ascii="Times New Roman" w:cs="Times New Roman" w:eastAsia="Times New Roman" w:hAnsi="Times New Roman"/>
          <w:sz w:val="19"/>
          <w:szCs w:val="19"/>
          <w:color w:val="auto"/>
        </w:rPr>
        <w:t>”) exceeds [*] (the “</w:t>
      </w:r>
      <w:r>
        <w:rPr>
          <w:rFonts w:ascii="Times New Roman" w:cs="Times New Roman" w:eastAsia="Times New Roman" w:hAnsi="Times New Roman"/>
          <w:sz w:val="19"/>
          <w:szCs w:val="19"/>
          <w:b w:val="1"/>
          <w:bCs w:val="1"/>
          <w:i w:val="1"/>
          <w:iCs w:val="1"/>
          <w:color w:val="auto"/>
        </w:rPr>
        <w:t>RMA Threshold</w:t>
      </w:r>
      <w:r>
        <w:rPr>
          <w:rFonts w:ascii="Times New Roman" w:cs="Times New Roman" w:eastAsia="Times New Roman" w:hAnsi="Times New Roman"/>
          <w:sz w:val="19"/>
          <w:szCs w:val="19"/>
          <w:color w:val="auto"/>
        </w:rPr>
        <w:t>”) and Enphase fails to repair or replace the Defective Products within the applicable [*] cure period. At any time, the Annual PPM with respect to a given calendar year shall be calculated as units installed in that calendar year that were RMA’ed over the prior twelve</w:t>
      </w:r>
    </w:p>
    <w:p>
      <w:pPr>
        <w:spacing w:after="0" w:line="2" w:lineRule="exact"/>
        <w:rPr>
          <w:rFonts w:ascii="Times New Roman" w:cs="Times New Roman" w:eastAsia="Times New Roman" w:hAnsi="Times New Roman"/>
          <w:sz w:val="19"/>
          <w:szCs w:val="19"/>
          <w:color w:val="auto"/>
        </w:rPr>
      </w:pPr>
    </w:p>
    <w:p>
      <w:pPr>
        <w:jc w:val="both"/>
        <w:ind w:left="6" w:right="200" w:hanging="6"/>
        <w:spacing w:after="0" w:line="215" w:lineRule="auto"/>
        <w:tabs>
          <w:tab w:leader="none" w:pos="383"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divided by the total number of units installed for that calendar year, expressed in parts per million. For example, if [*] units were installed in [*], the RMA Threshold for the [*] calendar year would be [*] units. Of the units installed in [*], if, for example, there were more than [*] RMA’ed units between [*], then Enphase has failed to meet the necessary RMA rate for the [*] calendar year. Upon notice to Enphase of this Event of Default, Enphase will promptly provide SunPower with an RMA remediation plan (“</w:t>
      </w:r>
      <w:r>
        <w:rPr>
          <w:rFonts w:ascii="Times New Roman" w:cs="Times New Roman" w:eastAsia="Times New Roman" w:hAnsi="Times New Roman"/>
          <w:sz w:val="19"/>
          <w:szCs w:val="19"/>
          <w:b w:val="1"/>
          <w:bCs w:val="1"/>
          <w:i w:val="1"/>
          <w:iCs w:val="1"/>
          <w:color w:val="auto"/>
        </w:rPr>
        <w:t>RMA Remediation Plan</w:t>
      </w:r>
      <w:r>
        <w:rPr>
          <w:rFonts w:ascii="Times New Roman" w:cs="Times New Roman" w:eastAsia="Times New Roman" w:hAnsi="Times New Roman"/>
          <w:sz w:val="19"/>
          <w:szCs w:val="19"/>
          <w:color w:val="auto"/>
        </w:rPr>
        <w:t>”). If the proposed RMA Remediation Plan is not agreeable to SunPower, the Parties will negotiate in good faith to establish a mutually agreeable RMA Remediation Plan, each Party’s agreement will not be unreasonably withheld, conditioned, or delayed. If the Parties are not able to mutually agree on an RMA Remediation Plan within [*] of SunPower’s notice of this Event of Default, despite such good faith negotiations, then SunPower may, at its sole discretion, immediately terminate the MSA by written notice to Enphase; or</w:t>
      </w:r>
    </w:p>
    <w:p>
      <w:pPr>
        <w:spacing w:after="0" w:line="157" w:lineRule="exact"/>
        <w:rPr>
          <w:rFonts w:ascii="Times New Roman" w:cs="Times New Roman" w:eastAsia="Times New Roman" w:hAnsi="Times New Roman"/>
          <w:sz w:val="19"/>
          <w:szCs w:val="19"/>
          <w:color w:val="auto"/>
        </w:rPr>
      </w:pPr>
    </w:p>
    <w:p>
      <w:pPr>
        <w:jc w:val="both"/>
        <w:ind w:left="6" w:right="260" w:firstLine="1882"/>
        <w:spacing w:after="0"/>
        <w:tabs>
          <w:tab w:leader="none" w:pos="2733" w:val="left"/>
        </w:tabs>
        <w:numPr>
          <w:ilvl w:val="2"/>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Enphase becomes the subject of any proceeding under bankruptcy, receivership, insolvency or similar laws, which proceedings are not dismissed as to Enphase within thirty (30) calendar days after being instituted, provided, however that a reorganization under Chapter 11 of the U.S. Bankruptcy Code or similar proceeding will not trigger this provision.</w:t>
      </w:r>
    </w:p>
    <w:p>
      <w:pPr>
        <w:spacing w:after="0" w:line="315" w:lineRule="exact"/>
        <w:rPr>
          <w:rFonts w:ascii="Times New Roman" w:cs="Times New Roman" w:eastAsia="Times New Roman" w:hAnsi="Times New Roman"/>
          <w:sz w:val="19"/>
          <w:szCs w:val="19"/>
          <w:color w:val="auto"/>
        </w:rPr>
      </w:pPr>
    </w:p>
    <w:p>
      <w:pPr>
        <w:ind w:left="2086" w:hanging="827"/>
        <w:spacing w:after="0"/>
        <w:tabs>
          <w:tab w:leader="none" w:pos="2086"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SunPower’s Default</w:t>
      </w:r>
      <w:r>
        <w:rPr>
          <w:rFonts w:ascii="Times New Roman" w:cs="Times New Roman" w:eastAsia="Times New Roman" w:hAnsi="Times New Roman"/>
          <w:sz w:val="19"/>
          <w:szCs w:val="19"/>
          <w:color w:val="auto"/>
        </w:rPr>
        <w:t>. SunPower will be the Defaulting Party upon the occurrence of any of the</w:t>
      </w:r>
    </w:p>
    <w:p>
      <w:pPr>
        <w:ind w:left="6"/>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w:t>
      </w:r>
    </w:p>
    <w:p>
      <w:pPr>
        <w:spacing w:after="0" w:line="166" w:lineRule="exact"/>
        <w:rPr>
          <w:rFonts w:ascii="Times New Roman" w:cs="Times New Roman" w:eastAsia="Times New Roman" w:hAnsi="Times New Roman"/>
          <w:sz w:val="19"/>
          <w:szCs w:val="19"/>
          <w:color w:val="auto"/>
        </w:rPr>
      </w:pPr>
    </w:p>
    <w:p>
      <w:pPr>
        <w:ind w:left="6" w:right="340" w:firstLine="1882"/>
        <w:spacing w:after="0" w:line="252" w:lineRule="auto"/>
        <w:tabs>
          <w:tab w:leader="none" w:pos="2102"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SunPower breaches the exclusivity requirements of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or the noncompete provisions of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xml:space="preserve"> of the APA; or</w:t>
      </w:r>
    </w:p>
    <w:p>
      <w:pPr>
        <w:spacing w:after="0" w:line="131" w:lineRule="exact"/>
        <w:rPr>
          <w:rFonts w:ascii="Times New Roman" w:cs="Times New Roman" w:eastAsia="Times New Roman" w:hAnsi="Times New Roman"/>
          <w:sz w:val="19"/>
          <w:szCs w:val="19"/>
          <w:color w:val="auto"/>
        </w:rPr>
      </w:pPr>
    </w:p>
    <w:p>
      <w:pPr>
        <w:jc w:val="both"/>
        <w:ind w:left="6" w:right="340" w:firstLine="1882"/>
        <w:spacing w:after="0" w:line="227" w:lineRule="auto"/>
        <w:tabs>
          <w:tab w:leader="none" w:pos="2732"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SunPower becomes the subject of any proceeding under bankruptcy, receivership, insolvency or similar laws, which proceedings are not dismissed as to SunPower within thirty (30) calendar days after being instituted, provided, however that a reorganization under Chapter 11 of the U.S. Bankruptcy Code or similar proceeding will not trigger this provision.</w:t>
      </w:r>
    </w:p>
    <w:p>
      <w:pPr>
        <w:spacing w:after="0" w:line="154" w:lineRule="exact"/>
        <w:rPr>
          <w:rFonts w:ascii="Times New Roman" w:cs="Times New Roman" w:eastAsia="Times New Roman" w:hAnsi="Times New Roman"/>
          <w:sz w:val="19"/>
          <w:szCs w:val="19"/>
          <w:color w:val="auto"/>
        </w:rPr>
      </w:pPr>
    </w:p>
    <w:p>
      <w:pPr>
        <w:ind w:left="6" w:right="280" w:firstLine="1253"/>
        <w:spacing w:after="0" w:line="254" w:lineRule="auto"/>
        <w:tabs>
          <w:tab w:leader="none" w:pos="2094"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Remedies Cumulative</w:t>
      </w:r>
      <w:r>
        <w:rPr>
          <w:rFonts w:ascii="Times New Roman" w:cs="Times New Roman" w:eastAsia="Times New Roman" w:hAnsi="Times New Roman"/>
          <w:sz w:val="19"/>
          <w:szCs w:val="19"/>
          <w:color w:val="auto"/>
        </w:rPr>
        <w:t>. The rights and remedies under this MSA are cumulative. No exercise of one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right or remedy will be deemed an election, and no waiver of an Event of Default will constitute a continuing waiver.</w:t>
      </w:r>
    </w:p>
    <w:p>
      <w:pPr>
        <w:spacing w:after="0" w:line="128" w:lineRule="exact"/>
        <w:rPr>
          <w:sz w:val="20"/>
          <w:szCs w:val="20"/>
          <w:color w:val="auto"/>
        </w:rPr>
      </w:pPr>
    </w:p>
    <w:p>
      <w:pPr>
        <w:ind w:left="626"/>
        <w:spacing w:after="0"/>
        <w:tabs>
          <w:tab w:leader="none" w:pos="1226" w:val="left"/>
        </w:tabs>
        <w:rPr>
          <w:sz w:val="20"/>
          <w:szCs w:val="20"/>
          <w:color w:val="auto"/>
        </w:rPr>
      </w:pPr>
      <w:r>
        <w:rPr>
          <w:rFonts w:ascii="Times New Roman" w:cs="Times New Roman" w:eastAsia="Times New Roman" w:hAnsi="Times New Roman"/>
          <w:sz w:val="19"/>
          <w:szCs w:val="19"/>
          <w:color w:val="auto"/>
        </w:rPr>
        <w:t>6.3</w:t>
      </w:r>
      <w:r>
        <w:rPr>
          <w:sz w:val="20"/>
          <w:szCs w:val="20"/>
          <w:color w:val="auto"/>
        </w:rPr>
        <w:tab/>
      </w:r>
      <w:r>
        <w:rPr>
          <w:rFonts w:ascii="Times New Roman" w:cs="Times New Roman" w:eastAsia="Times New Roman" w:hAnsi="Times New Roman"/>
          <w:sz w:val="19"/>
          <w:szCs w:val="19"/>
          <w:b w:val="1"/>
          <w:bCs w:val="1"/>
          <w:u w:val="single" w:color="auto"/>
          <w:color w:val="auto"/>
        </w:rPr>
        <w:t>Effect of Termination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66"/>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0186"/>
          </w:cols>
          <w:pgMar w:left="1374" w:top="101"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360" w:firstLine="1253"/>
        <w:spacing w:after="0" w:line="225" w:lineRule="auto"/>
        <w:tabs>
          <w:tab w:leader="none" w:pos="2088"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expiration or termination of this MSA, all accrued payments owed by one Party to the other Party for Products under this MSA shall become immediately due and payable, without further notice; however, no new payment obligations will arise with respect to any activities after expiration or termination, except as provided in </w:t>
      </w:r>
      <w:r>
        <w:rPr>
          <w:rFonts w:ascii="Times New Roman" w:cs="Times New Roman" w:eastAsia="Times New Roman" w:hAnsi="Times New Roman"/>
          <w:sz w:val="19"/>
          <w:szCs w:val="19"/>
          <w:u w:val="single" w:color="auto"/>
          <w:color w:val="auto"/>
        </w:rPr>
        <w:t>Section 6.3(b)</w:t>
      </w:r>
      <w:r>
        <w:rPr>
          <w:rFonts w:ascii="Times New Roman" w:cs="Times New Roman" w:eastAsia="Times New Roman" w:hAnsi="Times New Roman"/>
          <w:sz w:val="19"/>
          <w:szCs w:val="19"/>
          <w:color w:val="auto"/>
        </w:rPr>
        <w:t xml:space="preserve"> below. In addition, neither termination nor expiration of this MSA will affect either Party’s rights or obligations arising under this MSA that accrued prior to such expiration or termination.</w:t>
      </w:r>
    </w:p>
    <w:p>
      <w:pPr>
        <w:spacing w:after="0" w:line="156" w:lineRule="exact"/>
        <w:rPr>
          <w:rFonts w:ascii="Times New Roman" w:cs="Times New Roman" w:eastAsia="Times New Roman" w:hAnsi="Times New Roman"/>
          <w:sz w:val="19"/>
          <w:szCs w:val="19"/>
          <w:color w:val="auto"/>
        </w:rPr>
      </w:pPr>
    </w:p>
    <w:p>
      <w:pPr>
        <w:jc w:val="both"/>
        <w:ind w:right="360" w:firstLine="1253"/>
        <w:spacing w:after="0" w:line="223" w:lineRule="auto"/>
        <w:tabs>
          <w:tab w:leader="none" w:pos="2086"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termination of this MSA, subject to the terms of this MSA, Enphase and SunPower will honor any Order Acknowledgments that have been issued by Enphase before this MSA terminates or expires, and SunPower will pay for Products delivered pursuant to such acknowledged Purchase Orders. This MSA will continue in effect solely as to such Order Acknowledgments until the applicable Purchase Orders are fully performed.</w:t>
      </w:r>
    </w:p>
    <w:p>
      <w:pPr>
        <w:spacing w:after="0" w:line="156"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19"/>
          <w:szCs w:val="19"/>
          <w:color w:val="auto"/>
        </w:rPr>
        <w:t>6.4</w:t>
      </w:r>
      <w:r>
        <w:rPr>
          <w:sz w:val="20"/>
          <w:szCs w:val="20"/>
          <w:color w:val="auto"/>
        </w:rPr>
        <w:tab/>
      </w:r>
      <w:r>
        <w:rPr>
          <w:rFonts w:ascii="Times New Roman" w:cs="Times New Roman" w:eastAsia="Times New Roman" w:hAnsi="Times New Roman"/>
          <w:sz w:val="19"/>
          <w:szCs w:val="19"/>
          <w:b w:val="1"/>
          <w:bCs w:val="1"/>
          <w:u w:val="single" w:color="auto"/>
          <w:color w:val="auto"/>
        </w:rPr>
        <w:t>Survival</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u w:val="single" w:color="auto"/>
          <w:color w:val="auto"/>
        </w:rPr>
        <w:t>Sections 2.9, 4.1, 4.3, 4.5, 5.5, 6.5, 7.1</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u w:val="single" w:color="auto"/>
          <w:color w:val="auto"/>
        </w:rPr>
        <w:t>Articles VIII</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u w:val="single" w:color="auto"/>
          <w:color w:val="auto"/>
        </w:rPr>
        <w:t>IX</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will survive any termination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MSA.</w:t>
      </w:r>
    </w:p>
    <w:p>
      <w:pPr>
        <w:spacing w:after="0" w:line="15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6.5</w:t>
      </w:r>
      <w:r>
        <w:rPr>
          <w:sz w:val="20"/>
          <w:szCs w:val="20"/>
          <w:color w:val="auto"/>
        </w:rPr>
        <w:tab/>
      </w:r>
      <w:r>
        <w:rPr>
          <w:rFonts w:ascii="Times New Roman" w:cs="Times New Roman" w:eastAsia="Times New Roman" w:hAnsi="Times New Roman"/>
          <w:sz w:val="19"/>
          <w:szCs w:val="19"/>
          <w:b w:val="1"/>
          <w:bCs w:val="1"/>
          <w:u w:val="single" w:color="auto"/>
          <w:color w:val="auto"/>
        </w:rPr>
        <w:t>Continuity of Supply</w:t>
      </w:r>
      <w:r>
        <w:rPr>
          <w:rFonts w:ascii="Times New Roman" w:cs="Times New Roman" w:eastAsia="Times New Roman" w:hAnsi="Times New Roman"/>
          <w:sz w:val="19"/>
          <w:szCs w:val="19"/>
          <w:color w:val="auto"/>
        </w:rPr>
        <w:t>. In the event of any termination pursuant to</w:t>
      </w:r>
    </w:p>
    <w:p>
      <w:pPr>
        <w:spacing w:after="0" w:line="218" w:lineRule="auto"/>
        <w:rPr>
          <w:sz w:val="20"/>
          <w:szCs w:val="20"/>
          <w:color w:val="auto"/>
        </w:rPr>
      </w:pPr>
      <w:r>
        <w:rPr>
          <w:rFonts w:ascii="Times New Roman" w:cs="Times New Roman" w:eastAsia="Times New Roman" w:hAnsi="Times New Roman"/>
          <w:sz w:val="19"/>
          <w:szCs w:val="19"/>
          <w:u w:val="single" w:color="auto"/>
          <w:color w:val="auto"/>
        </w:rPr>
        <w:t>Section 6.2(a)(iii)</w:t>
      </w:r>
      <w:r>
        <w:rPr>
          <w:rFonts w:ascii="Times New Roman" w:cs="Times New Roman" w:eastAsia="Times New Roman" w:hAnsi="Times New Roman"/>
          <w:sz w:val="19"/>
          <w:szCs w:val="19"/>
          <w:color w:val="auto"/>
        </w:rPr>
        <w:t>, Enphase will cooperate with SunPower and facilitate supply agreements between Enphase’s MLPE and Cable</w:t>
      </w:r>
    </w:p>
    <w:p>
      <w:pPr>
        <w:ind w:right="220"/>
        <w:spacing w:after="0" w:line="208" w:lineRule="auto"/>
        <w:rPr>
          <w:sz w:val="20"/>
          <w:szCs w:val="20"/>
          <w:color w:val="auto"/>
        </w:rPr>
      </w:pPr>
      <w:r>
        <w:rPr>
          <w:rFonts w:ascii="Times New Roman" w:cs="Times New Roman" w:eastAsia="Times New Roman" w:hAnsi="Times New Roman"/>
          <w:sz w:val="19"/>
          <w:szCs w:val="19"/>
          <w:color w:val="auto"/>
        </w:rPr>
        <w:t>Products contract manufacturers and suppliers being used by Enphase to fulfill the requirements of this MSA. Enphase will also provide its MLPE and Cable Products contract manufacturers and suppliers with commercially reasonable Intellectual Property</w:t>
      </w:r>
    </w:p>
    <w:p>
      <w:pPr>
        <w:spacing w:after="0" w:line="217" w:lineRule="auto"/>
        <w:rPr>
          <w:sz w:val="20"/>
          <w:szCs w:val="20"/>
          <w:color w:val="auto"/>
        </w:rPr>
      </w:pPr>
      <w:r>
        <w:rPr>
          <w:rFonts w:ascii="Times New Roman" w:cs="Times New Roman" w:eastAsia="Times New Roman" w:hAnsi="Times New Roman"/>
          <w:sz w:val="19"/>
          <w:szCs w:val="19"/>
          <w:color w:val="auto"/>
        </w:rPr>
        <w:t>licenses to Enphase’s Intellectual Property in the Products being supplied to SunPower under this MSA as of the effective date of</w:t>
      </w:r>
    </w:p>
    <w:p>
      <w:pPr>
        <w:spacing w:after="0" w:line="1" w:lineRule="exact"/>
        <w:rPr>
          <w:sz w:val="20"/>
          <w:szCs w:val="20"/>
          <w:color w:val="auto"/>
        </w:rPr>
      </w:pPr>
    </w:p>
    <w:p>
      <w:pPr>
        <w:jc w:val="both"/>
        <w:ind w:right="220"/>
        <w:spacing w:after="0" w:line="208" w:lineRule="auto"/>
        <w:rPr>
          <w:sz w:val="20"/>
          <w:szCs w:val="20"/>
          <w:color w:val="auto"/>
        </w:rPr>
      </w:pPr>
      <w:r>
        <w:rPr>
          <w:rFonts w:ascii="Times New Roman" w:cs="Times New Roman" w:eastAsia="Times New Roman" w:hAnsi="Times New Roman"/>
          <w:sz w:val="19"/>
          <w:szCs w:val="19"/>
          <w:color w:val="auto"/>
        </w:rPr>
        <w:t>such termination, but only to the extent necessary to facilitate such supply agreements. SunPower will also have the right, without the requirement of a bond or other form of security, to (i) seek all necessary and appropriate injunctive relief, and (ii)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seek appointment of a receiver to assume, manage, and effectuate the rights in this </w:t>
      </w:r>
      <w:r>
        <w:rPr>
          <w:rFonts w:ascii="Times New Roman" w:cs="Times New Roman" w:eastAsia="Times New Roman" w:hAnsi="Times New Roman"/>
          <w:sz w:val="19"/>
          <w:szCs w:val="19"/>
          <w:u w:val="single" w:color="auto"/>
          <w:color w:val="auto"/>
        </w:rPr>
        <w:t>Section 6.5</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92"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9"/>
          <w:szCs w:val="19"/>
          <w:b w:val="1"/>
          <w:bCs w:val="1"/>
          <w:color w:val="010000"/>
        </w:rPr>
        <w:t>ARTICLE VII</w:t>
      </w:r>
    </w:p>
    <w:p>
      <w:pPr>
        <w:spacing w:after="0" w:line="7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b w:val="1"/>
          <w:bCs w:val="1"/>
          <w:color w:val="auto"/>
        </w:rPr>
        <w:t>CONFIDENTIALITY</w:t>
      </w:r>
    </w:p>
    <w:p>
      <w:pPr>
        <w:spacing w:after="0" w:line="188" w:lineRule="exact"/>
        <w:rPr>
          <w:sz w:val="20"/>
          <w:szCs w:val="20"/>
          <w:color w:val="auto"/>
        </w:rPr>
      </w:pPr>
    </w:p>
    <w:p>
      <w:pPr>
        <w:ind w:right="340" w:firstLine="629"/>
        <w:spacing w:after="0" w:line="222" w:lineRule="auto"/>
        <w:rPr>
          <w:sz w:val="20"/>
          <w:szCs w:val="20"/>
          <w:color w:val="auto"/>
        </w:rPr>
      </w:pPr>
      <w:r>
        <w:rPr>
          <w:rFonts w:ascii="Times New Roman" w:cs="Times New Roman" w:eastAsia="Times New Roman" w:hAnsi="Times New Roman"/>
          <w:sz w:val="19"/>
          <w:szCs w:val="19"/>
          <w:color w:val="auto"/>
        </w:rPr>
        <w:t xml:space="preserve">7.1 </w:t>
      </w:r>
      <w:r>
        <w:rPr>
          <w:rFonts w:ascii="Times New Roman" w:cs="Times New Roman" w:eastAsia="Times New Roman" w:hAnsi="Times New Roman"/>
          <w:sz w:val="19"/>
          <w:szCs w:val="19"/>
          <w:b w:val="1"/>
          <w:bCs w:val="1"/>
          <w:u w:val="single" w:color="auto"/>
          <w:color w:val="auto"/>
        </w:rPr>
        <w:t>Confidentiality; Public Disclosure</w:t>
      </w:r>
      <w:r>
        <w:rPr>
          <w:rFonts w:ascii="Times New Roman" w:cs="Times New Roman" w:eastAsia="Times New Roman" w:hAnsi="Times New Roman"/>
          <w:sz w:val="19"/>
          <w:szCs w:val="19"/>
          <w:color w:val="auto"/>
        </w:rPr>
        <w:t>. The Parties acknowledge that they have previously executed a Non-Disclosure Agreement dated April 16, 2018 (“</w:t>
      </w:r>
      <w:r>
        <w:rPr>
          <w:rFonts w:ascii="Times New Roman" w:cs="Times New Roman" w:eastAsia="Times New Roman" w:hAnsi="Times New Roman"/>
          <w:sz w:val="19"/>
          <w:szCs w:val="19"/>
          <w:b w:val="1"/>
          <w:bCs w:val="1"/>
          <w:i w:val="1"/>
          <w:iCs w:val="1"/>
          <w:color w:val="auto"/>
        </w:rPr>
        <w:t>Confidentiality Agreement</w:t>
      </w:r>
      <w:r>
        <w:rPr>
          <w:rFonts w:ascii="Times New Roman" w:cs="Times New Roman" w:eastAsia="Times New Roman" w:hAnsi="Times New Roman"/>
          <w:sz w:val="19"/>
          <w:szCs w:val="19"/>
          <w:color w:val="auto"/>
        </w:rPr>
        <w:t>”) which shall continue in full force and effect and</w:t>
      </w:r>
    </w:p>
    <w:p>
      <w:pPr>
        <w:spacing w:after="0" w:line="216" w:lineRule="auto"/>
        <w:rPr>
          <w:sz w:val="20"/>
          <w:szCs w:val="20"/>
          <w:color w:val="auto"/>
        </w:rPr>
      </w:pPr>
      <w:r>
        <w:rPr>
          <w:rFonts w:ascii="Times New Roman" w:cs="Times New Roman" w:eastAsia="Times New Roman" w:hAnsi="Times New Roman"/>
          <w:sz w:val="19"/>
          <w:szCs w:val="19"/>
          <w:color w:val="auto"/>
        </w:rPr>
        <w:t>shall apply to all Confidential Information (as defined in that Confidentiality Agreement) disclosed by either Party in the course</w:t>
      </w:r>
    </w:p>
    <w:p>
      <w:pPr>
        <w:ind w:right="340"/>
        <w:spacing w:after="0" w:line="208" w:lineRule="auto"/>
        <w:rPr>
          <w:sz w:val="20"/>
          <w:szCs w:val="20"/>
          <w:color w:val="auto"/>
        </w:rPr>
      </w:pPr>
      <w:r>
        <w:rPr>
          <w:rFonts w:ascii="Times New Roman" w:cs="Times New Roman" w:eastAsia="Times New Roman" w:hAnsi="Times New Roman"/>
          <w:sz w:val="19"/>
          <w:szCs w:val="19"/>
          <w:color w:val="auto"/>
        </w:rPr>
        <w:t>of the transactions contemplated pursuant this MSA. From and after the Effective Date, neither Party nor its Representatives shall, directly or indirectly, issue any press release or other public statement relating to the terms of this MSA or use the other</w:t>
      </w:r>
    </w:p>
    <w:p>
      <w:pPr>
        <w:spacing w:after="0" w:line="217" w:lineRule="auto"/>
        <w:rPr>
          <w:sz w:val="20"/>
          <w:szCs w:val="20"/>
          <w:color w:val="auto"/>
        </w:rPr>
      </w:pPr>
      <w:r>
        <w:rPr>
          <w:rFonts w:ascii="Times New Roman" w:cs="Times New Roman" w:eastAsia="Times New Roman" w:hAnsi="Times New Roman"/>
          <w:sz w:val="19"/>
          <w:szCs w:val="19"/>
          <w:color w:val="auto"/>
        </w:rPr>
        <w:t>Party’s name or refer to the other Party directly or indirectly in connection with the MSA in any media interview,</w:t>
      </w:r>
    </w:p>
    <w:p>
      <w:pPr>
        <w:spacing w:after="0" w:line="1" w:lineRule="exact"/>
        <w:rPr>
          <w:sz w:val="20"/>
          <w:szCs w:val="20"/>
          <w:color w:val="auto"/>
        </w:rPr>
      </w:pPr>
    </w:p>
    <w:p>
      <w:pPr>
        <w:ind w:right="340"/>
        <w:spacing w:after="0" w:line="208" w:lineRule="auto"/>
        <w:rPr>
          <w:sz w:val="20"/>
          <w:szCs w:val="20"/>
          <w:color w:val="auto"/>
        </w:rPr>
      </w:pPr>
      <w:r>
        <w:rPr>
          <w:rFonts w:ascii="Times New Roman" w:cs="Times New Roman" w:eastAsia="Times New Roman" w:hAnsi="Times New Roman"/>
          <w:sz w:val="19"/>
          <w:szCs w:val="19"/>
          <w:color w:val="auto"/>
        </w:rPr>
        <w:t>advertisement, news release, press release or professional or trade publication, or in any print media, whether or not in response to an inquiry, without the prior written approval of the other Party; provided, however, that (a) within ten (10) Business Days</w:t>
      </w:r>
    </w:p>
    <w:p>
      <w:pPr>
        <w:spacing w:after="0" w:line="217" w:lineRule="auto"/>
        <w:rPr>
          <w:sz w:val="20"/>
          <w:szCs w:val="20"/>
          <w:color w:val="auto"/>
        </w:rPr>
      </w:pPr>
      <w:r>
        <w:rPr>
          <w:rFonts w:ascii="Times New Roman" w:cs="Times New Roman" w:eastAsia="Times New Roman" w:hAnsi="Times New Roman"/>
          <w:sz w:val="19"/>
          <w:szCs w:val="19"/>
          <w:color w:val="auto"/>
        </w:rPr>
        <w:t>after the Effective Date, the Parties will issue a joint press release acceptable to each Party announcing the supply relationship</w:t>
      </w:r>
    </w:p>
    <w:p>
      <w:pPr>
        <w:spacing w:after="0" w:line="1"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9"/>
          <w:szCs w:val="19"/>
          <w:color w:val="auto"/>
        </w:rPr>
        <w:t>established by this MSA, and (b) either Party may make any public disclosure as required by applicable Law or any listing agreement with any national or regional securities exchange or market upon reasonable prior notice to the other Party.</w:t>
      </w:r>
    </w:p>
    <w:p>
      <w:pPr>
        <w:spacing w:after="0" w:line="15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9"/>
          <w:szCs w:val="19"/>
          <w:b w:val="1"/>
          <w:bCs w:val="1"/>
          <w:color w:val="010000"/>
        </w:rPr>
        <w:t xml:space="preserve">ARTICLE VIII </w:t>
      </w:r>
      <w:r>
        <w:rPr>
          <w:rFonts w:ascii="Times New Roman" w:cs="Times New Roman" w:eastAsia="Times New Roman" w:hAnsi="Times New Roman"/>
          <w:sz w:val="19"/>
          <w:szCs w:val="19"/>
          <w:b w:val="1"/>
          <w:bCs w:val="1"/>
          <w:color w:val="000000"/>
        </w:rPr>
        <w:t>INDEMNIFICATION AND LIMITATION OF</w:t>
      </w:r>
    </w:p>
    <w:p>
      <w:pPr>
        <w:spacing w:after="0" w:line="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9"/>
          <w:szCs w:val="19"/>
          <w:b w:val="1"/>
          <w:bCs w:val="1"/>
          <w:color w:val="auto"/>
        </w:rPr>
        <w:t>LIABILITY</w:t>
      </w:r>
    </w:p>
    <w:p>
      <w:pPr>
        <w:spacing w:after="0" w:line="151" w:lineRule="exact"/>
        <w:rPr>
          <w:sz w:val="20"/>
          <w:szCs w:val="20"/>
          <w:color w:val="auto"/>
        </w:rPr>
      </w:pPr>
    </w:p>
    <w:p>
      <w:pPr>
        <w:jc w:val="both"/>
        <w:ind w:right="220" w:firstLine="629"/>
        <w:spacing w:after="0" w:line="229" w:lineRule="auto"/>
        <w:rPr>
          <w:sz w:val="20"/>
          <w:szCs w:val="20"/>
          <w:color w:val="auto"/>
        </w:rPr>
      </w:pPr>
      <w:r>
        <w:rPr>
          <w:rFonts w:ascii="Times New Roman" w:cs="Times New Roman" w:eastAsia="Times New Roman" w:hAnsi="Times New Roman"/>
          <w:sz w:val="19"/>
          <w:szCs w:val="19"/>
          <w:color w:val="auto"/>
        </w:rPr>
        <w:t xml:space="preserve">8.1 </w:t>
      </w:r>
      <w:r>
        <w:rPr>
          <w:rFonts w:ascii="Times New Roman" w:cs="Times New Roman" w:eastAsia="Times New Roman" w:hAnsi="Times New Roman"/>
          <w:sz w:val="19"/>
          <w:szCs w:val="19"/>
          <w:b w:val="1"/>
          <w:bCs w:val="1"/>
          <w:u w:val="single" w:color="auto"/>
          <w:color w:val="auto"/>
        </w:rPr>
        <w:t>Enphase Indemnity</w:t>
      </w:r>
      <w:r>
        <w:rPr>
          <w:rFonts w:ascii="Times New Roman" w:cs="Times New Roman" w:eastAsia="Times New Roman" w:hAnsi="Times New Roman"/>
          <w:sz w:val="19"/>
          <w:szCs w:val="19"/>
          <w:color w:val="auto"/>
        </w:rPr>
        <w:t>. Enphase will, at its expense, indemnify, defend and hold harmless SunPower, its Affiliates, and its and their officers, directors, employees, Representatives and agents against any and all claims, suits, losses,</w:t>
      </w:r>
    </w:p>
    <w:p>
      <w:pPr>
        <w:ind w:right="220"/>
        <w:spacing w:after="0" w:line="208" w:lineRule="auto"/>
        <w:rPr>
          <w:sz w:val="20"/>
          <w:szCs w:val="20"/>
          <w:color w:val="auto"/>
        </w:rPr>
      </w:pPr>
      <w:r>
        <w:rPr>
          <w:rFonts w:ascii="Times New Roman" w:cs="Times New Roman" w:eastAsia="Times New Roman" w:hAnsi="Times New Roman"/>
          <w:sz w:val="19"/>
          <w:szCs w:val="19"/>
          <w:color w:val="auto"/>
        </w:rPr>
        <w:t>damages, fines, fees, penalties, defeasances, liabilities, costs, or expenses of whatever kind (including reasonable legal fees) brought by Third Parties (including System Owners) arising out of or resulting from: (a) the gross negligence or willful</w:t>
      </w:r>
    </w:p>
    <w:p>
      <w:pPr>
        <w:spacing w:after="0" w:line="217" w:lineRule="auto"/>
        <w:rPr>
          <w:sz w:val="20"/>
          <w:szCs w:val="20"/>
          <w:color w:val="auto"/>
        </w:rPr>
      </w:pPr>
      <w:r>
        <w:rPr>
          <w:rFonts w:ascii="Times New Roman" w:cs="Times New Roman" w:eastAsia="Times New Roman" w:hAnsi="Times New Roman"/>
          <w:sz w:val="19"/>
          <w:szCs w:val="19"/>
          <w:color w:val="auto"/>
        </w:rPr>
        <w:t>misconduct of Enphase or its Representatives; (b) any failure by Enphase or its Representatives to comply with any applicable</w:t>
      </w:r>
    </w:p>
    <w:p>
      <w:pPr>
        <w:spacing w:after="0" w:line="1"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9"/>
          <w:szCs w:val="19"/>
          <w:color w:val="auto"/>
        </w:rPr>
        <w:t xml:space="preserve">Laws; (c) personal injury or death of any person or property damage, in each case to the extent caused by Defects. Under no circumstances shall Enphase enter into any settlement of a claim subject to indemnification under this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that involves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 admission of liability, negligence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0180"/>
          </w:cols>
          <w:pgMar w:left="1380" w:top="10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culpability of SunPower or requires SunPower to contribute to the settlement without SunPower’s prior written consent.</w:t>
      </w:r>
    </w:p>
    <w:p>
      <w:pPr>
        <w:ind w:left="6" w:right="220"/>
        <w:spacing w:after="0" w:line="226" w:lineRule="auto"/>
        <w:rPr>
          <w:sz w:val="20"/>
          <w:szCs w:val="20"/>
          <w:color w:val="auto"/>
        </w:rPr>
      </w:pPr>
      <w:r>
        <w:rPr>
          <w:rFonts w:ascii="Times New Roman" w:cs="Times New Roman" w:eastAsia="Times New Roman" w:hAnsi="Times New Roman"/>
          <w:sz w:val="19"/>
          <w:szCs w:val="19"/>
          <w:color w:val="auto"/>
        </w:rPr>
        <w:t>SunPower may participate in the defense of any legal action subject to this indemnification obligation, and may retain its own counsel at its own expense.</w:t>
      </w:r>
    </w:p>
    <w:p>
      <w:pPr>
        <w:spacing w:after="0" w:line="155" w:lineRule="exact"/>
        <w:rPr>
          <w:sz w:val="20"/>
          <w:szCs w:val="20"/>
          <w:color w:val="auto"/>
        </w:rPr>
      </w:pPr>
    </w:p>
    <w:p>
      <w:pPr>
        <w:ind w:left="626"/>
        <w:spacing w:after="0"/>
        <w:tabs>
          <w:tab w:leader="none" w:pos="1446" w:val="left"/>
        </w:tabs>
        <w:rPr>
          <w:sz w:val="20"/>
          <w:szCs w:val="20"/>
          <w:color w:val="auto"/>
        </w:rPr>
      </w:pPr>
      <w:r>
        <w:rPr>
          <w:rFonts w:ascii="Times New Roman" w:cs="Times New Roman" w:eastAsia="Times New Roman" w:hAnsi="Times New Roman"/>
          <w:sz w:val="19"/>
          <w:szCs w:val="19"/>
          <w:color w:val="auto"/>
        </w:rPr>
        <w:t>8.2</w:t>
      </w:r>
      <w:r>
        <w:rPr>
          <w:sz w:val="20"/>
          <w:szCs w:val="20"/>
          <w:color w:val="auto"/>
        </w:rPr>
        <w:tab/>
      </w:r>
      <w:r>
        <w:rPr>
          <w:rFonts w:ascii="Times New Roman" w:cs="Times New Roman" w:eastAsia="Times New Roman" w:hAnsi="Times New Roman"/>
          <w:sz w:val="19"/>
          <w:szCs w:val="19"/>
          <w:b w:val="1"/>
          <w:bCs w:val="1"/>
          <w:u w:val="single" w:color="auto"/>
          <w:color w:val="auto"/>
        </w:rPr>
        <w:t>SunPower Indemnity</w:t>
      </w:r>
      <w:r>
        <w:rPr>
          <w:rFonts w:ascii="Times New Roman" w:cs="Times New Roman" w:eastAsia="Times New Roman" w:hAnsi="Times New Roman"/>
          <w:sz w:val="19"/>
          <w:szCs w:val="19"/>
          <w:color w:val="auto"/>
        </w:rPr>
        <w:t>. SunPower will, at its expense, indemnify, defend and hold harmless Enphase, its</w:t>
      </w:r>
    </w:p>
    <w:p>
      <w:pPr>
        <w:spacing w:after="0" w:line="2" w:lineRule="exact"/>
        <w:rPr>
          <w:sz w:val="20"/>
          <w:szCs w:val="20"/>
          <w:color w:val="auto"/>
        </w:rPr>
      </w:pPr>
    </w:p>
    <w:p>
      <w:pPr>
        <w:jc w:val="both"/>
        <w:ind w:left="6" w:right="220"/>
        <w:spacing w:after="0" w:line="208" w:lineRule="auto"/>
        <w:rPr>
          <w:sz w:val="20"/>
          <w:szCs w:val="20"/>
          <w:color w:val="auto"/>
        </w:rPr>
      </w:pPr>
      <w:r>
        <w:rPr>
          <w:rFonts w:ascii="Times New Roman" w:cs="Times New Roman" w:eastAsia="Times New Roman" w:hAnsi="Times New Roman"/>
          <w:sz w:val="19"/>
          <w:szCs w:val="19"/>
          <w:color w:val="auto"/>
        </w:rPr>
        <w:t>Affiliates, and its and their officers, directors, employees, Representatives and agents against any and all claims, suits, losses, damages, fines, fees, penalties, defeasances, liabilities, costs, or expenses of whatever kind (including reasonable legal fees)</w:t>
      </w:r>
    </w:p>
    <w:p>
      <w:pPr>
        <w:spacing w:after="0" w:line="2" w:lineRule="exact"/>
        <w:rPr>
          <w:sz w:val="20"/>
          <w:szCs w:val="20"/>
          <w:color w:val="auto"/>
        </w:rPr>
      </w:pPr>
    </w:p>
    <w:p>
      <w:pPr>
        <w:ind w:left="6" w:right="220"/>
        <w:spacing w:after="0" w:line="208" w:lineRule="auto"/>
        <w:rPr>
          <w:sz w:val="20"/>
          <w:szCs w:val="20"/>
          <w:color w:val="auto"/>
        </w:rPr>
      </w:pPr>
      <w:r>
        <w:rPr>
          <w:rFonts w:ascii="Times New Roman" w:cs="Times New Roman" w:eastAsia="Times New Roman" w:hAnsi="Times New Roman"/>
          <w:sz w:val="19"/>
          <w:szCs w:val="19"/>
          <w:color w:val="auto"/>
        </w:rPr>
        <w:t>brought by Third Parties (including System Owners) arising out of or resulting from: (a) the gross negligence or willful misconduct of SunPower or its Representatives; (b) any failure by SunPower or its Representatives to comply with any</w:t>
      </w:r>
    </w:p>
    <w:p>
      <w:pPr>
        <w:ind w:left="6"/>
        <w:spacing w:after="0" w:line="217" w:lineRule="auto"/>
        <w:rPr>
          <w:sz w:val="20"/>
          <w:szCs w:val="20"/>
          <w:color w:val="auto"/>
        </w:rPr>
      </w:pPr>
      <w:r>
        <w:rPr>
          <w:rFonts w:ascii="Times New Roman" w:cs="Times New Roman" w:eastAsia="Times New Roman" w:hAnsi="Times New Roman"/>
          <w:sz w:val="19"/>
          <w:szCs w:val="19"/>
          <w:color w:val="auto"/>
        </w:rPr>
        <w:t>applicable Laws; (d) the marketing, sale, or distribution of Products or AC Modules incorporating the Products by SunPower or</w:t>
      </w:r>
    </w:p>
    <w:p>
      <w:pPr>
        <w:spacing w:after="0" w:line="1" w:lineRule="exact"/>
        <w:rPr>
          <w:sz w:val="20"/>
          <w:szCs w:val="20"/>
          <w:color w:val="auto"/>
        </w:rPr>
      </w:pPr>
    </w:p>
    <w:p>
      <w:pPr>
        <w:ind w:left="6" w:right="220"/>
        <w:spacing w:after="0" w:line="208" w:lineRule="auto"/>
        <w:rPr>
          <w:sz w:val="20"/>
          <w:szCs w:val="20"/>
          <w:color w:val="auto"/>
        </w:rPr>
      </w:pPr>
      <w:r>
        <w:rPr>
          <w:rFonts w:ascii="Times New Roman" w:cs="Times New Roman" w:eastAsia="Times New Roman" w:hAnsi="Times New Roman"/>
          <w:sz w:val="19"/>
          <w:szCs w:val="19"/>
          <w:color w:val="auto"/>
        </w:rPr>
        <w:t>its Representatives; (e) the installation or servicing of Products or AC Modules incorporating the Products by SunPower or its Representatives, except to the extent installation or approved RMA field repairs for Products were performed in accordance with</w:t>
      </w:r>
    </w:p>
    <w:p>
      <w:pPr>
        <w:ind w:left="6"/>
        <w:spacing w:after="0" w:line="217" w:lineRule="auto"/>
        <w:rPr>
          <w:sz w:val="20"/>
          <w:szCs w:val="20"/>
          <w:color w:val="auto"/>
        </w:rPr>
      </w:pPr>
      <w:r>
        <w:rPr>
          <w:rFonts w:ascii="Times New Roman" w:cs="Times New Roman" w:eastAsia="Times New Roman" w:hAnsi="Times New Roman"/>
          <w:sz w:val="19"/>
          <w:szCs w:val="19"/>
          <w:color w:val="auto"/>
        </w:rPr>
        <w:t>the Enphase Documentation therefor; (f) any representations, warranties, guarantees, or other written or oral statements made by</w:t>
      </w:r>
    </w:p>
    <w:p>
      <w:pPr>
        <w:spacing w:after="0" w:line="1" w:lineRule="exact"/>
        <w:rPr>
          <w:sz w:val="20"/>
          <w:szCs w:val="20"/>
          <w:color w:val="auto"/>
        </w:rPr>
      </w:pPr>
    </w:p>
    <w:p>
      <w:pPr>
        <w:ind w:left="6" w:right="220"/>
        <w:spacing w:after="0" w:line="208" w:lineRule="auto"/>
        <w:rPr>
          <w:sz w:val="20"/>
          <w:szCs w:val="20"/>
          <w:color w:val="auto"/>
        </w:rPr>
      </w:pPr>
      <w:r>
        <w:rPr>
          <w:rFonts w:ascii="Times New Roman" w:cs="Times New Roman" w:eastAsia="Times New Roman" w:hAnsi="Times New Roman"/>
          <w:sz w:val="19"/>
          <w:szCs w:val="19"/>
          <w:color w:val="auto"/>
        </w:rPr>
        <w:t>SunPower or its Representatives relating to the Products other than as expressly set forth in the Enphase Documentation; or (g) any claims against Enphase made by System Owners or other Third Parties who receive Products from SunPower, except to the</w:t>
      </w:r>
    </w:p>
    <w:p>
      <w:pPr>
        <w:ind w:left="6"/>
        <w:spacing w:after="0" w:line="217" w:lineRule="auto"/>
        <w:rPr>
          <w:sz w:val="20"/>
          <w:szCs w:val="20"/>
          <w:color w:val="auto"/>
        </w:rPr>
      </w:pPr>
      <w:r>
        <w:rPr>
          <w:rFonts w:ascii="Times New Roman" w:cs="Times New Roman" w:eastAsia="Times New Roman" w:hAnsi="Times New Roman"/>
          <w:sz w:val="19"/>
          <w:szCs w:val="19"/>
          <w:color w:val="auto"/>
        </w:rPr>
        <w:t xml:space="preserve">extent covered by the Limited Warranty or Enphase’s indemnity set forth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Under no circumstances shall SunPower</w:t>
      </w:r>
    </w:p>
    <w:p>
      <w:pPr>
        <w:spacing w:after="0" w:line="1" w:lineRule="exact"/>
        <w:rPr>
          <w:sz w:val="20"/>
          <w:szCs w:val="20"/>
          <w:color w:val="auto"/>
        </w:rPr>
      </w:pPr>
    </w:p>
    <w:p>
      <w:pPr>
        <w:ind w:left="6" w:right="220"/>
        <w:spacing w:after="0" w:line="208" w:lineRule="auto"/>
        <w:rPr>
          <w:sz w:val="20"/>
          <w:szCs w:val="20"/>
          <w:color w:val="auto"/>
        </w:rPr>
      </w:pPr>
      <w:r>
        <w:rPr>
          <w:rFonts w:ascii="Times New Roman" w:cs="Times New Roman" w:eastAsia="Times New Roman" w:hAnsi="Times New Roman"/>
          <w:sz w:val="19"/>
          <w:szCs w:val="19"/>
          <w:color w:val="auto"/>
        </w:rPr>
        <w:t xml:space="preserve">enter into any settlement of a claim subject to indemnification under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that involves an admission of liability, negligence or other culpability of Enphase or requires Enphase to contribute to the settlement without Enphase’s prior written</w:t>
      </w:r>
    </w:p>
    <w:p>
      <w:pPr>
        <w:spacing w:after="0" w:line="2" w:lineRule="exact"/>
        <w:rPr>
          <w:sz w:val="20"/>
          <w:szCs w:val="20"/>
          <w:color w:val="auto"/>
        </w:rPr>
      </w:pPr>
    </w:p>
    <w:p>
      <w:pPr>
        <w:ind w:left="6" w:right="220"/>
        <w:spacing w:after="0" w:line="233" w:lineRule="auto"/>
        <w:rPr>
          <w:sz w:val="20"/>
          <w:szCs w:val="20"/>
          <w:color w:val="auto"/>
        </w:rPr>
      </w:pPr>
      <w:r>
        <w:rPr>
          <w:rFonts w:ascii="Times New Roman" w:cs="Times New Roman" w:eastAsia="Times New Roman" w:hAnsi="Times New Roman"/>
          <w:sz w:val="19"/>
          <w:szCs w:val="19"/>
          <w:color w:val="auto"/>
        </w:rPr>
        <w:t>consent. Enphase may participate in the defense of any legal action subject to this indemnification obligation, and may retain its own counsel at its own expense.</w:t>
      </w:r>
    </w:p>
    <w:p>
      <w:pPr>
        <w:spacing w:after="0" w:line="142" w:lineRule="exact"/>
        <w:rPr>
          <w:sz w:val="20"/>
          <w:szCs w:val="20"/>
          <w:color w:val="auto"/>
        </w:rPr>
      </w:pPr>
    </w:p>
    <w:p>
      <w:pPr>
        <w:ind w:left="626"/>
        <w:spacing w:after="0"/>
        <w:tabs>
          <w:tab w:leader="none" w:pos="1226" w:val="left"/>
        </w:tabs>
        <w:rPr>
          <w:sz w:val="20"/>
          <w:szCs w:val="20"/>
          <w:color w:val="auto"/>
        </w:rPr>
      </w:pPr>
      <w:r>
        <w:rPr>
          <w:rFonts w:ascii="Times New Roman" w:cs="Times New Roman" w:eastAsia="Times New Roman" w:hAnsi="Times New Roman"/>
          <w:sz w:val="19"/>
          <w:szCs w:val="19"/>
          <w:color w:val="auto"/>
        </w:rPr>
        <w:t>8.3</w:t>
      </w:r>
      <w:r>
        <w:rPr>
          <w:sz w:val="20"/>
          <w:szCs w:val="20"/>
          <w:color w:val="auto"/>
        </w:rPr>
        <w:tab/>
      </w:r>
      <w:r>
        <w:rPr>
          <w:rFonts w:ascii="Times New Roman" w:cs="Times New Roman" w:eastAsia="Times New Roman" w:hAnsi="Times New Roman"/>
          <w:sz w:val="19"/>
          <w:szCs w:val="19"/>
          <w:b w:val="1"/>
          <w:bCs w:val="1"/>
          <w:u w:val="single" w:color="auto"/>
          <w:color w:val="auto"/>
        </w:rPr>
        <w:t>Patent Indemnity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 w:right="200" w:firstLine="1253"/>
        <w:spacing w:after="0" w:line="239" w:lineRule="auto"/>
        <w:tabs>
          <w:tab w:leader="none" w:pos="2094"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Enphase shall indemnify and hold harmless SunPower from any damages, losses, liabilities, costs and expenses (including reasonable legal fees) incurred by SunPower as a result of the claim of any Third Party that any Product installed after the Effective Date of this MSA infringes or misappropriates any patent, copyright, trademark, or trade secret, and shall cause such claim to be settled or defended at Enphase’s expense. SunPower shall (i) notify Enphase promptly of the receipt of any such claim, (ii) not take any position adverse to Enphase regarding such claim, and (iii) provide Enphase with information and reasonable assistance to settle and defend the claim. If, in any suit arising from such a claim, the continued use of any Products for their intended purpose is forbidden by any court, Enphase shall, at its expense, take one or more of the following actions with respect to such Products: (1) procure for SunPower the right to continue using the Products for the purpose intended, or (2) modify the Products so that they become non-infringing, (3) replace the Products with non-infringing equipment of the same or substantially similar functionality, or (4) refund to SunPower the original purchase Price, subject to straight-line depreciation.</w:t>
      </w:r>
    </w:p>
    <w:p>
      <w:pPr>
        <w:spacing w:after="0" w:line="145" w:lineRule="exact"/>
        <w:rPr>
          <w:rFonts w:ascii="Times New Roman" w:cs="Times New Roman" w:eastAsia="Times New Roman" w:hAnsi="Times New Roman"/>
          <w:sz w:val="19"/>
          <w:szCs w:val="19"/>
          <w:color w:val="auto"/>
        </w:rPr>
      </w:pPr>
    </w:p>
    <w:p>
      <w:pPr>
        <w:jc w:val="both"/>
        <w:ind w:left="6" w:right="280" w:firstLine="1253"/>
        <w:spacing w:after="0" w:line="215" w:lineRule="auto"/>
        <w:tabs>
          <w:tab w:leader="none" w:pos="2092"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Enphase shall have no obligation for any claim of infringement or misappropriation arising from, and SunPower will indemnify Enphase for any Third-Party claim arising from: (i) Enphase’s compliance with SunPower’s requirements for non-standard functionality or features in any Products; (ii) modifications made by any Person other than Enphase; (iii) SunPower’s non-compliance with instructions and Product documentation for any Products, including the Enphase Documentation, as in effect at the time such activities were undertaken; (iv) use of Products for purposes not set forth in the Enphase Documentation, or</w:t>
      </w:r>
    </w:p>
    <w:p>
      <w:pPr>
        <w:spacing w:after="0" w:line="1" w:lineRule="exact"/>
        <w:rPr>
          <w:rFonts w:ascii="Times New Roman" w:cs="Times New Roman" w:eastAsia="Times New Roman" w:hAnsi="Times New Roman"/>
          <w:sz w:val="19"/>
          <w:szCs w:val="19"/>
          <w:color w:val="auto"/>
        </w:rPr>
      </w:pPr>
    </w:p>
    <w:p>
      <w:pPr>
        <w:ind w:left="266" w:hanging="266"/>
        <w:spacing w:after="0"/>
        <w:tabs>
          <w:tab w:leader="none" w:pos="266"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installations of Legacy Product alleged to infringe or misappropriate any patent, copyright, trademark, or trade secret.</w:t>
      </w:r>
    </w:p>
    <w:p>
      <w:pPr>
        <w:spacing w:after="0" w:line="166" w:lineRule="exact"/>
        <w:rPr>
          <w:rFonts w:ascii="Times New Roman" w:cs="Times New Roman" w:eastAsia="Times New Roman" w:hAnsi="Times New Roman"/>
          <w:sz w:val="19"/>
          <w:szCs w:val="19"/>
          <w:color w:val="auto"/>
        </w:rPr>
      </w:pPr>
    </w:p>
    <w:p>
      <w:pPr>
        <w:jc w:val="both"/>
        <w:ind w:left="6" w:right="300" w:firstLine="1253"/>
        <w:spacing w:after="0" w:line="225" w:lineRule="auto"/>
        <w:tabs>
          <w:tab w:leader="none" w:pos="2094"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any claim of infringement or misappropriation by a Third Party arises from SunPower’s use or combination of Products with products, software, or services that are not provided by Enphase, Enphase’s obligation to indemnify and hold harmless SunPower from any damages, losses, liabilities, costs and expenses (including reasonable legal fees) incurred by SunPower as a result of such claim will be limited to an apportioned share that is commensurate with the relative contribution of such Products to the underlying claim of infringement or misappropriation.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66"/>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0186"/>
          </w:cols>
          <w:pgMar w:left="1374" w:top="102"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19"/>
          <w:szCs w:val="19"/>
          <w:color w:val="auto"/>
        </w:rPr>
        <w:t>8.4</w:t>
      </w:r>
      <w:r>
        <w:rPr>
          <w:sz w:val="20"/>
          <w:szCs w:val="20"/>
          <w:color w:val="auto"/>
        </w:rPr>
        <w:tab/>
      </w:r>
      <w:r>
        <w:rPr>
          <w:rFonts w:ascii="Times New Roman" w:cs="Times New Roman" w:eastAsia="Times New Roman" w:hAnsi="Times New Roman"/>
          <w:sz w:val="19"/>
          <w:szCs w:val="19"/>
          <w:b w:val="1"/>
          <w:bCs w:val="1"/>
          <w:u w:val="single" w:color="auto"/>
          <w:color w:val="auto"/>
        </w:rPr>
        <w:t>No Consequential Damages</w:t>
      </w:r>
      <w:r>
        <w:rPr>
          <w:rFonts w:ascii="Times New Roman" w:cs="Times New Roman" w:eastAsia="Times New Roman" w:hAnsi="Times New Roman"/>
          <w:sz w:val="19"/>
          <w:szCs w:val="19"/>
          <w:color w:val="auto"/>
        </w:rPr>
        <w:t>. EXCEPT FOR AMOUNTS PAYABLE PURSUANT TO</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AND</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9"/>
          <w:szCs w:val="19"/>
          <w:u w:val="single" w:color="auto"/>
          <w:color w:val="auto"/>
        </w:rPr>
        <w:t>SECTION 2.3(B)</w:t>
      </w:r>
      <w:r>
        <w:rPr>
          <w:rFonts w:ascii="Times New Roman" w:cs="Times New Roman" w:eastAsia="Times New Roman" w:hAnsi="Times New Roman"/>
          <w:sz w:val="19"/>
          <w:szCs w:val="19"/>
          <w:color w:val="auto"/>
        </w:rPr>
        <w:t xml:space="preserve">, LIABILITY FOR INDEMNIFICATION UNDER THIS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LIABILITY FOR BREACH OF CONFIDENTIALITY OBLIGATIONS, LIABILITY FOR GROSS NEGLIGENCE OR WILLFUL MISCONDUCT, AND</w:t>
      </w:r>
    </w:p>
    <w:p>
      <w:pPr>
        <w:spacing w:after="0" w:line="217" w:lineRule="auto"/>
        <w:rPr>
          <w:sz w:val="20"/>
          <w:szCs w:val="20"/>
          <w:color w:val="auto"/>
        </w:rPr>
      </w:pPr>
      <w:r>
        <w:rPr>
          <w:rFonts w:ascii="Times New Roman" w:cs="Times New Roman" w:eastAsia="Times New Roman" w:hAnsi="Times New Roman"/>
          <w:sz w:val="19"/>
          <w:szCs w:val="19"/>
          <w:color w:val="auto"/>
        </w:rPr>
        <w:t>LIABILITY  FOR  INFRINGEMENT  OR  MISAPPROPRIATION  OF  INTELLECTUAL  PROPERTY  RIGHTS,  EACH</w:t>
      </w:r>
    </w:p>
    <w:p>
      <w:pPr>
        <w:spacing w:after="0" w:line="1" w:lineRule="exact"/>
        <w:rPr>
          <w:sz w:val="20"/>
          <w:szCs w:val="20"/>
          <w:color w:val="auto"/>
        </w:rPr>
      </w:pPr>
    </w:p>
    <w:p>
      <w:pPr>
        <w:jc w:val="both"/>
        <w:ind w:right="240"/>
        <w:spacing w:after="0" w:line="208" w:lineRule="auto"/>
        <w:rPr>
          <w:sz w:val="20"/>
          <w:szCs w:val="20"/>
          <w:color w:val="auto"/>
        </w:rPr>
      </w:pPr>
      <w:r>
        <w:rPr>
          <w:rFonts w:ascii="Times New Roman" w:cs="Times New Roman" w:eastAsia="Times New Roman" w:hAnsi="Times New Roman"/>
          <w:sz w:val="19"/>
          <w:szCs w:val="19"/>
          <w:color w:val="auto"/>
        </w:rPr>
        <w:t>PARTY’S LIABILITY TO THE OTHER ARISING FROM OR RELATING TO THIS MSA SHALL BE LIMITED TO DIRECT DAMAGES ONLY AND NEITHER PARTY SHALL BE LIABLE TO THE OTHER FOR ANY CONSEQUENTIAL,</w:t>
      </w:r>
    </w:p>
    <w:p>
      <w:pPr>
        <w:spacing w:after="0" w:line="217" w:lineRule="auto"/>
        <w:rPr>
          <w:sz w:val="20"/>
          <w:szCs w:val="20"/>
          <w:color w:val="auto"/>
        </w:rPr>
      </w:pPr>
      <w:r>
        <w:rPr>
          <w:rFonts w:ascii="Times New Roman" w:cs="Times New Roman" w:eastAsia="Times New Roman" w:hAnsi="Times New Roman"/>
          <w:sz w:val="19"/>
          <w:szCs w:val="19"/>
          <w:color w:val="auto"/>
        </w:rPr>
        <w:t>INCIDENTAL, INDIRECT, SPECIAL, EXEMPLARY OR PUNITIVE DAMAGES (INCLUDING LOSS OF ACTUAL OR</w:t>
      </w:r>
    </w:p>
    <w:p>
      <w:pPr>
        <w:spacing w:after="0" w:line="1"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9"/>
          <w:szCs w:val="19"/>
          <w:color w:val="auto"/>
        </w:rPr>
        <w:t>ANTICIPATED PROFITS, REVENUES, OR DIMINUTION IN VALUE), REGARDLESS OF WHETHER ANY SUCH CLAIM ARISES OUT OF BREACH OF CONTRACT, GUARANTY OR IMPLIED WARRANTY, TORT, PRODUCT</w:t>
      </w:r>
    </w:p>
    <w:p>
      <w:pPr>
        <w:spacing w:after="0" w:line="217" w:lineRule="auto"/>
        <w:rPr>
          <w:sz w:val="20"/>
          <w:szCs w:val="20"/>
          <w:color w:val="auto"/>
        </w:rPr>
      </w:pPr>
      <w:r>
        <w:rPr>
          <w:rFonts w:ascii="Times New Roman" w:cs="Times New Roman" w:eastAsia="Times New Roman" w:hAnsi="Times New Roman"/>
          <w:sz w:val="19"/>
          <w:szCs w:val="19"/>
          <w:color w:val="auto"/>
        </w:rPr>
        <w:t>LIABILITY, INDEMNITY, CONTRIBUTION, STRICT LIABILITY OR ANY OTHER LEGAL OR EQUITABLE THEORY,</w:t>
      </w:r>
    </w:p>
    <w:p>
      <w:pPr>
        <w:spacing w:after="0" w:line="1"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9"/>
          <w:szCs w:val="19"/>
          <w:color w:val="auto"/>
        </w:rPr>
        <w:t>WHETHER OR NOT SUCH DAMAGES WERE FORESEEABLE OR WHETHER OR NOT THE PARTY WAS ADVISED OF THE POSSIBILITY OF SUCH DAMAGES.</w:t>
      </w:r>
    </w:p>
    <w:p>
      <w:pPr>
        <w:spacing w:after="0" w:line="155"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19"/>
          <w:szCs w:val="19"/>
          <w:color w:val="auto"/>
        </w:rPr>
        <w:t>8.5</w:t>
      </w:r>
      <w:r>
        <w:rPr>
          <w:sz w:val="20"/>
          <w:szCs w:val="20"/>
          <w:color w:val="auto"/>
        </w:rPr>
        <w:tab/>
      </w:r>
      <w:r>
        <w:rPr>
          <w:rFonts w:ascii="Times New Roman" w:cs="Times New Roman" w:eastAsia="Times New Roman" w:hAnsi="Times New Roman"/>
          <w:sz w:val="19"/>
          <w:szCs w:val="19"/>
          <w:b w:val="1"/>
          <w:bCs w:val="1"/>
          <w:u w:val="single" w:color="auto"/>
          <w:color w:val="auto"/>
        </w:rPr>
        <w:t>Limitation of Liability</w:t>
      </w:r>
      <w:r>
        <w:rPr>
          <w:rFonts w:ascii="Times New Roman" w:cs="Times New Roman" w:eastAsia="Times New Roman" w:hAnsi="Times New Roman"/>
          <w:sz w:val="19"/>
          <w:szCs w:val="19"/>
          <w:color w:val="auto"/>
        </w:rPr>
        <w:t>. NOTWITHSTANDING ANY OTHER PROVISION OF THIS MSA, AND IN</w:t>
      </w:r>
    </w:p>
    <w:p>
      <w:pPr>
        <w:spacing w:after="0" w:line="2" w:lineRule="exact"/>
        <w:rPr>
          <w:sz w:val="20"/>
          <w:szCs w:val="20"/>
          <w:color w:val="auto"/>
        </w:rPr>
      </w:pPr>
    </w:p>
    <w:p>
      <w:pPr>
        <w:ind w:right="380"/>
        <w:spacing w:after="0" w:line="208" w:lineRule="auto"/>
        <w:rPr>
          <w:sz w:val="20"/>
          <w:szCs w:val="20"/>
          <w:color w:val="auto"/>
        </w:rPr>
      </w:pPr>
      <w:r>
        <w:rPr>
          <w:rFonts w:ascii="Times New Roman" w:cs="Times New Roman" w:eastAsia="Times New Roman" w:hAnsi="Times New Roman"/>
          <w:sz w:val="19"/>
          <w:szCs w:val="19"/>
          <w:color w:val="auto"/>
        </w:rPr>
        <w:t xml:space="preserve">ADDITION TO AND WITHOUT LIMITING ANY OF SUNPOWER’S PAYMENT OBLIGATIONS UNDER THIS MSA INCLUDING ANY AMOUNTS PAYABLE PURSUANT TO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2.3(B)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AND</w:t>
      </w:r>
    </w:p>
    <w:p>
      <w:pPr>
        <w:spacing w:after="0" w:line="217" w:lineRule="auto"/>
        <w:rPr>
          <w:sz w:val="20"/>
          <w:szCs w:val="20"/>
          <w:color w:val="auto"/>
        </w:rPr>
      </w:pPr>
      <w:r>
        <w:rPr>
          <w:rFonts w:ascii="Times New Roman" w:cs="Times New Roman" w:eastAsia="Times New Roman" w:hAnsi="Times New Roman"/>
          <w:sz w:val="19"/>
          <w:szCs w:val="19"/>
          <w:color w:val="auto"/>
        </w:rPr>
        <w:t>EXCEPT WITH RESPECT TO INDEMNIFIED CLAIMS AND EACH PARTY’S LIABILITY FOR BREACH OF THE</w:t>
      </w:r>
    </w:p>
    <w:p>
      <w:pPr>
        <w:spacing w:after="0" w:line="1" w:lineRule="exact"/>
        <w:rPr>
          <w:sz w:val="20"/>
          <w:szCs w:val="20"/>
          <w:color w:val="auto"/>
        </w:rPr>
      </w:pPr>
    </w:p>
    <w:p>
      <w:pPr>
        <w:ind w:right="380"/>
        <w:spacing w:after="0" w:line="208" w:lineRule="auto"/>
        <w:rPr>
          <w:sz w:val="20"/>
          <w:szCs w:val="20"/>
          <w:color w:val="auto"/>
        </w:rPr>
      </w:pPr>
      <w:r>
        <w:rPr>
          <w:rFonts w:ascii="Times New Roman" w:cs="Times New Roman" w:eastAsia="Times New Roman" w:hAnsi="Times New Roman"/>
          <w:sz w:val="19"/>
          <w:szCs w:val="19"/>
          <w:color w:val="auto"/>
        </w:rPr>
        <w:t>CONFIDENTIALITY OBLIGATIONS, GROSS NEGLIGENCE OR WILLFUL MISCONDUCT, OR INFRINGEMENT OR MISAPPROPRIATION OF INTELLECTUAL PROPERTY RIGHTS, EACH PARTY’S RESPECTIVE LIABILITY WITH</w:t>
      </w:r>
    </w:p>
    <w:p>
      <w:pPr>
        <w:spacing w:after="0" w:line="2"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19"/>
          <w:szCs w:val="19"/>
          <w:color w:val="auto"/>
        </w:rPr>
        <w:t>RESPECT TO THIS MSA SHALL BE LIMITED TO THE PRICE PAID FOR THE PRODUCTS THAT ARE THE SUBJECT OF THE CLAIM.</w:t>
      </w:r>
    </w:p>
    <w:p>
      <w:pPr>
        <w:spacing w:after="0" w:line="37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b w:val="1"/>
          <w:bCs w:val="1"/>
          <w:color w:val="010000"/>
        </w:rPr>
        <w:t>ARTICLE IX</w:t>
      </w:r>
    </w:p>
    <w:p>
      <w:pPr>
        <w:spacing w:after="0" w:line="8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GENERAL PROVISIONS</w:t>
      </w:r>
    </w:p>
    <w:p>
      <w:pPr>
        <w:spacing w:after="0" w:line="175" w:lineRule="exact"/>
        <w:rPr>
          <w:sz w:val="20"/>
          <w:szCs w:val="20"/>
          <w:color w:val="auto"/>
        </w:rPr>
      </w:pPr>
    </w:p>
    <w:p>
      <w:pPr>
        <w:ind w:right="220" w:firstLine="629"/>
        <w:spacing w:after="0" w:line="229" w:lineRule="auto"/>
        <w:rPr>
          <w:sz w:val="20"/>
          <w:szCs w:val="20"/>
          <w:color w:val="auto"/>
        </w:rPr>
      </w:pPr>
      <w:r>
        <w:rPr>
          <w:rFonts w:ascii="Times New Roman" w:cs="Times New Roman" w:eastAsia="Times New Roman" w:hAnsi="Times New Roman"/>
          <w:sz w:val="19"/>
          <w:szCs w:val="19"/>
          <w:color w:val="auto"/>
        </w:rPr>
        <w:t xml:space="preserve">9.1 </w:t>
      </w:r>
      <w:r>
        <w:rPr>
          <w:rFonts w:ascii="Times New Roman" w:cs="Times New Roman" w:eastAsia="Times New Roman" w:hAnsi="Times New Roman"/>
          <w:sz w:val="19"/>
          <w:szCs w:val="19"/>
          <w:b w:val="1"/>
          <w:bCs w:val="1"/>
          <w:u w:val="single" w:color="auto"/>
          <w:color w:val="auto"/>
        </w:rPr>
        <w:t>Proprietary Rights</w:t>
      </w:r>
      <w:r>
        <w:rPr>
          <w:rFonts w:ascii="Times New Roman" w:cs="Times New Roman" w:eastAsia="Times New Roman" w:hAnsi="Times New Roman"/>
          <w:sz w:val="19"/>
          <w:szCs w:val="19"/>
          <w:color w:val="auto"/>
        </w:rPr>
        <w:t>. Enphase retains ownership of all Intellectual Property Rights in the Products (including the embedded Software). The Products are offered for sale and sold on the condition in every case that, except as expressly set</w:t>
      </w:r>
    </w:p>
    <w:p>
      <w:pPr>
        <w:ind w:right="220"/>
        <w:spacing w:after="0" w:line="208" w:lineRule="auto"/>
        <w:rPr>
          <w:sz w:val="20"/>
          <w:szCs w:val="20"/>
          <w:color w:val="auto"/>
        </w:rPr>
      </w:pPr>
      <w:r>
        <w:rPr>
          <w:rFonts w:ascii="Times New Roman" w:cs="Times New Roman" w:eastAsia="Times New Roman" w:hAnsi="Times New Roman"/>
          <w:sz w:val="19"/>
          <w:szCs w:val="19"/>
          <w:color w:val="auto"/>
        </w:rPr>
        <w:t>forth in this MSA, such sale does not convey any license, express or implied, under any Intellectual Property Right of Enphase. Enphase grants no implied licenses. Embedded Software is provided under license and is not sold, notwithstanding the use of the</w:t>
      </w:r>
    </w:p>
    <w:p>
      <w:pPr>
        <w:spacing w:after="0" w:line="217" w:lineRule="auto"/>
        <w:rPr>
          <w:sz w:val="20"/>
          <w:szCs w:val="20"/>
          <w:color w:val="auto"/>
        </w:rPr>
      </w:pPr>
      <w:r>
        <w:rPr>
          <w:rFonts w:ascii="Times New Roman" w:cs="Times New Roman" w:eastAsia="Times New Roman" w:hAnsi="Times New Roman"/>
          <w:sz w:val="19"/>
          <w:szCs w:val="19"/>
          <w:color w:val="auto"/>
        </w:rPr>
        <w:t>word “sell” in this MSA. Subject to these terms and for the duration of this MSA, Enphase grants to SunPower a non-exclusive</w:t>
      </w:r>
    </w:p>
    <w:p>
      <w:pPr>
        <w:spacing w:after="0" w:line="1"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9"/>
          <w:szCs w:val="19"/>
          <w:color w:val="auto"/>
        </w:rPr>
        <w:t>and non-transferable license, to sublicense on a non-exclusive and non-transferable basis to (a) its installers the right to execute and use the embedded Software solely on the applicable Products in accordance with the Enphase Documentation to install and</w:t>
      </w:r>
    </w:p>
    <w:p>
      <w:pPr>
        <w:spacing w:after="0" w:line="217" w:lineRule="auto"/>
        <w:rPr>
          <w:sz w:val="20"/>
          <w:szCs w:val="20"/>
          <w:color w:val="auto"/>
        </w:rPr>
      </w:pPr>
      <w:r>
        <w:rPr>
          <w:rFonts w:ascii="Times New Roman" w:cs="Times New Roman" w:eastAsia="Times New Roman" w:hAnsi="Times New Roman"/>
          <w:sz w:val="19"/>
          <w:szCs w:val="19"/>
          <w:color w:val="auto"/>
        </w:rPr>
        <w:t>configure the Product for use with the applicable System Owner’s photovoltaic system and (b) System Owners the right to</w:t>
      </w:r>
    </w:p>
    <w:p>
      <w:pPr>
        <w:spacing w:after="0" w:line="1" w:lineRule="exact"/>
        <w:rPr>
          <w:sz w:val="20"/>
          <w:szCs w:val="20"/>
          <w:color w:val="auto"/>
        </w:rPr>
      </w:pPr>
    </w:p>
    <w:p>
      <w:pPr>
        <w:jc w:val="both"/>
        <w:ind w:right="220"/>
        <w:spacing w:after="0" w:line="208" w:lineRule="auto"/>
        <w:rPr>
          <w:sz w:val="20"/>
          <w:szCs w:val="20"/>
          <w:color w:val="auto"/>
        </w:rPr>
      </w:pPr>
      <w:r>
        <w:rPr>
          <w:rFonts w:ascii="Times New Roman" w:cs="Times New Roman" w:eastAsia="Times New Roman" w:hAnsi="Times New Roman"/>
          <w:sz w:val="19"/>
          <w:szCs w:val="19"/>
          <w:color w:val="auto"/>
        </w:rPr>
        <w:t>execute and use the embedded Software solely on the Products in accordance with the Enphase Documentation, for the System Owner’s own internal purposes. SunPower shall not, and shall use all reasonable efforts to ensure that no Third Party shall,</w:t>
      </w:r>
    </w:p>
    <w:p>
      <w:pPr>
        <w:spacing w:after="0" w:line="2"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19"/>
          <w:szCs w:val="19"/>
          <w:color w:val="auto"/>
        </w:rPr>
        <w:t>reverse engineer, decompile, or disassemble the Products, or otherwise attempt to derive the source code for the embedded Software.</w:t>
      </w:r>
    </w:p>
    <w:p>
      <w:pPr>
        <w:spacing w:after="0" w:line="200" w:lineRule="exact"/>
        <w:rPr>
          <w:sz w:val="20"/>
          <w:szCs w:val="20"/>
          <w:color w:val="auto"/>
        </w:rPr>
      </w:pPr>
    </w:p>
    <w:p>
      <w:pPr>
        <w:spacing w:after="0" w:line="26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9.2</w:t>
      </w:r>
      <w:r>
        <w:rPr>
          <w:sz w:val="20"/>
          <w:szCs w:val="20"/>
          <w:color w:val="auto"/>
        </w:rPr>
        <w:tab/>
      </w:r>
      <w:r>
        <w:rPr>
          <w:rFonts w:ascii="Times New Roman" w:cs="Times New Roman" w:eastAsia="Times New Roman" w:hAnsi="Times New Roman"/>
          <w:sz w:val="20"/>
          <w:szCs w:val="20"/>
          <w:b w:val="1"/>
          <w:bCs w:val="1"/>
          <w:u w:val="single" w:color="auto"/>
          <w:color w:val="auto"/>
        </w:rPr>
        <w:t>Force Majeure</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right="1060" w:firstLine="1253"/>
        <w:spacing w:after="0" w:line="232" w:lineRule="auto"/>
        <w:tabs>
          <w:tab w:leader="none" w:pos="2088"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Force Majeure</w:t>
      </w:r>
      <w:r>
        <w:rPr>
          <w:rFonts w:ascii="Times New Roman" w:cs="Times New Roman" w:eastAsia="Times New Roman" w:hAnsi="Times New Roman"/>
          <w:sz w:val="19"/>
          <w:szCs w:val="19"/>
          <w:color w:val="auto"/>
        </w:rPr>
        <w:t>” means any event (including any circumstance) that prevents or delays the performance of any obligation under this MSA and is beyond the reasonable control of the Party seeking to have its performance excused.</w:t>
      </w:r>
    </w:p>
    <w:p>
      <w:pPr>
        <w:spacing w:after="0" w:line="157" w:lineRule="exact"/>
        <w:rPr>
          <w:rFonts w:ascii="Times New Roman" w:cs="Times New Roman" w:eastAsia="Times New Roman" w:hAnsi="Times New Roman"/>
          <w:sz w:val="19"/>
          <w:szCs w:val="19"/>
          <w:color w:val="auto"/>
        </w:rPr>
      </w:pPr>
    </w:p>
    <w:p>
      <w:pPr>
        <w:ind w:right="300" w:firstLine="1253"/>
        <w:spacing w:after="0" w:line="225" w:lineRule="auto"/>
        <w:tabs>
          <w:tab w:leader="none" w:pos="2086"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Events that qualify as Force Majeure Events include, but are not limited to, the following: (i) flooding, lightning, landslide, earthquake, fire, explosion, epidemic, quarantine, hurricane, tornado, other natural disaster or unusual or extreme adverse weather- related events; (ii) war (declared or undeclared), riot or similar civil disturbance, acts of the public enemy (including acts of terrorism), sabotage, blockage, insurrection, revolution, expropriation or confiscation; (iii) any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10180"/>
          </w:cols>
          <w:pgMar w:left="1380" w:top="102"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520"/>
        <w:spacing w:after="0" w:line="228" w:lineRule="auto"/>
        <w:rPr>
          <w:sz w:val="20"/>
          <w:szCs w:val="20"/>
          <w:color w:val="auto"/>
        </w:rPr>
      </w:pPr>
      <w:r>
        <w:rPr>
          <w:rFonts w:ascii="Times New Roman" w:cs="Times New Roman" w:eastAsia="Times New Roman" w:hAnsi="Times New Roman"/>
          <w:sz w:val="19"/>
          <w:szCs w:val="19"/>
          <w:color w:val="auto"/>
        </w:rPr>
        <w:t>Law that renders a Party unable to perform any of its obligations under this MSA without being in violation of such Law; (iv) embargoes or blockades, action by any Governmental Entity (whether or not having the effect of Law), national or regional</w:t>
      </w:r>
    </w:p>
    <w:p>
      <w:pPr>
        <w:ind w:right="880"/>
        <w:spacing w:after="0" w:line="208" w:lineRule="auto"/>
        <w:rPr>
          <w:sz w:val="20"/>
          <w:szCs w:val="20"/>
          <w:color w:val="auto"/>
        </w:rPr>
      </w:pPr>
      <w:r>
        <w:rPr>
          <w:rFonts w:ascii="Times New Roman" w:cs="Times New Roman" w:eastAsia="Times New Roman" w:hAnsi="Times New Roman"/>
          <w:sz w:val="19"/>
          <w:szCs w:val="19"/>
          <w:color w:val="auto"/>
        </w:rPr>
        <w:t>emergency; (v) power failures, strikes, labor stoppages, and (vi) severe shortages of raw materials or devices that affect a material portion of the MLPE industry, verified by two or more of the affected raw materials or device suppliers or by an</w:t>
      </w:r>
    </w:p>
    <w:p>
      <w:pPr>
        <w:spacing w:after="0" w:line="217" w:lineRule="auto"/>
        <w:rPr>
          <w:sz w:val="20"/>
          <w:szCs w:val="20"/>
          <w:color w:val="auto"/>
        </w:rPr>
      </w:pPr>
      <w:r>
        <w:rPr>
          <w:rFonts w:ascii="Times New Roman" w:cs="Times New Roman" w:eastAsia="Times New Roman" w:hAnsi="Times New Roman"/>
          <w:sz w:val="19"/>
          <w:szCs w:val="19"/>
          <w:color w:val="auto"/>
        </w:rPr>
        <w:t>independent engineering firm; provided, however, notwithstanding the foregoing, the following events shall not constitute Force</w:t>
      </w:r>
    </w:p>
    <w:p>
      <w:pPr>
        <w:spacing w:after="0" w:line="1" w:lineRule="exact"/>
        <w:rPr>
          <w:sz w:val="20"/>
          <w:szCs w:val="20"/>
          <w:color w:val="auto"/>
        </w:rPr>
      </w:pPr>
    </w:p>
    <w:p>
      <w:pPr>
        <w:ind w:right="340"/>
        <w:spacing w:after="0" w:line="208" w:lineRule="auto"/>
        <w:rPr>
          <w:sz w:val="20"/>
          <w:szCs w:val="20"/>
          <w:color w:val="auto"/>
        </w:rPr>
      </w:pPr>
      <w:r>
        <w:rPr>
          <w:rFonts w:ascii="Times New Roman" w:cs="Times New Roman" w:eastAsia="Times New Roman" w:hAnsi="Times New Roman"/>
          <w:sz w:val="19"/>
          <w:szCs w:val="19"/>
          <w:color w:val="auto"/>
        </w:rPr>
        <w:t>Majeure Events: (A) a Party’s failure to apply in a timely and complete manner for any necessary or required permits or approvals of any type, unless the failure is due to a Force Majeure Event; or (B) any equipment failure except if such equipment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failure is due to a Force Majeure Event.</w:t>
      </w:r>
    </w:p>
    <w:p>
      <w:pPr>
        <w:spacing w:after="0" w:line="153" w:lineRule="exact"/>
        <w:rPr>
          <w:sz w:val="20"/>
          <w:szCs w:val="20"/>
          <w:color w:val="auto"/>
        </w:rPr>
      </w:pPr>
    </w:p>
    <w:p>
      <w:pPr>
        <w:ind w:right="360" w:firstLine="1253"/>
        <w:spacing w:after="0" w:line="219" w:lineRule="auto"/>
        <w:tabs>
          <w:tab w:leader="none" w:pos="2088"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Neither Party will be liable to the other Party for any failure or delay in its performance under this MSA to the extent resulting from a Force Majeure Event. The non- performing party shall use commercially reasonable efforts to provide the other Party with: (a) oral notice of the Force Majeure Event as soon as possible and no later than forty-eight (48) hours of its commencement; and (b) written notice of the Force Majeure as soon as possible and no later than three (3) Business Days of its commencement. The suspension of performance due to a claim of Force Majeure Event will be of the scope and duration required by the Force Majeure Event. The Party seeking to invoke a Force Majeure Event must be able to objectively establish the requirements of this </w:t>
      </w:r>
      <w:r>
        <w:rPr>
          <w:rFonts w:ascii="Times New Roman" w:cs="Times New Roman" w:eastAsia="Times New Roman" w:hAnsi="Times New Roman"/>
          <w:sz w:val="19"/>
          <w:szCs w:val="19"/>
          <w:u w:val="single" w:color="auto"/>
          <w:color w:val="auto"/>
        </w:rPr>
        <w:t>Section 9.2</w:t>
      </w:r>
      <w:r>
        <w:rPr>
          <w:rFonts w:ascii="Times New Roman" w:cs="Times New Roman" w:eastAsia="Times New Roman" w:hAnsi="Times New Roman"/>
          <w:sz w:val="19"/>
          <w:szCs w:val="19"/>
          <w:color w:val="auto"/>
        </w:rPr>
        <w:t xml:space="preserve"> and will use commercially reasonable efforts to expeditiously mitigate and overcome the Force Majeure Event.</w:t>
      </w:r>
    </w:p>
    <w:p>
      <w:pPr>
        <w:spacing w:after="0" w:line="160" w:lineRule="exact"/>
        <w:rPr>
          <w:sz w:val="20"/>
          <w:szCs w:val="20"/>
          <w:color w:val="auto"/>
        </w:rPr>
      </w:pPr>
    </w:p>
    <w:p>
      <w:pPr>
        <w:ind w:right="300" w:firstLine="629"/>
        <w:spacing w:after="0" w:line="222" w:lineRule="auto"/>
        <w:rPr>
          <w:sz w:val="20"/>
          <w:szCs w:val="20"/>
          <w:color w:val="auto"/>
        </w:rPr>
      </w:pPr>
      <w:r>
        <w:rPr>
          <w:rFonts w:ascii="Times New Roman" w:cs="Times New Roman" w:eastAsia="Times New Roman" w:hAnsi="Times New Roman"/>
          <w:sz w:val="19"/>
          <w:szCs w:val="19"/>
          <w:color w:val="auto"/>
        </w:rPr>
        <w:t xml:space="preserve">9.3 </w:t>
      </w:r>
      <w:r>
        <w:rPr>
          <w:rFonts w:ascii="Times New Roman" w:cs="Times New Roman" w:eastAsia="Times New Roman" w:hAnsi="Times New Roman"/>
          <w:sz w:val="19"/>
          <w:szCs w:val="19"/>
          <w:b w:val="1"/>
          <w:bCs w:val="1"/>
          <w:u w:val="single" w:color="auto"/>
          <w:color w:val="auto"/>
        </w:rPr>
        <w:t>Governing Law; Venue</w:t>
      </w:r>
      <w:r>
        <w:rPr>
          <w:rFonts w:ascii="Times New Roman" w:cs="Times New Roman" w:eastAsia="Times New Roman" w:hAnsi="Times New Roman"/>
          <w:sz w:val="19"/>
          <w:szCs w:val="19"/>
          <w:color w:val="auto"/>
        </w:rPr>
        <w:t>. This MSA and any disputes under this MSA shall be governed by and construed in accordance with the internal Laws of the State of California without giving effect to any choice or conflict of law provision or</w:t>
      </w:r>
    </w:p>
    <w:p>
      <w:pPr>
        <w:spacing w:after="0" w:line="216" w:lineRule="auto"/>
        <w:rPr>
          <w:sz w:val="20"/>
          <w:szCs w:val="20"/>
          <w:color w:val="auto"/>
        </w:rPr>
      </w:pPr>
      <w:r>
        <w:rPr>
          <w:rFonts w:ascii="Times New Roman" w:cs="Times New Roman" w:eastAsia="Times New Roman" w:hAnsi="Times New Roman"/>
          <w:sz w:val="19"/>
          <w:szCs w:val="19"/>
          <w:color w:val="auto"/>
        </w:rPr>
        <w:t>rule (whether of the State of California or any other jurisdiction) that would cause the application of Laws of any jurisdiction</w:t>
      </w:r>
    </w:p>
    <w:p>
      <w:pPr>
        <w:ind w:right="300"/>
        <w:spacing w:after="0" w:line="226" w:lineRule="auto"/>
        <w:rPr>
          <w:sz w:val="20"/>
          <w:szCs w:val="20"/>
          <w:color w:val="auto"/>
        </w:rPr>
      </w:pPr>
      <w:r>
        <w:rPr>
          <w:rFonts w:ascii="Times New Roman" w:cs="Times New Roman" w:eastAsia="Times New Roman" w:hAnsi="Times New Roman"/>
          <w:sz w:val="19"/>
          <w:szCs w:val="19"/>
          <w:color w:val="auto"/>
        </w:rPr>
        <w:t>other than those of the State of California. The Parties consent to the exclusive jurisdiction of, and venue in, the state and federal courts in San Francisco, California for resolution of any disputes arising out of or related to the MSA.</w:t>
      </w:r>
    </w:p>
    <w:p>
      <w:pPr>
        <w:spacing w:after="0" w:line="155"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19"/>
          <w:szCs w:val="19"/>
          <w:color w:val="auto"/>
        </w:rPr>
        <w:t>9.4</w:t>
      </w:r>
      <w:r>
        <w:rPr>
          <w:sz w:val="20"/>
          <w:szCs w:val="20"/>
          <w:color w:val="auto"/>
        </w:rPr>
        <w:tab/>
      </w:r>
      <w:r>
        <w:rPr>
          <w:rFonts w:ascii="Times New Roman" w:cs="Times New Roman" w:eastAsia="Times New Roman" w:hAnsi="Times New Roman"/>
          <w:sz w:val="19"/>
          <w:szCs w:val="19"/>
          <w:b w:val="1"/>
          <w:bCs w:val="1"/>
          <w:u w:val="single" w:color="auto"/>
          <w:color w:val="auto"/>
        </w:rPr>
        <w:t>Attorneys’ Fees</w:t>
      </w:r>
      <w:r>
        <w:rPr>
          <w:rFonts w:ascii="Times New Roman" w:cs="Times New Roman" w:eastAsia="Times New Roman" w:hAnsi="Times New Roman"/>
          <w:sz w:val="19"/>
          <w:szCs w:val="19"/>
          <w:color w:val="auto"/>
        </w:rPr>
        <w:t>. If any legal action or other legal proceeding relating to this MSA is brought against any</w:t>
      </w:r>
    </w:p>
    <w:p>
      <w:pPr>
        <w:spacing w:after="0" w:line="2"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9"/>
          <w:szCs w:val="19"/>
          <w:color w:val="auto"/>
        </w:rPr>
        <w:t>Party, the prevailing Party shall be entitled to recover its reasonable attorneys’ fees, costs and disbursements (in addition to any other relief to which the prevailing Party may be entitled).</w:t>
      </w:r>
    </w:p>
    <w:p>
      <w:pPr>
        <w:spacing w:after="0" w:line="200" w:lineRule="exact"/>
        <w:rPr>
          <w:sz w:val="20"/>
          <w:szCs w:val="20"/>
          <w:color w:val="auto"/>
        </w:rPr>
      </w:pPr>
    </w:p>
    <w:p>
      <w:pPr>
        <w:spacing w:after="0" w:line="282"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19"/>
          <w:szCs w:val="19"/>
          <w:color w:val="auto"/>
        </w:rPr>
        <w:t>9.5</w:t>
      </w:r>
      <w:r>
        <w:rPr>
          <w:sz w:val="20"/>
          <w:szCs w:val="20"/>
          <w:color w:val="auto"/>
        </w:rPr>
        <w:tab/>
      </w: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 All notices and communications under this Agreement shall be in writing and shall be deemed to</w:t>
      </w:r>
    </w:p>
    <w:p>
      <w:pPr>
        <w:spacing w:after="0" w:line="2" w:lineRule="exact"/>
        <w:rPr>
          <w:sz w:val="20"/>
          <w:szCs w:val="20"/>
          <w:color w:val="auto"/>
        </w:rPr>
      </w:pPr>
    </w:p>
    <w:p>
      <w:pPr>
        <w:ind w:right="300"/>
        <w:spacing w:after="0" w:line="208" w:lineRule="auto"/>
        <w:rPr>
          <w:sz w:val="20"/>
          <w:szCs w:val="20"/>
          <w:color w:val="auto"/>
        </w:rPr>
      </w:pPr>
      <w:r>
        <w:rPr>
          <w:rFonts w:ascii="Times New Roman" w:cs="Times New Roman" w:eastAsia="Times New Roman" w:hAnsi="Times New Roman"/>
          <w:sz w:val="19"/>
          <w:szCs w:val="19"/>
          <w:color w:val="auto"/>
        </w:rPr>
        <w:t>have been duly given and made (a) when served by personal delivery upon the Party for whom it is intended, (b) upon receipt when delivered by courier service, or (c) on the date sent by e-mail (with confirmation of receipt, such as by the “return receipt</w:t>
      </w:r>
    </w:p>
    <w:p>
      <w:pPr>
        <w:spacing w:after="0" w:line="2" w:lineRule="exact"/>
        <w:rPr>
          <w:sz w:val="20"/>
          <w:szCs w:val="20"/>
          <w:color w:val="auto"/>
        </w:rPr>
      </w:pPr>
    </w:p>
    <w:p>
      <w:pPr>
        <w:ind w:right="300"/>
        <w:spacing w:after="0" w:line="208" w:lineRule="auto"/>
        <w:rPr>
          <w:sz w:val="20"/>
          <w:szCs w:val="20"/>
          <w:color w:val="auto"/>
        </w:rPr>
      </w:pPr>
      <w:r>
        <w:rPr>
          <w:rFonts w:ascii="Times New Roman" w:cs="Times New Roman" w:eastAsia="Times New Roman" w:hAnsi="Times New Roman"/>
          <w:sz w:val="19"/>
          <w:szCs w:val="19"/>
          <w:color w:val="auto"/>
        </w:rPr>
        <w:t>requested” function, as available, express email response or other express written acknowledgment). Notices and communications and confirmations to the Parties shall be sent to the addresses set forth below, unless another address has been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specified in writing by such Party in a notice delivered under this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0180"/>
          </w:cols>
          <w:pgMar w:left="1380" w:top="102"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4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If to Enphase:</w:t>
            </w:r>
          </w:p>
        </w:tc>
        <w:tc>
          <w:tcPr>
            <w:tcW w:w="800" w:type="dxa"/>
            <w:vAlign w:val="bottom"/>
            <w:gridSpan w:val="2"/>
          </w:tcPr>
          <w:p>
            <w:pPr>
              <w:spacing w:after="0"/>
              <w:rPr>
                <w:sz w:val="19"/>
                <w:szCs w:val="19"/>
                <w:color w:val="auto"/>
              </w:rPr>
            </w:pPr>
          </w:p>
        </w:tc>
        <w:tc>
          <w:tcPr>
            <w:tcW w:w="37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Copy to:</w:t>
            </w:r>
          </w:p>
        </w:tc>
        <w:tc>
          <w:tcPr>
            <w:tcW w:w="420" w:type="dxa"/>
            <w:vAlign w:val="bottom"/>
          </w:tcPr>
          <w:p>
            <w:pPr>
              <w:spacing w:after="0"/>
              <w:rPr>
                <w:sz w:val="19"/>
                <w:szCs w:val="19"/>
                <w:color w:val="auto"/>
              </w:rPr>
            </w:pPr>
          </w:p>
        </w:tc>
      </w:tr>
      <w:tr>
        <w:trPr>
          <w:trHeight w:val="255"/>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Enphase Energy, Inc.</w:t>
            </w: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Enphase Energy, Inc.</w:t>
            </w:r>
          </w:p>
        </w:tc>
      </w:tr>
      <w:tr>
        <w:trPr>
          <w:trHeight w:val="275"/>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1420 N. McDowell Blvd.</w:t>
            </w: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1420 N. McDowell Blvd.</w:t>
            </w:r>
          </w:p>
        </w:tc>
      </w:tr>
      <w:tr>
        <w:trPr>
          <w:trHeight w:val="275"/>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Petaluma, CA 94954</w:t>
            </w: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Petaluma, CA 94954</w:t>
            </w:r>
          </w:p>
        </w:tc>
      </w:tr>
      <w:tr>
        <w:trPr>
          <w:trHeight w:val="275"/>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Email: bkothandaraman@enphaseenergy.com</w:t>
            </w: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Email: legal@enphaseenergy.com</w:t>
            </w:r>
          </w:p>
        </w:tc>
      </w:tr>
      <w:tr>
        <w:trPr>
          <w:trHeight w:val="275"/>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Attention: Badrinarayanan Kothandaraman,</w:t>
            </w: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Attention: General Counsel</w:t>
            </w:r>
          </w:p>
        </w:tc>
      </w:tr>
      <w:tr>
        <w:trPr>
          <w:trHeight w:val="275"/>
        </w:trPr>
        <w:tc>
          <w:tcPr>
            <w:tcW w:w="48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and</w:t>
            </w:r>
          </w:p>
        </w:tc>
      </w:tr>
      <w:tr>
        <w:trPr>
          <w:trHeight w:val="275"/>
        </w:trPr>
        <w:tc>
          <w:tcPr>
            <w:tcW w:w="48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Arnold &amp; Porter Kaye Scholer LLP</w:t>
            </w:r>
          </w:p>
        </w:tc>
      </w:tr>
      <w:tr>
        <w:trPr>
          <w:trHeight w:val="275"/>
        </w:trPr>
        <w:tc>
          <w:tcPr>
            <w:tcW w:w="48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250 West 55th Street</w:t>
            </w:r>
          </w:p>
        </w:tc>
      </w:tr>
      <w:tr>
        <w:trPr>
          <w:trHeight w:val="275"/>
        </w:trPr>
        <w:tc>
          <w:tcPr>
            <w:tcW w:w="48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New York, NY 10019-9710</w:t>
            </w:r>
          </w:p>
        </w:tc>
      </w:tr>
      <w:tr>
        <w:trPr>
          <w:trHeight w:val="275"/>
        </w:trPr>
        <w:tc>
          <w:tcPr>
            <w:tcW w:w="48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Email: michael.penney@arnoldporter.com</w:t>
            </w:r>
          </w:p>
        </w:tc>
      </w:tr>
      <w:tr>
        <w:trPr>
          <w:trHeight w:val="275"/>
        </w:trPr>
        <w:tc>
          <w:tcPr>
            <w:tcW w:w="48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Attention: Michael Penney</w:t>
            </w:r>
          </w:p>
        </w:tc>
      </w:tr>
      <w:tr>
        <w:trPr>
          <w:trHeight w:val="748"/>
        </w:trPr>
        <w:tc>
          <w:tcPr>
            <w:tcW w:w="480" w:type="dxa"/>
            <w:vAlign w:val="bottom"/>
          </w:tcPr>
          <w:p>
            <w:pPr>
              <w:spacing w:after="0"/>
              <w:rPr>
                <w:sz w:val="24"/>
                <w:szCs w:val="24"/>
                <w:color w:val="auto"/>
              </w:rPr>
            </w:pPr>
          </w:p>
        </w:tc>
        <w:tc>
          <w:tcPr>
            <w:tcW w:w="3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If to SunPower:</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Copy to:</w:t>
            </w:r>
          </w:p>
        </w:tc>
        <w:tc>
          <w:tcPr>
            <w:tcW w:w="660" w:type="dxa"/>
            <w:vAlign w:val="bottom"/>
            <w:gridSpan w:val="2"/>
          </w:tcPr>
          <w:p>
            <w:pPr>
              <w:spacing w:after="0"/>
              <w:rPr>
                <w:sz w:val="24"/>
                <w:szCs w:val="24"/>
                <w:color w:val="auto"/>
              </w:rPr>
            </w:pPr>
          </w:p>
        </w:tc>
      </w:tr>
      <w:tr>
        <w:trPr>
          <w:trHeight w:val="255"/>
        </w:trPr>
        <w:tc>
          <w:tcPr>
            <w:tcW w:w="480" w:type="dxa"/>
            <w:vAlign w:val="bottom"/>
          </w:tcPr>
          <w:p>
            <w:pPr>
              <w:spacing w:after="0"/>
              <w:rPr>
                <w:sz w:val="22"/>
                <w:szCs w:val="22"/>
                <w:color w:val="auto"/>
              </w:rPr>
            </w:pPr>
          </w:p>
        </w:tc>
        <w:tc>
          <w:tcPr>
            <w:tcW w:w="4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SunPower Corporation</w:t>
            </w:r>
          </w:p>
        </w:tc>
        <w:tc>
          <w:tcPr>
            <w:tcW w:w="80" w:type="dxa"/>
            <w:vAlign w:val="bottom"/>
          </w:tcPr>
          <w:p>
            <w:pPr>
              <w:spacing w:after="0"/>
              <w:rPr>
                <w:sz w:val="22"/>
                <w:szCs w:val="22"/>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Duane Morris LLP</w:t>
            </w:r>
          </w:p>
        </w:tc>
      </w:tr>
      <w:tr>
        <w:trPr>
          <w:trHeight w:val="275"/>
        </w:trPr>
        <w:tc>
          <w:tcPr>
            <w:tcW w:w="480" w:type="dxa"/>
            <w:vAlign w:val="bottom"/>
          </w:tcPr>
          <w:p>
            <w:pPr>
              <w:spacing w:after="0"/>
              <w:rPr>
                <w:sz w:val="23"/>
                <w:szCs w:val="23"/>
                <w:color w:val="auto"/>
              </w:rPr>
            </w:pPr>
          </w:p>
        </w:tc>
        <w:tc>
          <w:tcPr>
            <w:tcW w:w="4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77 Rio Robles</w:t>
            </w:r>
          </w:p>
        </w:tc>
        <w:tc>
          <w:tcPr>
            <w:tcW w:w="80" w:type="dxa"/>
            <w:vAlign w:val="bottom"/>
          </w:tcPr>
          <w:p>
            <w:pPr>
              <w:spacing w:after="0"/>
              <w:rPr>
                <w:sz w:val="23"/>
                <w:szCs w:val="23"/>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7500 Rialto Boulevard</w:t>
            </w:r>
          </w:p>
        </w:tc>
      </w:tr>
      <w:tr>
        <w:trPr>
          <w:trHeight w:val="275"/>
        </w:trPr>
        <w:tc>
          <w:tcPr>
            <w:tcW w:w="480" w:type="dxa"/>
            <w:vAlign w:val="bottom"/>
          </w:tcPr>
          <w:p>
            <w:pPr>
              <w:spacing w:after="0"/>
              <w:rPr>
                <w:sz w:val="23"/>
                <w:szCs w:val="23"/>
                <w:color w:val="auto"/>
              </w:rPr>
            </w:pPr>
          </w:p>
        </w:tc>
        <w:tc>
          <w:tcPr>
            <w:tcW w:w="4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San Jose, CA 95134</w:t>
            </w:r>
          </w:p>
        </w:tc>
        <w:tc>
          <w:tcPr>
            <w:tcW w:w="80" w:type="dxa"/>
            <w:vAlign w:val="bottom"/>
          </w:tcPr>
          <w:p>
            <w:pPr>
              <w:spacing w:after="0"/>
              <w:rPr>
                <w:sz w:val="23"/>
                <w:szCs w:val="23"/>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Building 1, Suite 230</w:t>
            </w:r>
          </w:p>
        </w:tc>
      </w:tr>
      <w:tr>
        <w:trPr>
          <w:trHeight w:val="275"/>
        </w:trPr>
        <w:tc>
          <w:tcPr>
            <w:tcW w:w="480" w:type="dxa"/>
            <w:vAlign w:val="bottom"/>
          </w:tcPr>
          <w:p>
            <w:pPr>
              <w:spacing w:after="0"/>
              <w:rPr>
                <w:sz w:val="23"/>
                <w:szCs w:val="23"/>
                <w:color w:val="auto"/>
              </w:rPr>
            </w:pPr>
          </w:p>
        </w:tc>
        <w:tc>
          <w:tcPr>
            <w:tcW w:w="4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Email: legalnoticesunpower@sunpower.com</w:t>
            </w:r>
          </w:p>
        </w:tc>
        <w:tc>
          <w:tcPr>
            <w:tcW w:w="80" w:type="dxa"/>
            <w:vAlign w:val="bottom"/>
          </w:tcPr>
          <w:p>
            <w:pPr>
              <w:spacing w:after="0"/>
              <w:rPr>
                <w:sz w:val="23"/>
                <w:szCs w:val="23"/>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Austin, TX 78735-8560</w:t>
            </w:r>
          </w:p>
        </w:tc>
      </w:tr>
      <w:tr>
        <w:trPr>
          <w:trHeight w:val="275"/>
        </w:trPr>
        <w:tc>
          <w:tcPr>
            <w:tcW w:w="480" w:type="dxa"/>
            <w:vAlign w:val="bottom"/>
          </w:tcPr>
          <w:p>
            <w:pPr>
              <w:spacing w:after="0"/>
              <w:rPr>
                <w:sz w:val="23"/>
                <w:szCs w:val="23"/>
                <w:color w:val="auto"/>
              </w:rPr>
            </w:pPr>
          </w:p>
        </w:tc>
        <w:tc>
          <w:tcPr>
            <w:tcW w:w="4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Attention: General Counsel</w:t>
            </w:r>
          </w:p>
        </w:tc>
        <w:tc>
          <w:tcPr>
            <w:tcW w:w="80" w:type="dxa"/>
            <w:vAlign w:val="bottom"/>
          </w:tcPr>
          <w:p>
            <w:pPr>
              <w:spacing w:after="0"/>
              <w:rPr>
                <w:sz w:val="23"/>
                <w:szCs w:val="23"/>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Email: bthompson@duanemorris.com</w:t>
            </w:r>
          </w:p>
        </w:tc>
      </w:tr>
      <w:tr>
        <w:trPr>
          <w:trHeight w:val="564"/>
        </w:trPr>
        <w:tc>
          <w:tcPr>
            <w:tcW w:w="4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9.6</w:t>
            </w:r>
          </w:p>
        </w:tc>
        <w:tc>
          <w:tcPr>
            <w:tcW w:w="8520" w:type="dxa"/>
            <w:vAlign w:val="bottom"/>
            <w:gridSpan w:val="7"/>
          </w:tcPr>
          <w:p>
            <w:pPr>
              <w:ind w:left="340"/>
              <w:spacing w:after="0"/>
              <w:rPr>
                <w:sz w:val="20"/>
                <w:szCs w:val="20"/>
                <w:color w:val="auto"/>
              </w:rPr>
            </w:pPr>
            <w:r>
              <w:rPr>
                <w:rFonts w:ascii="Times New Roman" w:cs="Times New Roman" w:eastAsia="Times New Roman" w:hAnsi="Times New Roman"/>
                <w:sz w:val="19"/>
                <w:szCs w:val="19"/>
                <w:b w:val="1"/>
                <w:bCs w:val="1"/>
                <w:u w:val="single" w:color="auto"/>
                <w:color w:val="auto"/>
              </w:rPr>
              <w:t>Relationship of the Parties</w:t>
            </w:r>
            <w:r>
              <w:rPr>
                <w:rFonts w:ascii="Times New Roman" w:cs="Times New Roman" w:eastAsia="Times New Roman" w:hAnsi="Times New Roman"/>
                <w:sz w:val="19"/>
                <w:szCs w:val="19"/>
                <w:color w:val="auto"/>
              </w:rPr>
              <w:t>. The relationship of SunPower and Enphase established by this MSA is that</w:t>
            </w:r>
          </w:p>
        </w:tc>
      </w:tr>
    </w:tbl>
    <w:p>
      <w:pPr>
        <w:jc w:val="both"/>
        <w:ind w:right="380"/>
        <w:spacing w:after="0" w:line="208" w:lineRule="auto"/>
        <w:rPr>
          <w:sz w:val="20"/>
          <w:szCs w:val="20"/>
          <w:color w:val="auto"/>
        </w:rPr>
      </w:pPr>
      <w:r>
        <w:rPr>
          <w:rFonts w:ascii="Times New Roman" w:cs="Times New Roman" w:eastAsia="Times New Roman" w:hAnsi="Times New Roman"/>
          <w:sz w:val="19"/>
          <w:szCs w:val="19"/>
          <w:color w:val="auto"/>
        </w:rPr>
        <w:t>of independent contractors. Nothing in this MSA shall be construed to create a form of joint employer, joint venture, partnership, or similar relationship between the Parties. Neither Party shall have any right, power or authority to assume, create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incur any expense, liability or obligation, express or implied, on behalf of the other.</w:t>
      </w:r>
    </w:p>
    <w:p>
      <w:pPr>
        <w:spacing w:after="0" w:line="177"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19"/>
          <w:szCs w:val="19"/>
          <w:color w:val="auto"/>
        </w:rPr>
        <w:t>9.7</w:t>
      </w:r>
      <w:r>
        <w:rPr>
          <w:sz w:val="20"/>
          <w:szCs w:val="20"/>
          <w:color w:val="auto"/>
        </w:rPr>
        <w:tab/>
      </w:r>
      <w:r>
        <w:rPr>
          <w:rFonts w:ascii="Times New Roman" w:cs="Times New Roman" w:eastAsia="Times New Roman" w:hAnsi="Times New Roman"/>
          <w:sz w:val="19"/>
          <w:szCs w:val="19"/>
          <w:b w:val="1"/>
          <w:bCs w:val="1"/>
          <w:u w:val="single" w:color="auto"/>
          <w:color w:val="auto"/>
        </w:rPr>
        <w:t>Dispute Resolution</w:t>
      </w:r>
      <w:r>
        <w:rPr>
          <w:rFonts w:ascii="Times New Roman" w:cs="Times New Roman" w:eastAsia="Times New Roman" w:hAnsi="Times New Roman"/>
          <w:sz w:val="19"/>
          <w:szCs w:val="19"/>
          <w:color w:val="auto"/>
        </w:rPr>
        <w:t>. In the event of any dispute arising under this MSA, within ten (10) days following the</w:t>
      </w:r>
    </w:p>
    <w:p>
      <w:pPr>
        <w:spacing w:after="0" w:line="2" w:lineRule="exact"/>
        <w:rPr>
          <w:sz w:val="20"/>
          <w:szCs w:val="20"/>
          <w:color w:val="auto"/>
        </w:rPr>
      </w:pPr>
    </w:p>
    <w:p>
      <w:pPr>
        <w:ind w:right="280"/>
        <w:spacing w:after="0" w:line="208" w:lineRule="auto"/>
        <w:rPr>
          <w:sz w:val="20"/>
          <w:szCs w:val="20"/>
          <w:color w:val="auto"/>
        </w:rPr>
      </w:pPr>
      <w:r>
        <w:rPr>
          <w:rFonts w:ascii="Times New Roman" w:cs="Times New Roman" w:eastAsia="Times New Roman" w:hAnsi="Times New Roman"/>
          <w:sz w:val="19"/>
          <w:szCs w:val="19"/>
          <w:color w:val="auto"/>
        </w:rPr>
        <w:t>receipt of a written notice from either Party identifying such dispute, the Parties shall meet (either in person or by teleconference), negotiate and attempt, in good faith, to resolve the dispute quickly, informally and inexpensively. If the Parties</w:t>
      </w:r>
    </w:p>
    <w:p>
      <w:pPr>
        <w:spacing w:after="0" w:line="217" w:lineRule="auto"/>
        <w:rPr>
          <w:sz w:val="20"/>
          <w:szCs w:val="20"/>
          <w:color w:val="auto"/>
        </w:rPr>
      </w:pPr>
      <w:r>
        <w:rPr>
          <w:rFonts w:ascii="Times New Roman" w:cs="Times New Roman" w:eastAsia="Times New Roman" w:hAnsi="Times New Roman"/>
          <w:sz w:val="19"/>
          <w:szCs w:val="19"/>
          <w:color w:val="auto"/>
        </w:rPr>
        <w:t>are unable to resolve a dispute within thirty (30) days after notice of the dispute, either Party may seek all remedies available to</w:t>
      </w:r>
    </w:p>
    <w:p>
      <w:pPr>
        <w:spacing w:after="0" w:line="1"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9"/>
          <w:szCs w:val="19"/>
          <w:color w:val="auto"/>
        </w:rPr>
        <w:t xml:space="preserve">it at Law; provided that this </w:t>
      </w:r>
      <w:r>
        <w:rPr>
          <w:rFonts w:ascii="Times New Roman" w:cs="Times New Roman" w:eastAsia="Times New Roman" w:hAnsi="Times New Roman"/>
          <w:sz w:val="19"/>
          <w:szCs w:val="19"/>
          <w:u w:val="single" w:color="auto"/>
          <w:color w:val="auto"/>
        </w:rPr>
        <w:t>Section 9.7</w:t>
      </w:r>
      <w:r>
        <w:rPr>
          <w:rFonts w:ascii="Times New Roman" w:cs="Times New Roman" w:eastAsia="Times New Roman" w:hAnsi="Times New Roman"/>
          <w:sz w:val="19"/>
          <w:szCs w:val="19"/>
          <w:color w:val="auto"/>
        </w:rPr>
        <w:t xml:space="preserve"> shall not limit either Party’s right to seek injunctive relief at any time as may be appropriate under applicable Law.</w:t>
      </w:r>
    </w:p>
    <w:p>
      <w:pPr>
        <w:spacing w:after="0" w:line="15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9.8</w:t>
      </w:r>
      <w:r>
        <w:rPr>
          <w:sz w:val="20"/>
          <w:szCs w:val="20"/>
          <w:color w:val="auto"/>
        </w:rPr>
        <w:tab/>
      </w:r>
      <w:r>
        <w:rPr>
          <w:rFonts w:ascii="Times New Roman" w:cs="Times New Roman" w:eastAsia="Times New Roman" w:hAnsi="Times New Roman"/>
          <w:sz w:val="19"/>
          <w:szCs w:val="19"/>
          <w:b w:val="1"/>
          <w:bCs w:val="1"/>
          <w:u w:val="single" w:color="auto"/>
          <w:color w:val="auto"/>
        </w:rPr>
        <w:t>Successors and Assigns; Parties In Interest</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ind w:left="2080" w:hanging="827"/>
        <w:spacing w:after="0"/>
        <w:tabs>
          <w:tab w:leader="none" w:pos="208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MSA shall be binding upon and inure to the benefit of the Parties and their respective successors</w:t>
      </w:r>
    </w:p>
    <w:p>
      <w:pPr>
        <w:spacing w:after="0"/>
        <w:rPr>
          <w:sz w:val="20"/>
          <w:szCs w:val="20"/>
          <w:color w:val="auto"/>
        </w:rPr>
      </w:pPr>
      <w:r>
        <w:rPr>
          <w:rFonts w:ascii="Times New Roman" w:cs="Times New Roman" w:eastAsia="Times New Roman" w:hAnsi="Times New Roman"/>
          <w:sz w:val="19"/>
          <w:szCs w:val="19"/>
          <w:color w:val="auto"/>
        </w:rPr>
        <w:t>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23</w:t>
      </w:r>
    </w:p>
    <w:p>
      <w:pPr>
        <w:sectPr>
          <w:pgSz w:w="11900" w:h="16838" w:orient="portrait"/>
          <w:cols w:equalWidth="0" w:num="1">
            <w:col w:w="10180"/>
          </w:cols>
          <w:pgMar w:left="1380" w:top="102"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20" w:firstLine="1253"/>
        <w:spacing w:after="0" w:line="236" w:lineRule="auto"/>
        <w:tabs>
          <w:tab w:leader="none" w:pos="2086"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for the rights of any Indemnified Parties arising under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this MSA shall not confer any rights or remedies upon any Person other than the Parties and their respective successors and permitted assigns and, to the extent specified in this MSA, their respective Affiliates.</w:t>
      </w:r>
    </w:p>
    <w:p>
      <w:pPr>
        <w:spacing w:after="0" w:line="142" w:lineRule="exact"/>
        <w:rPr>
          <w:rFonts w:ascii="Times New Roman" w:cs="Times New Roman" w:eastAsia="Times New Roman" w:hAnsi="Times New Roman"/>
          <w:sz w:val="19"/>
          <w:szCs w:val="19"/>
          <w:color w:val="auto"/>
        </w:rPr>
      </w:pPr>
    </w:p>
    <w:p>
      <w:pPr>
        <w:jc w:val="both"/>
        <w:ind w:right="380" w:firstLine="1253"/>
        <w:spacing w:after="0" w:line="221" w:lineRule="auto"/>
        <w:tabs>
          <w:tab w:leader="none" w:pos="2088"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Party may assign either this MSA or any of its rights, interests, or obligations under this MSA without the prior written approval of the other Party, which written approval shall not be unreasonably withheld or delayed. This MSA, and all rights, interests and obligations under this MSA, may be assigned without such consent (i) to a wholly-owned subsidiary of Enphase so long as Enphase remains liable, (ii) to any entity that acquires substantially all of the Enphase’s business or assets so long as the acquirer assumes all of the Enphase’s obligations under this MSA or (iii) as collateral under any security interest in the Enphase’s assets.</w:t>
      </w:r>
    </w:p>
    <w:p>
      <w:pPr>
        <w:spacing w:after="0" w:line="155"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19"/>
          <w:szCs w:val="19"/>
          <w:color w:val="auto"/>
        </w:rPr>
        <w:t>9.9</w:t>
      </w:r>
      <w:r>
        <w:rPr>
          <w:sz w:val="20"/>
          <w:szCs w:val="20"/>
          <w:color w:val="auto"/>
        </w:rPr>
        <w:tab/>
      </w:r>
      <w:r>
        <w:rPr>
          <w:rFonts w:ascii="Times New Roman" w:cs="Times New Roman" w:eastAsia="Times New Roman" w:hAnsi="Times New Roman"/>
          <w:sz w:val="19"/>
          <w:szCs w:val="19"/>
          <w:b w:val="1"/>
          <w:bCs w:val="1"/>
          <w:u w:val="single" w:color="auto"/>
          <w:color w:val="auto"/>
        </w:rPr>
        <w:t>Remedies Cumulative; Specific Performance</w:t>
      </w:r>
      <w:r>
        <w:rPr>
          <w:rFonts w:ascii="Times New Roman" w:cs="Times New Roman" w:eastAsia="Times New Roman" w:hAnsi="Times New Roman"/>
          <w:sz w:val="19"/>
          <w:szCs w:val="19"/>
          <w:color w:val="auto"/>
        </w:rPr>
        <w:t>. The Parties agree that: (a) in the event of any breach or</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9"/>
          <w:szCs w:val="19"/>
          <w:color w:val="auto"/>
        </w:rPr>
        <w:t>threatened breach by a Party of any covenant, obligation or other provision set forth in this MSA, the other Party shall be entitled (in addition to any other remedy that may be available to it) to seek (i) a decree or order of specific performance or mandamus to</w:t>
      </w:r>
    </w:p>
    <w:p>
      <w:pPr>
        <w:spacing w:after="0" w:line="217" w:lineRule="auto"/>
        <w:rPr>
          <w:sz w:val="20"/>
          <w:szCs w:val="20"/>
          <w:color w:val="auto"/>
        </w:rPr>
      </w:pPr>
      <w:r>
        <w:rPr>
          <w:rFonts w:ascii="Times New Roman" w:cs="Times New Roman" w:eastAsia="Times New Roman" w:hAnsi="Times New Roman"/>
          <w:sz w:val="19"/>
          <w:szCs w:val="19"/>
          <w:color w:val="auto"/>
        </w:rPr>
        <w:t>enforce the observance and performance of such covenant, obligation or other provision, and (ii) an injunction restraining such</w:t>
      </w:r>
    </w:p>
    <w:p>
      <w:pPr>
        <w:spacing w:after="0" w:line="1"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9"/>
          <w:szCs w:val="19"/>
          <w:color w:val="auto"/>
        </w:rPr>
        <w:t>breach or threatened breach; and (b) neither Party nor any other Indemnified Party shall be required to provide any bond or other security in connection with any such decree, order or injunction or in connection with any related action or Proceeding.</w:t>
      </w:r>
    </w:p>
    <w:p>
      <w:pPr>
        <w:spacing w:after="0" w:line="155"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19"/>
          <w:szCs w:val="19"/>
          <w:color w:val="auto"/>
        </w:rPr>
        <w:t>9.10</w:t>
      </w:r>
      <w:r>
        <w:rPr>
          <w:sz w:val="20"/>
          <w:szCs w:val="20"/>
          <w:color w:val="auto"/>
        </w:rPr>
        <w:tab/>
      </w: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color w:val="auto"/>
        </w:rPr>
        <w:t>. Any term or provision of this MSA that is invalid or unenforceable in any situation in any</w:t>
      </w:r>
    </w:p>
    <w:p>
      <w:pPr>
        <w:spacing w:after="0" w:line="2"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9"/>
          <w:szCs w:val="19"/>
          <w:color w:val="auto"/>
        </w:rPr>
        <w:t>jurisdiction shall not affect the validity or enforceability of the remaining terms and provisions of this MSA or the validity or enforceability of the offending term or provision in any other situation or in any other jurisdiction. If the final judgment of a</w:t>
      </w:r>
    </w:p>
    <w:p>
      <w:pPr>
        <w:spacing w:after="0" w:line="217" w:lineRule="auto"/>
        <w:rPr>
          <w:sz w:val="20"/>
          <w:szCs w:val="20"/>
          <w:color w:val="auto"/>
        </w:rPr>
      </w:pPr>
      <w:r>
        <w:rPr>
          <w:rFonts w:ascii="Times New Roman" w:cs="Times New Roman" w:eastAsia="Times New Roman" w:hAnsi="Times New Roman"/>
          <w:sz w:val="19"/>
          <w:szCs w:val="19"/>
          <w:color w:val="auto"/>
        </w:rPr>
        <w:t>court of competent jurisdiction declares that any term or provision of this MSA is invalid or unenforceable, the Parties agree that</w:t>
      </w:r>
    </w:p>
    <w:p>
      <w:pPr>
        <w:spacing w:after="0" w:line="1"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9"/>
          <w:szCs w:val="19"/>
          <w:color w:val="auto"/>
        </w:rPr>
        <w:t>the body making the determination of invalidity or unenforceability shall have the power to reduce the scope, duration or area of the term or provision, to delete specific words or phrases, or to replace any invalid or unenforceable term or provision with a</w:t>
      </w:r>
    </w:p>
    <w:p>
      <w:pPr>
        <w:spacing w:after="0" w:line="2"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19"/>
          <w:szCs w:val="19"/>
          <w:color w:val="auto"/>
        </w:rPr>
        <w:t>term or provision that is valid and enforceable and that comes closest to expressing the intention of the invalid or unenforceable term or provision, and this MSA shall be enforceable as so modified.</w:t>
      </w:r>
    </w:p>
    <w:p>
      <w:pPr>
        <w:spacing w:after="0" w:line="142" w:lineRule="exact"/>
        <w:rPr>
          <w:sz w:val="20"/>
          <w:szCs w:val="20"/>
          <w:color w:val="auto"/>
        </w:rPr>
      </w:pPr>
    </w:p>
    <w:p>
      <w:pPr>
        <w:jc w:val="both"/>
        <w:ind w:right="240" w:firstLine="629"/>
        <w:spacing w:after="0" w:line="229" w:lineRule="auto"/>
        <w:rPr>
          <w:sz w:val="20"/>
          <w:szCs w:val="20"/>
          <w:color w:val="auto"/>
        </w:rPr>
      </w:pPr>
      <w:r>
        <w:rPr>
          <w:rFonts w:ascii="Times New Roman" w:cs="Times New Roman" w:eastAsia="Times New Roman" w:hAnsi="Times New Roman"/>
          <w:sz w:val="19"/>
          <w:szCs w:val="19"/>
          <w:color w:val="auto"/>
        </w:rPr>
        <w:t xml:space="preserve">9.11 </w:t>
      </w:r>
      <w:r>
        <w:rPr>
          <w:rFonts w:ascii="Times New Roman" w:cs="Times New Roman" w:eastAsia="Times New Roman" w:hAnsi="Times New Roman"/>
          <w:sz w:val="19"/>
          <w:szCs w:val="19"/>
          <w:b w:val="1"/>
          <w:bCs w:val="1"/>
          <w:u w:val="single" w:color="auto"/>
          <w:color w:val="auto"/>
        </w:rPr>
        <w:t>Entire Agreement; Interpretation</w:t>
      </w:r>
      <w:r>
        <w:rPr>
          <w:rFonts w:ascii="Times New Roman" w:cs="Times New Roman" w:eastAsia="Times New Roman" w:hAnsi="Times New Roman"/>
          <w:sz w:val="19"/>
          <w:szCs w:val="19"/>
          <w:color w:val="auto"/>
        </w:rPr>
        <w:t>. The MSA, the APA, and the Confidentiality Agreement constitute the entire understanding between the Parties concerning their subject matter and supersede all prior discussions, agreements,</w:t>
      </w:r>
    </w:p>
    <w:p>
      <w:pPr>
        <w:ind w:right="220"/>
        <w:spacing w:after="0" w:line="208" w:lineRule="auto"/>
        <w:rPr>
          <w:sz w:val="20"/>
          <w:szCs w:val="20"/>
          <w:color w:val="auto"/>
        </w:rPr>
      </w:pPr>
      <w:r>
        <w:rPr>
          <w:rFonts w:ascii="Times New Roman" w:cs="Times New Roman" w:eastAsia="Times New Roman" w:hAnsi="Times New Roman"/>
          <w:sz w:val="19"/>
          <w:szCs w:val="19"/>
          <w:color w:val="auto"/>
        </w:rPr>
        <w:t>understandings, and representations, including the conflicting terms of any Purchase Order or other document, whether oral or written and whether or not executed by either Party. No modification, amendment or other change may be made to this MSA</w:t>
      </w:r>
    </w:p>
    <w:p>
      <w:pPr>
        <w:spacing w:after="0" w:line="217" w:lineRule="auto"/>
        <w:rPr>
          <w:sz w:val="20"/>
          <w:szCs w:val="20"/>
          <w:color w:val="auto"/>
        </w:rPr>
      </w:pPr>
      <w:r>
        <w:rPr>
          <w:rFonts w:ascii="Times New Roman" w:cs="Times New Roman" w:eastAsia="Times New Roman" w:hAnsi="Times New Roman"/>
          <w:sz w:val="19"/>
          <w:szCs w:val="19"/>
          <w:color w:val="auto"/>
        </w:rPr>
        <w:t>unless in writing and executed by an authorized Representative of each Party. The headings in this MSA are for reference only</w:t>
      </w:r>
    </w:p>
    <w:p>
      <w:pPr>
        <w:spacing w:after="0" w:line="1"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9"/>
          <w:szCs w:val="19"/>
          <w:color w:val="auto"/>
        </w:rPr>
        <w:t>and shall not affect interpretation of the MSA. Consents and approvals hereunder shall not be unreasonably withheld, conditioned or delayed.</w:t>
      </w:r>
    </w:p>
    <w:p>
      <w:pPr>
        <w:spacing w:after="0" w:line="155" w:lineRule="exact"/>
        <w:rPr>
          <w:sz w:val="20"/>
          <w:szCs w:val="20"/>
          <w:color w:val="auto"/>
        </w:rPr>
      </w:pPr>
    </w:p>
    <w:p>
      <w:pPr>
        <w:ind w:left="620"/>
        <w:spacing w:after="0"/>
        <w:tabs>
          <w:tab w:leader="none" w:pos="1440" w:val="left"/>
        </w:tabs>
        <w:rPr>
          <w:sz w:val="20"/>
          <w:szCs w:val="20"/>
          <w:color w:val="auto"/>
        </w:rPr>
      </w:pPr>
      <w:r>
        <w:rPr>
          <w:rFonts w:ascii="Times New Roman" w:cs="Times New Roman" w:eastAsia="Times New Roman" w:hAnsi="Times New Roman"/>
          <w:sz w:val="19"/>
          <w:szCs w:val="19"/>
          <w:color w:val="auto"/>
        </w:rPr>
        <w:t>9.12</w:t>
      </w:r>
      <w:r>
        <w:rPr>
          <w:sz w:val="20"/>
          <w:szCs w:val="20"/>
          <w:color w:val="auto"/>
        </w:rPr>
        <w:tab/>
      </w:r>
      <w:r>
        <w:rPr>
          <w:rFonts w:ascii="Times New Roman" w:cs="Times New Roman" w:eastAsia="Times New Roman" w:hAnsi="Times New Roman"/>
          <w:sz w:val="19"/>
          <w:szCs w:val="19"/>
          <w:b w:val="1"/>
          <w:bCs w:val="1"/>
          <w:u w:val="single" w:color="auto"/>
          <w:color w:val="auto"/>
        </w:rPr>
        <w:t>Counterparts</w:t>
      </w:r>
      <w:r>
        <w:rPr>
          <w:rFonts w:ascii="Times New Roman" w:cs="Times New Roman" w:eastAsia="Times New Roman" w:hAnsi="Times New Roman"/>
          <w:sz w:val="19"/>
          <w:szCs w:val="19"/>
          <w:color w:val="auto"/>
        </w:rPr>
        <w:t>. This MSA may be executed in two or more counterparts, each of which shall for all purposes</w:t>
      </w:r>
    </w:p>
    <w:p>
      <w:pPr>
        <w:spacing w:after="0" w:line="2" w:lineRule="exact"/>
        <w:rPr>
          <w:sz w:val="20"/>
          <w:szCs w:val="20"/>
          <w:color w:val="auto"/>
        </w:rPr>
      </w:pPr>
    </w:p>
    <w:p>
      <w:pPr>
        <w:ind w:right="300"/>
        <w:spacing w:after="0" w:line="208" w:lineRule="auto"/>
        <w:rPr>
          <w:sz w:val="20"/>
          <w:szCs w:val="20"/>
          <w:color w:val="auto"/>
        </w:rPr>
      </w:pPr>
      <w:r>
        <w:rPr>
          <w:rFonts w:ascii="Times New Roman" w:cs="Times New Roman" w:eastAsia="Times New Roman" w:hAnsi="Times New Roman"/>
          <w:sz w:val="19"/>
          <w:szCs w:val="19"/>
          <w:color w:val="auto"/>
        </w:rPr>
        <w:t>be deemed an original and all of which shall constitute one and the same agreement. The exchange of a fully executed MSA (in counterparts or otherwise) by electronic transmission or .pdf format shall be sufficient to bind the Parties to the terms of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MSA.</w:t>
      </w:r>
    </w:p>
    <w:p>
      <w:pPr>
        <w:sectPr>
          <w:pgSz w:w="11900" w:h="16838" w:orient="portrait"/>
          <w:cols w:equalWidth="0" w:num="1">
            <w:col w:w="10180"/>
          </w:cols>
          <w:pgMar w:left="1380" w:top="102"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SunPower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22225</wp:posOffset>
            </wp:positionV>
            <wp:extent cx="31559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3">
                      <a:extLst>
                        <a:ext uri="{28A0092B-C50C-407E-A947-70E740481C1C}"/>
                      </a:extLst>
                    </a:blip>
                    <a:srcRect/>
                    <a:stretch>
                      <a:fillRect/>
                    </a:stretch>
                  </pic:blipFill>
                  <pic:spPr bwMode="auto">
                    <a:xfrm>
                      <a:off x="0" y="0"/>
                      <a:ext cx="3155950" cy="8255"/>
                    </a:xfrm>
                    <a:prstGeom prst="rect">
                      <a:avLst/>
                    </a:prstGeom>
                    <a:noFill/>
                  </pic:spPr>
                </pic:pic>
              </a:graphicData>
            </a:graphic>
          </wp:anchor>
        </w:drawing>
      </w:r>
    </w:p>
    <w:p>
      <w:pPr>
        <w:spacing w:after="0" w:line="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By: /s/ Manavendra S. 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20955</wp:posOffset>
            </wp:positionV>
            <wp:extent cx="31559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4">
                      <a:extLst>
                        <a:ext uri="{28A0092B-C50C-407E-A947-70E740481C1C}"/>
                      </a:extLst>
                    </a:blip>
                    <a:srcRect/>
                    <a:stretch>
                      <a:fillRect/>
                    </a:stretch>
                  </pic:blipFill>
                  <pic:spPr bwMode="auto">
                    <a:xfrm>
                      <a:off x="0" y="0"/>
                      <a:ext cx="3155950" cy="8255"/>
                    </a:xfrm>
                    <a:prstGeom prst="rect">
                      <a:avLst/>
                    </a:prstGeom>
                    <a:noFill/>
                  </pic:spPr>
                </pic:pic>
              </a:graphicData>
            </a:graphic>
          </wp:anchor>
        </w:drawing>
      </w:r>
    </w:p>
    <w:p>
      <w:pPr>
        <w:spacing w:after="0" w:line="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Name: Manavendra S. 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20955</wp:posOffset>
            </wp:positionV>
            <wp:extent cx="31559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5">
                      <a:extLst>
                        <a:ext uri="{28A0092B-C50C-407E-A947-70E740481C1C}"/>
                      </a:extLst>
                    </a:blip>
                    <a:srcRect/>
                    <a:stretch>
                      <a:fillRect/>
                    </a:stretch>
                  </pic:blipFill>
                  <pic:spPr bwMode="auto">
                    <a:xfrm>
                      <a:off x="0" y="0"/>
                      <a:ext cx="3155950" cy="8255"/>
                    </a:xfrm>
                    <a:prstGeom prst="rect">
                      <a:avLst/>
                    </a:prstGeom>
                    <a:noFill/>
                  </pic:spPr>
                </pic:pic>
              </a:graphicData>
            </a:graphic>
          </wp:anchor>
        </w:drawing>
      </w:r>
    </w:p>
    <w:p>
      <w:pPr>
        <w:spacing w:after="0" w:line="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20955</wp:posOffset>
            </wp:positionV>
            <wp:extent cx="31559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6">
                      <a:extLst>
                        <a:ext uri="{28A0092B-C50C-407E-A947-70E740481C1C}"/>
                      </a:extLst>
                    </a:blip>
                    <a:srcRect/>
                    <a:stretch>
                      <a:fillRect/>
                    </a:stretch>
                  </pic:blipFill>
                  <pic:spPr bwMode="auto">
                    <a:xfrm>
                      <a:off x="0" y="0"/>
                      <a:ext cx="31559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Enphase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wp:posOffset>
            </wp:positionV>
            <wp:extent cx="16319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7">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16319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8">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16319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9">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163195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0">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720"/>
            <w:col w:w="3720"/>
          </w:cols>
          <w:pgMar w:left="1380" w:top="1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24</w:t>
      </w:r>
    </w:p>
    <w:p>
      <w:pPr>
        <w:sectPr>
          <w:pgSz w:w="11900" w:h="16838" w:orient="portrait"/>
          <w:cols w:equalWidth="0" w:num="1">
            <w:col w:w="10180"/>
          </w:cols>
          <w:pgMar w:left="1380" w:top="102" w:right="339" w:bottom="1440" w:gutter="0" w:footer="0" w:header="0"/>
          <w:type w:val="continuous"/>
        </w:sectPr>
      </w:pPr>
    </w:p>
    <w:bookmarkStart w:id="156" w:name="page157"/>
    <w:bookmarkEnd w:id="156"/>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010000"/>
        </w:rPr>
        <w:t>EXHIBIT A</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Products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MLPEs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Cables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Semiconductor Chips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1900" w:h="16838" w:orient="portrait"/>
          <w:cols w:equalWidth="0" w:num="1">
            <w:col w:w="11240"/>
          </w:cols>
          <w:pgMar w:left="320" w:top="101"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9"/>
          <w:szCs w:val="19"/>
          <w:b w:val="1"/>
          <w:bCs w:val="1"/>
          <w:u w:val="single" w:color="auto"/>
          <w:color w:val="auto"/>
        </w:rPr>
        <w:t>EXHIBIT B</w:t>
      </w:r>
    </w:p>
    <w:p>
      <w:pPr>
        <w:spacing w:after="0" w:line="83"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9"/>
          <w:szCs w:val="19"/>
          <w:b w:val="1"/>
          <w:bCs w:val="1"/>
          <w:color w:val="auto"/>
        </w:rPr>
        <w:t>Pricing</w:t>
      </w:r>
    </w:p>
    <w:p>
      <w:pPr>
        <w:spacing w:after="0" w:line="177"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9"/>
          <w:szCs w:val="19"/>
          <w:color w:val="auto"/>
        </w:rPr>
        <w:t>The table below sets forth pricing on a $US/unit per module basis for single-phase grid-tied MLPE Products only and includes standard wiring Cable Products for portrait mode installations (“</w:t>
      </w:r>
      <w:r>
        <w:rPr>
          <w:rFonts w:ascii="Times New Roman" w:cs="Times New Roman" w:eastAsia="Times New Roman" w:hAnsi="Times New Roman"/>
          <w:sz w:val="19"/>
          <w:szCs w:val="19"/>
          <w:b w:val="1"/>
          <w:bCs w:val="1"/>
          <w:i w:val="1"/>
          <w:iCs w:val="1"/>
          <w:color w:val="auto"/>
        </w:rPr>
        <w:t>Base Price</w:t>
      </w:r>
      <w:r>
        <w:rPr>
          <w:rFonts w:ascii="Times New Roman" w:cs="Times New Roman" w:eastAsia="Times New Roman" w:hAnsi="Times New Roman"/>
          <w:sz w:val="19"/>
          <w:szCs w:val="19"/>
          <w:color w:val="auto"/>
        </w:rPr>
        <w:t>”):</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5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b w:val="1"/>
                <w:bCs w:val="1"/>
                <w:color w:val="auto"/>
              </w:rPr>
              <w:t>Year</w:t>
            </w:r>
          </w:p>
        </w:tc>
        <w:tc>
          <w:tcPr>
            <w:tcW w:w="4420" w:type="dxa"/>
            <w:vAlign w:val="bottom"/>
            <w:tcBorders>
              <w:top w:val="single" w:sz="8" w:color="auto"/>
              <w:right w:val="single" w:sz="8" w:color="auto"/>
            </w:tcBorders>
          </w:tcPr>
          <w:p>
            <w:pPr>
              <w:spacing w:after="0"/>
              <w:rPr>
                <w:sz w:val="23"/>
                <w:szCs w:val="23"/>
                <w:color w:val="auto"/>
              </w:rPr>
            </w:pPr>
          </w:p>
        </w:tc>
      </w:tr>
      <w:tr>
        <w:trPr>
          <w:trHeight w:val="1116"/>
        </w:trPr>
        <w:tc>
          <w:tcPr>
            <w:tcW w:w="4540" w:type="dxa"/>
            <w:vAlign w:val="bottom"/>
            <w:tcBorders>
              <w:left w:val="single" w:sz="8" w:color="auto"/>
              <w:right w:val="single" w:sz="8" w:color="auto"/>
            </w:tcBorders>
          </w:tcPr>
          <w:p>
            <w:pPr>
              <w:spacing w:after="0"/>
              <w:rPr>
                <w:sz w:val="24"/>
                <w:szCs w:val="24"/>
                <w:color w:val="auto"/>
              </w:rPr>
            </w:pPr>
          </w:p>
        </w:tc>
        <w:tc>
          <w:tcPr>
            <w:tcW w:w="44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9"/>
                <w:szCs w:val="19"/>
                <w:b w:val="1"/>
                <w:bCs w:val="1"/>
                <w:color w:val="auto"/>
              </w:rPr>
              <w:t>Pricing ($ USD)</w:t>
            </w:r>
          </w:p>
        </w:tc>
      </w:tr>
      <w:tr>
        <w:trPr>
          <w:trHeight w:val="1148"/>
        </w:trPr>
        <w:tc>
          <w:tcPr>
            <w:tcW w:w="4540" w:type="dxa"/>
            <w:vAlign w:val="bottom"/>
            <w:tcBorders>
              <w:left w:val="single" w:sz="8" w:color="auto"/>
              <w:bottom w:val="single" w:sz="8" w:color="auto"/>
              <w:right w:val="single" w:sz="8" w:color="auto"/>
            </w:tcBorders>
          </w:tcPr>
          <w:p>
            <w:pPr>
              <w:spacing w:after="0"/>
              <w:rPr>
                <w:sz w:val="24"/>
                <w:szCs w:val="24"/>
                <w:color w:val="auto"/>
              </w:rPr>
            </w:pPr>
          </w:p>
        </w:tc>
        <w:tc>
          <w:tcPr>
            <w:tcW w:w="4420" w:type="dxa"/>
            <w:vAlign w:val="bottom"/>
            <w:tcBorders>
              <w:bottom w:val="single" w:sz="8" w:color="auto"/>
              <w:right w:val="single" w:sz="8" w:color="auto"/>
            </w:tcBorders>
          </w:tcPr>
          <w:p>
            <w:pPr>
              <w:spacing w:after="0"/>
              <w:rPr>
                <w:sz w:val="24"/>
                <w:szCs w:val="24"/>
                <w:color w:val="auto"/>
              </w:rPr>
            </w:pPr>
          </w:p>
        </w:tc>
      </w:tr>
      <w:tr>
        <w:trPr>
          <w:trHeight w:val="242"/>
        </w:trPr>
        <w:tc>
          <w:tcPr>
            <w:tcW w:w="45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2018</w:t>
            </w:r>
          </w:p>
        </w:tc>
        <w:tc>
          <w:tcPr>
            <w:tcW w:w="4420" w:type="dxa"/>
            <w:vAlign w:val="bottom"/>
            <w:tcBorders>
              <w:bottom w:val="single" w:sz="8" w:color="auto"/>
              <w:right w:val="single" w:sz="8" w:color="auto"/>
            </w:tcBorders>
          </w:tcPr>
          <w:p>
            <w:pPr>
              <w:ind w:left="140"/>
              <w:spacing w:after="0"/>
              <w:rPr>
                <w:sz w:val="20"/>
                <w:szCs w:val="20"/>
                <w:color w:val="auto"/>
              </w:rPr>
            </w:pPr>
            <w:r>
              <w:rPr>
                <w:rFonts w:ascii="Cambria" w:cs="Cambria" w:eastAsia="Cambria" w:hAnsi="Cambria"/>
                <w:sz w:val="19"/>
                <w:szCs w:val="19"/>
                <w:b w:val="1"/>
                <w:bCs w:val="1"/>
                <w:color w:val="auto"/>
              </w:rPr>
              <w:t>[*]</w:t>
            </w:r>
          </w:p>
        </w:tc>
      </w:tr>
      <w:tr>
        <w:trPr>
          <w:trHeight w:val="242"/>
        </w:trPr>
        <w:tc>
          <w:tcPr>
            <w:tcW w:w="45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2019</w:t>
            </w:r>
          </w:p>
        </w:tc>
        <w:tc>
          <w:tcPr>
            <w:tcW w:w="4420" w:type="dxa"/>
            <w:vAlign w:val="bottom"/>
            <w:tcBorders>
              <w:bottom w:val="single" w:sz="8" w:color="auto"/>
              <w:right w:val="single" w:sz="8" w:color="auto"/>
            </w:tcBorders>
          </w:tcPr>
          <w:p>
            <w:pPr>
              <w:ind w:left="140"/>
              <w:spacing w:after="0"/>
              <w:rPr>
                <w:sz w:val="20"/>
                <w:szCs w:val="20"/>
                <w:color w:val="auto"/>
              </w:rPr>
            </w:pPr>
            <w:r>
              <w:rPr>
                <w:rFonts w:ascii="Cambria" w:cs="Cambria" w:eastAsia="Cambria" w:hAnsi="Cambria"/>
                <w:sz w:val="19"/>
                <w:szCs w:val="19"/>
                <w:b w:val="1"/>
                <w:bCs w:val="1"/>
                <w:color w:val="auto"/>
              </w:rPr>
              <w:t>[*]</w:t>
            </w:r>
          </w:p>
        </w:tc>
      </w:tr>
      <w:tr>
        <w:trPr>
          <w:trHeight w:val="242"/>
        </w:trPr>
        <w:tc>
          <w:tcPr>
            <w:tcW w:w="45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2020</w:t>
            </w:r>
          </w:p>
        </w:tc>
        <w:tc>
          <w:tcPr>
            <w:tcW w:w="4420" w:type="dxa"/>
            <w:vAlign w:val="bottom"/>
            <w:tcBorders>
              <w:bottom w:val="single" w:sz="8" w:color="auto"/>
              <w:right w:val="single" w:sz="8" w:color="auto"/>
            </w:tcBorders>
          </w:tcPr>
          <w:p>
            <w:pPr>
              <w:ind w:left="140"/>
              <w:spacing w:after="0"/>
              <w:rPr>
                <w:sz w:val="20"/>
                <w:szCs w:val="20"/>
                <w:color w:val="auto"/>
              </w:rPr>
            </w:pPr>
            <w:r>
              <w:rPr>
                <w:rFonts w:ascii="Cambria" w:cs="Cambria" w:eastAsia="Cambria" w:hAnsi="Cambria"/>
                <w:sz w:val="19"/>
                <w:szCs w:val="19"/>
                <w:b w:val="1"/>
                <w:bCs w:val="1"/>
                <w:color w:val="auto"/>
              </w:rPr>
              <w:t>[*]</w:t>
            </w:r>
          </w:p>
        </w:tc>
      </w:tr>
      <w:tr>
        <w:trPr>
          <w:trHeight w:val="242"/>
        </w:trPr>
        <w:tc>
          <w:tcPr>
            <w:tcW w:w="45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2021</w:t>
            </w:r>
          </w:p>
        </w:tc>
        <w:tc>
          <w:tcPr>
            <w:tcW w:w="4420" w:type="dxa"/>
            <w:vAlign w:val="bottom"/>
            <w:tcBorders>
              <w:bottom w:val="single" w:sz="8" w:color="auto"/>
              <w:right w:val="single" w:sz="8" w:color="auto"/>
            </w:tcBorders>
          </w:tcPr>
          <w:p>
            <w:pPr>
              <w:ind w:left="140"/>
              <w:spacing w:after="0"/>
              <w:rPr>
                <w:sz w:val="20"/>
                <w:szCs w:val="20"/>
                <w:color w:val="auto"/>
              </w:rPr>
            </w:pPr>
            <w:r>
              <w:rPr>
                <w:rFonts w:ascii="Cambria" w:cs="Cambria" w:eastAsia="Cambria" w:hAnsi="Cambria"/>
                <w:sz w:val="19"/>
                <w:szCs w:val="19"/>
                <w:b w:val="1"/>
                <w:bCs w:val="1"/>
                <w:color w:val="auto"/>
              </w:rPr>
              <w:t>[*]</w:t>
            </w:r>
          </w:p>
        </w:tc>
      </w:tr>
      <w:tr>
        <w:trPr>
          <w:trHeight w:val="242"/>
        </w:trPr>
        <w:tc>
          <w:tcPr>
            <w:tcW w:w="45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2022</w:t>
            </w:r>
          </w:p>
        </w:tc>
        <w:tc>
          <w:tcPr>
            <w:tcW w:w="4420" w:type="dxa"/>
            <w:vAlign w:val="bottom"/>
            <w:tcBorders>
              <w:bottom w:val="single" w:sz="8" w:color="auto"/>
              <w:right w:val="single" w:sz="8" w:color="auto"/>
            </w:tcBorders>
          </w:tcPr>
          <w:p>
            <w:pPr>
              <w:ind w:left="140"/>
              <w:spacing w:after="0"/>
              <w:rPr>
                <w:sz w:val="20"/>
                <w:szCs w:val="20"/>
                <w:color w:val="auto"/>
              </w:rPr>
            </w:pPr>
            <w:r>
              <w:rPr>
                <w:rFonts w:ascii="Cambria" w:cs="Cambria" w:eastAsia="Cambria" w:hAnsi="Cambria"/>
                <w:sz w:val="19"/>
                <w:szCs w:val="19"/>
                <w:b w:val="1"/>
                <w:bCs w:val="1"/>
                <w:color w:val="auto"/>
              </w:rPr>
              <w:t>[*]</w:t>
            </w:r>
          </w:p>
        </w:tc>
      </w:tr>
      <w:tr>
        <w:trPr>
          <w:trHeight w:val="242"/>
        </w:trPr>
        <w:tc>
          <w:tcPr>
            <w:tcW w:w="45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2023</w:t>
            </w:r>
          </w:p>
        </w:tc>
        <w:tc>
          <w:tcPr>
            <w:tcW w:w="4420" w:type="dxa"/>
            <w:vAlign w:val="bottom"/>
            <w:tcBorders>
              <w:bottom w:val="single" w:sz="8" w:color="auto"/>
              <w:right w:val="single" w:sz="8" w:color="auto"/>
            </w:tcBorders>
          </w:tcPr>
          <w:p>
            <w:pPr>
              <w:ind w:left="140"/>
              <w:spacing w:after="0"/>
              <w:rPr>
                <w:sz w:val="20"/>
                <w:szCs w:val="20"/>
                <w:color w:val="auto"/>
              </w:rPr>
            </w:pPr>
            <w:r>
              <w:rPr>
                <w:rFonts w:ascii="Cambria" w:cs="Cambria" w:eastAsia="Cambria" w:hAnsi="Cambria"/>
                <w:sz w:val="19"/>
                <w:szCs w:val="19"/>
                <w:b w:val="1"/>
                <w:bCs w:val="1"/>
                <w:color w:val="auto"/>
              </w:rPr>
              <w:t>[*]</w:t>
            </w:r>
          </w:p>
        </w:tc>
      </w:tr>
    </w:tbl>
    <w:p>
      <w:pPr>
        <w:spacing w:after="0" w:line="253"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19"/>
          <w:szCs w:val="19"/>
          <w:color w:val="auto"/>
        </w:rPr>
        <w:t>The Base Price shall be in accordance with FOB (Incoterms 2010) and apply to the MLPE Products and portrait AC Cable Products. The Base Price shall take effect on January 1 of each respective year and shall be applicable to any Purchase Order of</w:t>
      </w:r>
    </w:p>
    <w:p>
      <w:pPr>
        <w:ind w:right="220"/>
        <w:spacing w:after="0" w:line="226" w:lineRule="auto"/>
        <w:rPr>
          <w:sz w:val="20"/>
          <w:szCs w:val="20"/>
          <w:color w:val="auto"/>
        </w:rPr>
      </w:pPr>
      <w:r>
        <w:rPr>
          <w:rFonts w:ascii="Times New Roman" w:cs="Times New Roman" w:eastAsia="Times New Roman" w:hAnsi="Times New Roman"/>
          <w:sz w:val="19"/>
          <w:szCs w:val="19"/>
          <w:color w:val="auto"/>
        </w:rPr>
        <w:t>any Product (as of the Effective Date) or Next Gen Product. The Base Price includes: (a) the MLPE Product; and (b) standard wiring Cable Product for portrait mode installations.</w:t>
      </w:r>
    </w:p>
    <w:p>
      <w:pPr>
        <w:spacing w:after="0" w:line="157"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9"/>
          <w:szCs w:val="19"/>
          <w:color w:val="auto"/>
        </w:rPr>
        <w:t>The Base Price for MLPE Products with landscape AC Cable Products shall be higher. For 2018, MLPE Products with landscape AC Cable Products would be priced [*] more per unit than the Base Price for units with portrait AC Cable, declining [*] a year</w:t>
      </w:r>
    </w:p>
    <w:p>
      <w:pPr>
        <w:spacing w:after="0" w:line="2"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19"/>
          <w:szCs w:val="19"/>
          <w:color w:val="auto"/>
        </w:rPr>
        <w:t>thereafter. The Base Price excludes accessories such as jumper cables, connectors, special mounting hardware, etc., that are not part of Enphase’s standard product offering.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Volume-Based Price Adjustment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for any volume ordered in a given calendar year in excess of [*] MLPE Products (the “</w:t>
      </w:r>
      <w:r>
        <w:rPr>
          <w:rFonts w:ascii="Times New Roman" w:cs="Times New Roman" w:eastAsia="Times New Roman" w:hAnsi="Times New Roman"/>
          <w:sz w:val="19"/>
          <w:szCs w:val="19"/>
          <w:b w:val="1"/>
          <w:bCs w:val="1"/>
          <w:i w:val="1"/>
          <w:iCs w:val="1"/>
          <w:color w:val="auto"/>
        </w:rPr>
        <w:t>Volume-Based Price</w:t>
      </w:r>
    </w:p>
    <w:p>
      <w:pPr>
        <w:spacing w:after="0" w:line="4"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9"/>
          <w:szCs w:val="19"/>
          <w:b w:val="1"/>
          <w:bCs w:val="1"/>
          <w:i w:val="1"/>
          <w:iCs w:val="1"/>
          <w:color w:val="auto"/>
        </w:rPr>
        <w:t>Reduction Hurdle</w:t>
      </w:r>
      <w:r>
        <w:rPr>
          <w:rFonts w:ascii="Times New Roman" w:cs="Times New Roman" w:eastAsia="Times New Roman" w:hAnsi="Times New Roman"/>
          <w:sz w:val="19"/>
          <w:szCs w:val="19"/>
          <w:color w:val="auto"/>
        </w:rPr>
        <w:t>”), SunPower shall receive a price discount of [*] per MLPE Product (the “</w:t>
      </w:r>
      <w:r>
        <w:rPr>
          <w:rFonts w:ascii="Times New Roman" w:cs="Times New Roman" w:eastAsia="Times New Roman" w:hAnsi="Times New Roman"/>
          <w:sz w:val="19"/>
          <w:szCs w:val="19"/>
          <w:b w:val="1"/>
          <w:bCs w:val="1"/>
          <w:i w:val="1"/>
          <w:iCs w:val="1"/>
          <w:color w:val="auto"/>
        </w:rPr>
        <w:t>Volume-Based Price Adjustment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compared to the Base Price in the given calendar year described above. Such Volume-Based Price Adjustment shall only apply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those units above the Volume-Based Price Reduction Hurdle.</w:t>
      </w:r>
    </w:p>
    <w:p>
      <w:pPr>
        <w:spacing w:after="0" w:line="166"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9"/>
          <w:szCs w:val="19"/>
          <w:color w:val="auto"/>
        </w:rPr>
        <w:t>For avoidance of doubt, if SunPower orders [*] MLPE Products in calendar year [*], then the first [*] MLPE Products shall have a Base Price of [*] and the incremental [*] MLPE Products above the Volume-Based Price Reduction Hurdle shall have a price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 reflecting the Base Price of [*] and the [*] Volume-Based Price Adjustment.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Semiconductor Chips Pricing</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Miscellaneous Accessories Pricing</w:t>
      </w:r>
    </w:p>
    <w:p>
      <w:pPr>
        <w:spacing w:after="0" w:line="175" w:lineRule="exact"/>
        <w:rPr>
          <w:sz w:val="20"/>
          <w:szCs w:val="20"/>
          <w:color w:val="auto"/>
        </w:rPr>
      </w:pPr>
    </w:p>
    <w:p>
      <w:pPr>
        <w:ind w:right="200"/>
        <w:spacing w:after="0" w:line="228" w:lineRule="auto"/>
        <w:rPr>
          <w:sz w:val="20"/>
          <w:szCs w:val="20"/>
          <w:color w:val="auto"/>
        </w:rPr>
      </w:pPr>
      <w:r>
        <w:rPr>
          <w:rFonts w:ascii="Times New Roman" w:cs="Times New Roman" w:eastAsia="Times New Roman" w:hAnsi="Times New Roman"/>
          <w:sz w:val="19"/>
          <w:szCs w:val="19"/>
          <w:color w:val="auto"/>
        </w:rPr>
        <w:t>Miscellaneous Accessories such as cable terminators, sealing cap, disconnect tool, field wireables and clips are not Products under the MSA and, accordingly, are not included in the pricing or forecasts under the MSA. These are standard Enphase</w:t>
      </w:r>
    </w:p>
    <w:p>
      <w:pPr>
        <w:ind w:right="200"/>
        <w:spacing w:after="0" w:line="208" w:lineRule="auto"/>
        <w:rPr>
          <w:sz w:val="20"/>
          <w:szCs w:val="20"/>
          <w:color w:val="auto"/>
        </w:rPr>
      </w:pPr>
      <w:r>
        <w:rPr>
          <w:rFonts w:ascii="Times New Roman" w:cs="Times New Roman" w:eastAsia="Times New Roman" w:hAnsi="Times New Roman"/>
          <w:sz w:val="19"/>
          <w:szCs w:val="19"/>
          <w:color w:val="auto"/>
        </w:rPr>
        <w:t>components and can be ordered as required by SunPower on such terms as Enphase makes them generally commercially available for purchase from time to time, at the pricing set forth in this paragraph. In [*], the price of each Miscellaneous</w:t>
      </w:r>
    </w:p>
    <w:p>
      <w:pPr>
        <w:spacing w:after="0" w:line="217" w:lineRule="auto"/>
        <w:rPr>
          <w:sz w:val="20"/>
          <w:szCs w:val="20"/>
          <w:color w:val="auto"/>
        </w:rPr>
      </w:pPr>
      <w:r>
        <w:rPr>
          <w:rFonts w:ascii="Times New Roman" w:cs="Times New Roman" w:eastAsia="Times New Roman" w:hAnsi="Times New Roman"/>
          <w:sz w:val="19"/>
          <w:szCs w:val="19"/>
          <w:color w:val="auto"/>
        </w:rPr>
        <w:t>Accessory will [*] less than [*]. For each calendar year thereafter during the Term, the price of each Miscellaneous Accessory for</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9"/>
          <w:szCs w:val="19"/>
          <w:color w:val="auto"/>
        </w:rPr>
        <w:t>purchases made within such calendar year will be [*] less [*]. These discounts represent the minimum discounts for Miscellaneous Accessories. The Parties shall negotiate in good faith regarding potential further discounts for Miscellaneous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Accessories pricing during the Term of this MSA.</w:t>
      </w:r>
    </w:p>
    <w:p>
      <w:pPr>
        <w:sectPr>
          <w:pgSz w:w="11900" w:h="16838" w:orient="portrait"/>
          <w:cols w:equalWidth="0" w:num="1">
            <w:col w:w="10180"/>
          </w:cols>
          <w:pgMar w:left="1380" w:top="100" w:right="339" w:bottom="10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26</w:t>
      </w:r>
    </w:p>
    <w:p>
      <w:pPr>
        <w:sectPr>
          <w:pgSz w:w="11900" w:h="16838" w:orient="portrait"/>
          <w:cols w:equalWidth="0" w:num="1">
            <w:col w:w="10180"/>
          </w:cols>
          <w:pgMar w:left="1380" w:top="100" w:right="339" w:bottom="1055" w:gutter="0" w:footer="0" w:header="0"/>
          <w:type w:val="continuous"/>
        </w:sectPr>
      </w:pPr>
    </w:p>
    <w:bookmarkStart w:id="158" w:name="page159"/>
    <w:bookmarkEnd w:id="158"/>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Most Favored Pricing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to the above, in calendar years [*], Enphase agrees to provide SunPower the most favored pricing provided by</w:t>
      </w:r>
    </w:p>
    <w:p>
      <w:pPr>
        <w:ind w:right="200"/>
        <w:spacing w:after="0" w:line="208" w:lineRule="auto"/>
        <w:rPr>
          <w:sz w:val="20"/>
          <w:szCs w:val="20"/>
          <w:color w:val="auto"/>
        </w:rPr>
      </w:pPr>
      <w:r>
        <w:rPr>
          <w:rFonts w:ascii="Times New Roman" w:cs="Times New Roman" w:eastAsia="Times New Roman" w:hAnsi="Times New Roman"/>
          <w:sz w:val="19"/>
          <w:szCs w:val="19"/>
          <w:color w:val="auto"/>
        </w:rPr>
        <w:t>Enphase for sales to Third Parties in [*] of the same or lesser volumes of the same or substantially similar Products from Enphase on substantially similar terms and conditions in such calendar years for use in the residential markets of [*]. In the event that</w:t>
      </w:r>
    </w:p>
    <w:p>
      <w:pPr>
        <w:spacing w:after="0" w:line="217" w:lineRule="auto"/>
        <w:rPr>
          <w:sz w:val="20"/>
          <w:szCs w:val="20"/>
          <w:color w:val="auto"/>
        </w:rPr>
      </w:pPr>
      <w:r>
        <w:rPr>
          <w:rFonts w:ascii="Times New Roman" w:cs="Times New Roman" w:eastAsia="Times New Roman" w:hAnsi="Times New Roman"/>
          <w:sz w:val="19"/>
          <w:szCs w:val="19"/>
          <w:color w:val="auto"/>
        </w:rPr>
        <w:t>during [*], Enphase sells a Product to any Third Party in [*] purchasing the same or lesser volumes of such Product on</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9"/>
          <w:szCs w:val="19"/>
          <w:color w:val="auto"/>
        </w:rPr>
        <w:t>substantially similar terms and conditions in such calendar year for use in the residential markets of [*] at a purchase price that is less than the Base Price, then commencing as of the date such more favorable price is first made available to such Third Party for</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9"/>
          <w:szCs w:val="19"/>
          <w:color w:val="auto"/>
        </w:rPr>
        <w:t>such volumes and continuing for so long as such pricing remains in effect and SunPower continues to purchase the same or greater volumes of such Product, SunPower’s price shall be reduced to the price payable by such Third Party. If SunPower had</w:t>
      </w:r>
    </w:p>
    <w:p>
      <w:pPr>
        <w:spacing w:after="0" w:line="217" w:lineRule="auto"/>
        <w:rPr>
          <w:sz w:val="20"/>
          <w:szCs w:val="20"/>
          <w:color w:val="auto"/>
        </w:rPr>
      </w:pPr>
      <w:r>
        <w:rPr>
          <w:rFonts w:ascii="Times New Roman" w:cs="Times New Roman" w:eastAsia="Times New Roman" w:hAnsi="Times New Roman"/>
          <w:sz w:val="19"/>
          <w:szCs w:val="19"/>
          <w:color w:val="auto"/>
        </w:rPr>
        <w:t>purchased any Product following the date such more favorable price was made available to such Third Party at a higher price,</w:t>
      </w:r>
    </w:p>
    <w:p>
      <w:pPr>
        <w:spacing w:after="0" w:line="1"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9"/>
          <w:szCs w:val="19"/>
          <w:color w:val="auto"/>
        </w:rPr>
        <w:t>Enphase will reimburse SunPower the difference between the price paid by SunPower and this more favorable price for all Products purchased after the more favorable price is made available to such Third Party.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Volume-Based Price Adjustment shall apply irrespective of whether the pricing mechanism in calendar years [*] is at the</w:t>
      </w:r>
    </w:p>
    <w:p>
      <w:pPr>
        <w:ind w:right="220"/>
        <w:spacing w:after="0" w:line="208" w:lineRule="auto"/>
        <w:rPr>
          <w:sz w:val="20"/>
          <w:szCs w:val="20"/>
          <w:color w:val="auto"/>
        </w:rPr>
      </w:pPr>
      <w:r>
        <w:rPr>
          <w:rFonts w:ascii="Times New Roman" w:cs="Times New Roman" w:eastAsia="Times New Roman" w:hAnsi="Times New Roman"/>
          <w:sz w:val="19"/>
          <w:szCs w:val="19"/>
          <w:color w:val="auto"/>
        </w:rPr>
        <w:t>fixed price or most-favored pricing as defined in this MSA. For avoidance of doubt, if SunPower orders [*] MLPE Products in calendar year [*], and Enphase had been selling the Product to a Third Party for [*], then the first [*] MLPE Products shall have</w:t>
      </w:r>
    </w:p>
    <w:p>
      <w:pPr>
        <w:spacing w:after="0" w:line="2"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19"/>
          <w:szCs w:val="19"/>
          <w:color w:val="auto"/>
        </w:rPr>
        <w:t>a Base Price of [*] and the incremental [*] MLPE Products above the Volume-Based Price Reduction Hurdle shall have a price of [*] reflecting the most-favored pricing adjusted Price of [*] and the [*] Volume-Based Price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27</w:t>
      </w:r>
    </w:p>
    <w:p>
      <w:pPr>
        <w:sectPr>
          <w:pgSz w:w="11900" w:h="16838" w:orient="portrait"/>
          <w:cols w:equalWidth="0" w:num="1">
            <w:col w:w="10180"/>
          </w:cols>
          <w:pgMar w:left="1380" w:top="102"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1"/>
          <w:szCs w:val="21"/>
          <w:b w:val="1"/>
          <w:bCs w:val="1"/>
          <w:u w:val="single" w:color="auto"/>
          <w:color w:val="auto"/>
        </w:rPr>
        <w:t>EXHIBIT C</w:t>
      </w:r>
    </w:p>
    <w:p>
      <w:pPr>
        <w:spacing w:after="0" w:line="7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1"/>
          <w:szCs w:val="21"/>
          <w:b w:val="1"/>
          <w:bCs w:val="1"/>
          <w:color w:val="auto"/>
        </w:rPr>
        <w:t>Product Roadmap</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Product Performance Requirements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Detailed Specifications</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Product Certification Requirements</w:t>
      </w:r>
    </w:p>
    <w:p>
      <w:pPr>
        <w:spacing w:after="0" w:line="3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28</w:t>
      </w:r>
    </w:p>
    <w:p>
      <w:pPr>
        <w:sectPr>
          <w:pgSz w:w="11900" w:h="16838" w:orient="portrait"/>
          <w:cols w:equalWidth="0" w:num="1">
            <w:col w:w="10220"/>
          </w:cols>
          <w:pgMar w:left="1340" w:top="102"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9"/>
          <w:szCs w:val="19"/>
          <w:b w:val="1"/>
          <w:bCs w:val="1"/>
          <w:u w:val="single" w:color="auto"/>
          <w:color w:val="auto"/>
        </w:rPr>
        <w:t>Exhibit D</w:t>
      </w:r>
    </w:p>
    <w:p>
      <w:pPr>
        <w:spacing w:after="0" w:line="2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b w:val="1"/>
          <w:bCs w:val="1"/>
          <w:color w:val="auto"/>
        </w:rPr>
        <w:t>[*]</w:t>
      </w:r>
    </w:p>
    <w:p>
      <w:pPr>
        <w:spacing w:after="0" w:line="1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The table below provides SunPower’s best-faith, non-binding estimate as of the Effective Date of this MSA for its anticipated annual MLPE Product purchases from Enphase during [*].</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29</w:t>
      </w:r>
    </w:p>
    <w:p>
      <w:pPr>
        <w:sectPr>
          <w:pgSz w:w="11900" w:h="16838" w:orient="portrait"/>
          <w:cols w:equalWidth="0" w:num="1">
            <w:col w:w="10180"/>
          </w:cols>
          <w:pgMar w:left="1380" w:top="102"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u w:val="single" w:color="auto"/>
          <w:color w:val="auto"/>
        </w:rPr>
        <w:t>EXHIBIT E</w:t>
      </w:r>
    </w:p>
    <w:p>
      <w:pPr>
        <w:spacing w:after="0" w:line="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Form of Purchase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76835</wp:posOffset>
            </wp:positionV>
            <wp:extent cx="4971415" cy="64452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1">
                      <a:extLst>
                        <a:ext uri="{28A0092B-C50C-407E-A947-70E740481C1C}"/>
                      </a:extLst>
                    </a:blip>
                    <a:srcRect/>
                    <a:stretch>
                      <a:fillRect/>
                    </a:stretch>
                  </pic:blipFill>
                  <pic:spPr bwMode="auto">
                    <a:xfrm>
                      <a:off x="0" y="0"/>
                      <a:ext cx="4971415" cy="6445250"/>
                    </a:xfrm>
                    <a:prstGeom prst="rect">
                      <a:avLst/>
                    </a:prstGeom>
                    <a:noFill/>
                  </pic:spPr>
                </pic:pic>
              </a:graphicData>
            </a:graphic>
          </wp:anchor>
        </w:drawing>
      </w:r>
    </w:p>
    <w:p>
      <w:pPr>
        <w:sectPr>
          <w:pgSz w:w="11900" w:h="16838" w:orient="portrait"/>
          <w:cols w:equalWidth="0" w:num="1">
            <w:col w:w="10120"/>
          </w:cols>
          <w:pgMar w:left="144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30</w:t>
      </w:r>
    </w:p>
    <w:p>
      <w:pPr>
        <w:sectPr>
          <w:pgSz w:w="11900" w:h="16838" w:orient="portrait"/>
          <w:cols w:equalWidth="0" w:num="1">
            <w:col w:w="10120"/>
          </w:cols>
          <w:pgMar w:left="1440" w:top="100" w:right="339" w:bottom="1440" w:gutter="0" w:footer="0" w:header="0"/>
          <w:type w:val="continuous"/>
        </w:sectPr>
      </w:pPr>
    </w:p>
    <w:bookmarkStart w:id="162" w:name="page163"/>
    <w:bookmarkEnd w:id="162"/>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685165</wp:posOffset>
            </wp:positionV>
            <wp:extent cx="4979670" cy="64452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2">
                      <a:extLst>
                        <a:ext uri="{28A0092B-C50C-407E-A947-70E740481C1C}"/>
                      </a:extLst>
                    </a:blip>
                    <a:srcRect/>
                    <a:stretch>
                      <a:fillRect/>
                    </a:stretch>
                  </pic:blipFill>
                  <pic:spPr bwMode="auto">
                    <a:xfrm>
                      <a:off x="0" y="0"/>
                      <a:ext cx="4979670" cy="644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31</w:t>
      </w:r>
    </w:p>
    <w:p>
      <w:pPr>
        <w:sectPr>
          <w:pgSz w:w="11900" w:h="16838" w:orient="portrait"/>
          <w:cols w:equalWidth="0" w:num="1">
            <w:col w:w="10120"/>
          </w:cols>
          <w:pgMar w:left="1440" w:top="102"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9"/>
          <w:szCs w:val="19"/>
          <w:b w:val="1"/>
          <w:bCs w:val="1"/>
          <w:u w:val="single" w:color="auto"/>
          <w:color w:val="auto"/>
        </w:rPr>
        <w:t>EXHIBIT G</w:t>
      </w:r>
    </w:p>
    <w:p>
      <w:pPr>
        <w:spacing w:after="0" w:line="83"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9"/>
          <w:szCs w:val="19"/>
          <w:b w:val="1"/>
          <w:bCs w:val="1"/>
          <w:color w:val="auto"/>
        </w:rPr>
        <w:t>Limited Warranty &amp; Warranty Services</w:t>
      </w:r>
    </w:p>
    <w:p>
      <w:pPr>
        <w:spacing w:after="0" w:line="1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As of the Effective Date, the Limited Warranty for various jurisdictions can be found at the following URL: www.enphase.com/en-us/warranties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32</w:t>
      </w:r>
    </w:p>
    <w:p>
      <w:pPr>
        <w:sectPr>
          <w:pgSz w:w="11900" w:h="16838" w:orient="portrait"/>
          <w:cols w:equalWidth="0" w:num="1">
            <w:col w:w="10180"/>
          </w:cols>
          <w:pgMar w:left="1380" w:top="101"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66"/>
        <w:spacing w:after="0"/>
        <w:rPr>
          <w:sz w:val="20"/>
          <w:szCs w:val="20"/>
          <w:color w:val="auto"/>
        </w:rPr>
      </w:pPr>
      <w:r>
        <w:rPr>
          <w:rFonts w:ascii="Times New Roman" w:cs="Times New Roman" w:eastAsia="Times New Roman" w:hAnsi="Times New Roman"/>
          <w:sz w:val="19"/>
          <w:szCs w:val="19"/>
          <w:b w:val="1"/>
          <w:bCs w:val="1"/>
          <w:u w:val="single" w:color="auto"/>
          <w:color w:val="auto"/>
        </w:rPr>
        <w:t>EXHIBIT H</w:t>
      </w:r>
    </w:p>
    <w:p>
      <w:pPr>
        <w:spacing w:after="0" w:line="83" w:lineRule="exact"/>
        <w:rPr>
          <w:sz w:val="20"/>
          <w:szCs w:val="20"/>
          <w:color w:val="auto"/>
        </w:rPr>
      </w:pPr>
    </w:p>
    <w:p>
      <w:pPr>
        <w:ind w:left="4046"/>
        <w:spacing w:after="0"/>
        <w:rPr>
          <w:sz w:val="20"/>
          <w:szCs w:val="20"/>
          <w:color w:val="auto"/>
        </w:rPr>
      </w:pPr>
      <w:r>
        <w:rPr>
          <w:rFonts w:ascii="Times New Roman" w:cs="Times New Roman" w:eastAsia="Times New Roman" w:hAnsi="Times New Roman"/>
          <w:sz w:val="19"/>
          <w:szCs w:val="19"/>
          <w:b w:val="1"/>
          <w:bCs w:val="1"/>
          <w:color w:val="auto"/>
        </w:rPr>
        <w:t>Quality Plan</w:t>
      </w:r>
    </w:p>
    <w:p>
      <w:pPr>
        <w:spacing w:after="0" w:line="175" w:lineRule="exact"/>
        <w:rPr>
          <w:sz w:val="20"/>
          <w:szCs w:val="20"/>
          <w:color w:val="auto"/>
        </w:rPr>
      </w:pPr>
    </w:p>
    <w:p>
      <w:pPr>
        <w:ind w:left="626" w:hanging="626"/>
        <w:spacing w:after="0"/>
        <w:tabs>
          <w:tab w:leader="none" w:pos="626"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GENERAL QUALITY REQUIREMENTS</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ind w:left="6"/>
        <w:spacing w:after="0"/>
        <w:tabs>
          <w:tab w:leader="none" w:pos="606" w:val="left"/>
        </w:tabs>
        <w:rPr>
          <w:sz w:val="20"/>
          <w:szCs w:val="20"/>
          <w:color w:val="auto"/>
        </w:rPr>
      </w:pPr>
      <w:r>
        <w:rPr>
          <w:rFonts w:ascii="Times New Roman" w:cs="Times New Roman" w:eastAsia="Times New Roman" w:hAnsi="Times New Roman"/>
          <w:sz w:val="19"/>
          <w:szCs w:val="19"/>
          <w:color w:val="auto"/>
        </w:rPr>
        <w:t>1.1</w:t>
      </w:r>
      <w:r>
        <w:rPr>
          <w:sz w:val="20"/>
          <w:szCs w:val="20"/>
          <w:color w:val="auto"/>
        </w:rPr>
        <w:tab/>
      </w:r>
      <w:r>
        <w:rPr>
          <w:rFonts w:ascii="Times New Roman" w:cs="Times New Roman" w:eastAsia="Times New Roman" w:hAnsi="Times New Roman"/>
          <w:sz w:val="19"/>
          <w:szCs w:val="19"/>
          <w:b w:val="1"/>
          <w:bCs w:val="1"/>
          <w:u w:val="single" w:color="auto"/>
          <w:color w:val="auto"/>
        </w:rPr>
        <w:t>Adherence to Specifications</w:t>
      </w:r>
      <w:r>
        <w:rPr>
          <w:rFonts w:ascii="Times New Roman" w:cs="Times New Roman" w:eastAsia="Times New Roman" w:hAnsi="Times New Roman"/>
          <w:sz w:val="19"/>
          <w:szCs w:val="19"/>
          <w:color w:val="auto"/>
        </w:rPr>
        <w:t>. All Purchase Orders will reference a part number and a revision number. If Enphase does</w:t>
      </w:r>
    </w:p>
    <w:p>
      <w:pPr>
        <w:spacing w:after="0" w:line="2" w:lineRule="exact"/>
        <w:rPr>
          <w:sz w:val="20"/>
          <w:szCs w:val="20"/>
          <w:color w:val="auto"/>
        </w:rPr>
      </w:pPr>
    </w:p>
    <w:p>
      <w:pPr>
        <w:ind w:left="626" w:right="180"/>
        <w:spacing w:after="0" w:line="208" w:lineRule="auto"/>
        <w:rPr>
          <w:sz w:val="20"/>
          <w:szCs w:val="20"/>
          <w:color w:val="auto"/>
        </w:rPr>
      </w:pPr>
      <w:r>
        <w:rPr>
          <w:rFonts w:ascii="Times New Roman" w:cs="Times New Roman" w:eastAsia="Times New Roman" w:hAnsi="Times New Roman"/>
          <w:sz w:val="19"/>
          <w:szCs w:val="19"/>
          <w:color w:val="auto"/>
        </w:rPr>
        <w:t>not have a part drawing of the part revision specified in the Purchase Order, it is the responsibility of Enphase to request drawings and specifications of the referenced revision. If Enphase identifies any ambiguity or contradiction in the</w:t>
      </w:r>
    </w:p>
    <w:p>
      <w:pPr>
        <w:spacing w:after="0" w:line="2" w:lineRule="exact"/>
        <w:rPr>
          <w:sz w:val="20"/>
          <w:szCs w:val="20"/>
          <w:color w:val="auto"/>
        </w:rPr>
      </w:pPr>
    </w:p>
    <w:p>
      <w:pPr>
        <w:ind w:left="626" w:right="180"/>
        <w:spacing w:after="0" w:line="233" w:lineRule="auto"/>
        <w:rPr>
          <w:sz w:val="20"/>
          <w:szCs w:val="20"/>
          <w:color w:val="auto"/>
        </w:rPr>
      </w:pPr>
      <w:r>
        <w:rPr>
          <w:rFonts w:ascii="Times New Roman" w:cs="Times New Roman" w:eastAsia="Times New Roman" w:hAnsi="Times New Roman"/>
          <w:sz w:val="19"/>
          <w:szCs w:val="19"/>
          <w:color w:val="auto"/>
        </w:rPr>
        <w:t>specification or part drawing, it is the responsibility of Enphase to inform SunPower of the ambiguity or contradiction, and to resolve such issue prior to production.</w:t>
      </w:r>
    </w:p>
    <w:p>
      <w:pPr>
        <w:spacing w:after="0" w:line="142" w:lineRule="exact"/>
        <w:rPr>
          <w:sz w:val="20"/>
          <w:szCs w:val="20"/>
          <w:color w:val="auto"/>
        </w:rPr>
      </w:pPr>
    </w:p>
    <w:p>
      <w:pPr>
        <w:jc w:val="right"/>
        <w:ind w:left="6" w:right="180"/>
        <w:spacing w:after="0" w:line="229"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b w:val="1"/>
          <w:bCs w:val="1"/>
          <w:u w:val="single" w:color="auto"/>
          <w:color w:val="auto"/>
        </w:rPr>
        <w:t>Product Non-Conformance</w:t>
      </w:r>
      <w:r>
        <w:rPr>
          <w:rFonts w:ascii="Times New Roman" w:cs="Times New Roman" w:eastAsia="Times New Roman" w:hAnsi="Times New Roman"/>
          <w:sz w:val="19"/>
          <w:szCs w:val="19"/>
          <w:color w:val="auto"/>
        </w:rPr>
        <w:t>. If SunPower identifies Nonconforming Products, SunPower will issue a Non-Conformance Report (“</w:t>
      </w:r>
      <w:r>
        <w:rPr>
          <w:rFonts w:ascii="Times New Roman" w:cs="Times New Roman" w:eastAsia="Times New Roman" w:hAnsi="Times New Roman"/>
          <w:sz w:val="19"/>
          <w:szCs w:val="19"/>
          <w:b w:val="1"/>
          <w:bCs w:val="1"/>
          <w:i w:val="1"/>
          <w:iCs w:val="1"/>
          <w:color w:val="auto"/>
        </w:rPr>
        <w:t>NCR</w:t>
      </w:r>
      <w:r>
        <w:rPr>
          <w:rFonts w:ascii="Times New Roman" w:cs="Times New Roman" w:eastAsia="Times New Roman" w:hAnsi="Times New Roman"/>
          <w:sz w:val="19"/>
          <w:szCs w:val="19"/>
          <w:color w:val="auto"/>
        </w:rPr>
        <w:t>”). Enphase must respond to SunPower within 48 hours to such NCR. Enphase is obligated, at its own</w:t>
      </w:r>
    </w:p>
    <w:p>
      <w:pPr>
        <w:ind w:left="626" w:right="180"/>
        <w:spacing w:after="0" w:line="208" w:lineRule="auto"/>
        <w:rPr>
          <w:sz w:val="20"/>
          <w:szCs w:val="20"/>
          <w:color w:val="auto"/>
        </w:rPr>
      </w:pPr>
      <w:r>
        <w:rPr>
          <w:rFonts w:ascii="Times New Roman" w:cs="Times New Roman" w:eastAsia="Times New Roman" w:hAnsi="Times New Roman"/>
          <w:sz w:val="19"/>
          <w:szCs w:val="19"/>
          <w:color w:val="auto"/>
        </w:rPr>
        <w:t>expense, to complete a thorough RCCA, using 8D or similar methodology, to identify the cause of such Defect. Enphase is obligated to identify and execute reasonable corrective and preventative actions to eliminate the reoccurrence of such</w:t>
      </w:r>
    </w:p>
    <w:p>
      <w:pPr>
        <w:spacing w:after="0" w:line="2" w:lineRule="exact"/>
        <w:rPr>
          <w:sz w:val="20"/>
          <w:szCs w:val="20"/>
          <w:color w:val="auto"/>
        </w:rPr>
      </w:pPr>
    </w:p>
    <w:p>
      <w:pPr>
        <w:ind w:left="626" w:right="180"/>
        <w:spacing w:after="0" w:line="233" w:lineRule="auto"/>
        <w:rPr>
          <w:sz w:val="20"/>
          <w:szCs w:val="20"/>
          <w:color w:val="auto"/>
        </w:rPr>
      </w:pPr>
      <w:r>
        <w:rPr>
          <w:rFonts w:ascii="Times New Roman" w:cs="Times New Roman" w:eastAsia="Times New Roman" w:hAnsi="Times New Roman"/>
          <w:sz w:val="19"/>
          <w:szCs w:val="19"/>
          <w:color w:val="auto"/>
        </w:rPr>
        <w:t>Defect. In the event of any Nonconformity, SunPower, at its sole discretion, may direct Enphase to stop shipments and/or manufacturing and conduct inspection and testing at Enphase’s expense to ensure conformance.</w:t>
      </w:r>
    </w:p>
    <w:p>
      <w:pPr>
        <w:spacing w:after="0" w:line="142" w:lineRule="exact"/>
        <w:rPr>
          <w:sz w:val="20"/>
          <w:szCs w:val="20"/>
          <w:color w:val="auto"/>
        </w:rPr>
      </w:pPr>
    </w:p>
    <w:p>
      <w:pPr>
        <w:jc w:val="right"/>
        <w:ind w:left="6" w:right="200"/>
        <w:spacing w:after="0" w:line="229" w:lineRule="auto"/>
        <w:rPr>
          <w:sz w:val="20"/>
          <w:szCs w:val="20"/>
          <w:color w:val="auto"/>
        </w:rPr>
      </w:pPr>
      <w:r>
        <w:rPr>
          <w:rFonts w:ascii="Times New Roman" w:cs="Times New Roman" w:eastAsia="Times New Roman" w:hAnsi="Times New Roman"/>
          <w:sz w:val="19"/>
          <w:szCs w:val="19"/>
          <w:color w:val="auto"/>
        </w:rPr>
        <w:t xml:space="preserve">1.3    </w:t>
      </w:r>
      <w:r>
        <w:rPr>
          <w:rFonts w:ascii="Times New Roman" w:cs="Times New Roman" w:eastAsia="Times New Roman" w:hAnsi="Times New Roman"/>
          <w:sz w:val="19"/>
          <w:szCs w:val="19"/>
          <w:b w:val="1"/>
          <w:bCs w:val="1"/>
          <w:u w:val="single" w:color="auto"/>
          <w:color w:val="auto"/>
        </w:rPr>
        <w:t>Quality Assurance</w:t>
      </w:r>
      <w:r>
        <w:rPr>
          <w:rFonts w:ascii="Times New Roman" w:cs="Times New Roman" w:eastAsia="Times New Roman" w:hAnsi="Times New Roman"/>
          <w:sz w:val="19"/>
          <w:szCs w:val="19"/>
          <w:color w:val="auto"/>
        </w:rPr>
        <w:t>. Enphase will follow its manufacturing and quality processes with the goal to produce Products that meet quality standards that meet the RMA Threshold. The performance targets for Products will be identified in the</w:t>
      </w:r>
    </w:p>
    <w:p>
      <w:pPr>
        <w:jc w:val="both"/>
        <w:ind w:left="626" w:right="200"/>
        <w:spacing w:after="0" w:line="208" w:lineRule="auto"/>
        <w:rPr>
          <w:sz w:val="20"/>
          <w:szCs w:val="20"/>
          <w:color w:val="auto"/>
        </w:rPr>
      </w:pPr>
      <w:r>
        <w:rPr>
          <w:rFonts w:ascii="Times New Roman" w:cs="Times New Roman" w:eastAsia="Times New Roman" w:hAnsi="Times New Roman"/>
          <w:sz w:val="19"/>
          <w:szCs w:val="19"/>
          <w:color w:val="auto"/>
        </w:rPr>
        <w:t>Product Specifications. If these quality levels are not maintained, SunPower reserves the right to require Enphase to implement corrective actions that include, but are not limited to, additional manufacturing processes, screens, tests, etc.</w:t>
      </w:r>
    </w:p>
    <w:p>
      <w:pPr>
        <w:spacing w:after="0" w:line="2"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9"/>
          <w:szCs w:val="19"/>
          <w:color w:val="auto"/>
        </w:rPr>
        <w:t>Enphase will bear the cost of such corrective actions if the failure to maintain such levels arises or results from a Defect.</w:t>
      </w:r>
    </w:p>
    <w:p>
      <w:pPr>
        <w:spacing w:after="0" w:line="151" w:lineRule="exact"/>
        <w:rPr>
          <w:sz w:val="20"/>
          <w:szCs w:val="20"/>
          <w:color w:val="auto"/>
        </w:rPr>
      </w:pPr>
    </w:p>
    <w:p>
      <w:pPr>
        <w:ind w:left="6"/>
        <w:spacing w:after="0"/>
        <w:tabs>
          <w:tab w:leader="none" w:pos="606" w:val="left"/>
        </w:tabs>
        <w:rPr>
          <w:sz w:val="20"/>
          <w:szCs w:val="20"/>
          <w:color w:val="auto"/>
        </w:rPr>
      </w:pPr>
      <w:r>
        <w:rPr>
          <w:rFonts w:ascii="Times New Roman" w:cs="Times New Roman" w:eastAsia="Times New Roman" w:hAnsi="Times New Roman"/>
          <w:sz w:val="19"/>
          <w:szCs w:val="19"/>
          <w:color w:val="auto"/>
        </w:rPr>
        <w:t>1.4</w:t>
      </w:r>
      <w:r>
        <w:rPr>
          <w:sz w:val="20"/>
          <w:szCs w:val="20"/>
          <w:color w:val="auto"/>
        </w:rPr>
        <w:tab/>
      </w:r>
      <w:r>
        <w:rPr>
          <w:rFonts w:ascii="Times New Roman" w:cs="Times New Roman" w:eastAsia="Times New Roman" w:hAnsi="Times New Roman"/>
          <w:sz w:val="19"/>
          <w:szCs w:val="19"/>
          <w:b w:val="1"/>
          <w:bCs w:val="1"/>
          <w:u w:val="single" w:color="auto"/>
          <w:color w:val="auto"/>
        </w:rPr>
        <w:t>Quality Control Plan</w:t>
      </w:r>
      <w:r>
        <w:rPr>
          <w:rFonts w:ascii="Times New Roman" w:cs="Times New Roman" w:eastAsia="Times New Roman" w:hAnsi="Times New Roman"/>
          <w:sz w:val="19"/>
          <w:szCs w:val="19"/>
          <w:color w:val="auto"/>
        </w:rPr>
        <w:t>. Enphase will adhere to their Quality Manuel (EQA-00001) for ensuring the quality of Products.</w:t>
      </w:r>
    </w:p>
    <w:p>
      <w:pPr>
        <w:spacing w:after="0" w:line="188" w:lineRule="exact"/>
        <w:rPr>
          <w:sz w:val="20"/>
          <w:szCs w:val="20"/>
          <w:color w:val="auto"/>
        </w:rPr>
      </w:pPr>
    </w:p>
    <w:p>
      <w:pPr>
        <w:ind w:left="6"/>
        <w:spacing w:after="0"/>
        <w:tabs>
          <w:tab w:leader="none" w:pos="606" w:val="left"/>
        </w:tabs>
        <w:rPr>
          <w:sz w:val="20"/>
          <w:szCs w:val="20"/>
          <w:color w:val="auto"/>
        </w:rPr>
      </w:pPr>
      <w:r>
        <w:rPr>
          <w:rFonts w:ascii="Times New Roman" w:cs="Times New Roman" w:eastAsia="Times New Roman" w:hAnsi="Times New Roman"/>
          <w:sz w:val="19"/>
          <w:szCs w:val="19"/>
          <w:color w:val="auto"/>
        </w:rPr>
        <w:t>1.5</w:t>
      </w:r>
      <w:r>
        <w:rPr>
          <w:sz w:val="20"/>
          <w:szCs w:val="20"/>
          <w:color w:val="auto"/>
        </w:rPr>
        <w:tab/>
      </w:r>
      <w:r>
        <w:rPr>
          <w:rFonts w:ascii="Times New Roman" w:cs="Times New Roman" w:eastAsia="Times New Roman" w:hAnsi="Times New Roman"/>
          <w:sz w:val="19"/>
          <w:szCs w:val="19"/>
          <w:b w:val="1"/>
          <w:bCs w:val="1"/>
          <w:u w:val="single" w:color="auto"/>
          <w:color w:val="auto"/>
        </w:rPr>
        <w:t>Supplier Management</w:t>
      </w:r>
      <w:r>
        <w:rPr>
          <w:rFonts w:ascii="Times New Roman" w:cs="Times New Roman" w:eastAsia="Times New Roman" w:hAnsi="Times New Roman"/>
          <w:sz w:val="19"/>
          <w:szCs w:val="19"/>
          <w:color w:val="auto"/>
        </w:rPr>
        <w:t>. Enphase will adhere to their Supplier Quality Manual (SQA- 0001) Enphase will provide, and</w:t>
      </w:r>
    </w:p>
    <w:p>
      <w:pPr>
        <w:spacing w:after="0" w:line="2" w:lineRule="exact"/>
        <w:rPr>
          <w:sz w:val="20"/>
          <w:szCs w:val="20"/>
          <w:color w:val="auto"/>
        </w:rPr>
      </w:pPr>
    </w:p>
    <w:p>
      <w:pPr>
        <w:ind w:left="626" w:right="200"/>
        <w:spacing w:after="0" w:line="226" w:lineRule="auto"/>
        <w:rPr>
          <w:sz w:val="20"/>
          <w:szCs w:val="20"/>
          <w:color w:val="auto"/>
        </w:rPr>
      </w:pPr>
      <w:r>
        <w:rPr>
          <w:rFonts w:ascii="Times New Roman" w:cs="Times New Roman" w:eastAsia="Times New Roman" w:hAnsi="Times New Roman"/>
          <w:sz w:val="19"/>
          <w:szCs w:val="19"/>
          <w:color w:val="auto"/>
        </w:rPr>
        <w:t>use commercially reasonable efforts to obtain from its Third Party contract manufacturers for the Products, detailed quality control plans that include all quality controls for each manufacturing process.</w:t>
      </w:r>
    </w:p>
    <w:p>
      <w:pPr>
        <w:spacing w:after="0" w:line="155" w:lineRule="exact"/>
        <w:rPr>
          <w:sz w:val="20"/>
          <w:szCs w:val="20"/>
          <w:color w:val="auto"/>
        </w:rPr>
      </w:pPr>
    </w:p>
    <w:p>
      <w:pPr>
        <w:ind w:left="6"/>
        <w:spacing w:after="0"/>
        <w:tabs>
          <w:tab w:leader="none" w:pos="606" w:val="left"/>
        </w:tabs>
        <w:rPr>
          <w:sz w:val="20"/>
          <w:szCs w:val="20"/>
          <w:color w:val="auto"/>
        </w:rPr>
      </w:pPr>
      <w:r>
        <w:rPr>
          <w:rFonts w:ascii="Times New Roman" w:cs="Times New Roman" w:eastAsia="Times New Roman" w:hAnsi="Times New Roman"/>
          <w:sz w:val="19"/>
          <w:szCs w:val="19"/>
          <w:color w:val="auto"/>
        </w:rPr>
        <w:t>1.6</w:t>
      </w:r>
      <w:r>
        <w:rPr>
          <w:sz w:val="20"/>
          <w:szCs w:val="20"/>
          <w:color w:val="auto"/>
        </w:rPr>
        <w:tab/>
      </w:r>
      <w:r>
        <w:rPr>
          <w:rFonts w:ascii="Times New Roman" w:cs="Times New Roman" w:eastAsia="Times New Roman" w:hAnsi="Times New Roman"/>
          <w:sz w:val="19"/>
          <w:szCs w:val="19"/>
          <w:b w:val="1"/>
          <w:bCs w:val="1"/>
          <w:u w:val="single" w:color="auto"/>
          <w:color w:val="auto"/>
        </w:rPr>
        <w:t>Reliability Monitoring Program</w:t>
      </w:r>
      <w:r>
        <w:rPr>
          <w:rFonts w:ascii="Times New Roman" w:cs="Times New Roman" w:eastAsia="Times New Roman" w:hAnsi="Times New Roman"/>
          <w:sz w:val="19"/>
          <w:szCs w:val="19"/>
          <w:color w:val="auto"/>
        </w:rPr>
        <w:t>. Enphase will adhere to their Ongoing Reliability Test Process (HPV-00023).</w:t>
      </w:r>
    </w:p>
    <w:p>
      <w:pPr>
        <w:spacing w:after="0" w:line="188" w:lineRule="exact"/>
        <w:rPr>
          <w:sz w:val="20"/>
          <w:szCs w:val="20"/>
          <w:color w:val="auto"/>
        </w:rPr>
      </w:pPr>
    </w:p>
    <w:p>
      <w:pPr>
        <w:jc w:val="right"/>
        <w:ind w:left="6" w:right="200"/>
        <w:spacing w:after="0" w:line="222" w:lineRule="auto"/>
        <w:rPr>
          <w:sz w:val="20"/>
          <w:szCs w:val="20"/>
          <w:color w:val="auto"/>
        </w:rPr>
      </w:pPr>
      <w:r>
        <w:rPr>
          <w:rFonts w:ascii="Times New Roman" w:cs="Times New Roman" w:eastAsia="Times New Roman" w:hAnsi="Times New Roman"/>
          <w:sz w:val="19"/>
          <w:szCs w:val="19"/>
          <w:color w:val="auto"/>
        </w:rPr>
        <w:t xml:space="preserve">1.7    </w:t>
      </w:r>
      <w:r>
        <w:rPr>
          <w:rFonts w:ascii="Times New Roman" w:cs="Times New Roman" w:eastAsia="Times New Roman" w:hAnsi="Times New Roman"/>
          <w:sz w:val="19"/>
          <w:szCs w:val="19"/>
          <w:b w:val="1"/>
          <w:bCs w:val="1"/>
          <w:u w:val="single" w:color="auto"/>
          <w:color w:val="auto"/>
        </w:rPr>
        <w:t>Traceability and Lot Control</w:t>
      </w:r>
      <w:r>
        <w:rPr>
          <w:rFonts w:ascii="Times New Roman" w:cs="Times New Roman" w:eastAsia="Times New Roman" w:hAnsi="Times New Roman"/>
          <w:sz w:val="19"/>
          <w:szCs w:val="19"/>
          <w:color w:val="auto"/>
        </w:rPr>
        <w:t>. Enphase will maintain complete traceability by Product to all components and material incorporated into such Product, for both serialized and non-serialized materials and components. Enphase will maintain</w:t>
      </w:r>
    </w:p>
    <w:p>
      <w:pPr>
        <w:ind w:left="626"/>
        <w:spacing w:after="0" w:line="216" w:lineRule="auto"/>
        <w:rPr>
          <w:sz w:val="20"/>
          <w:szCs w:val="20"/>
          <w:color w:val="auto"/>
        </w:rPr>
      </w:pPr>
      <w:r>
        <w:rPr>
          <w:rFonts w:ascii="Times New Roman" w:cs="Times New Roman" w:eastAsia="Times New Roman" w:hAnsi="Times New Roman"/>
          <w:sz w:val="19"/>
          <w:szCs w:val="19"/>
          <w:color w:val="auto"/>
        </w:rPr>
        <w:t>suitable records to correlate a specific Product lot or Product serial number to a specific material, component or sub-</w:t>
      </w:r>
    </w:p>
    <w:p>
      <w:pPr>
        <w:ind w:left="626" w:right="200"/>
        <w:spacing w:after="0" w:line="226" w:lineRule="auto"/>
        <w:rPr>
          <w:sz w:val="20"/>
          <w:szCs w:val="20"/>
          <w:color w:val="auto"/>
        </w:rPr>
      </w:pPr>
      <w:r>
        <w:rPr>
          <w:rFonts w:ascii="Times New Roman" w:cs="Times New Roman" w:eastAsia="Times New Roman" w:hAnsi="Times New Roman"/>
          <w:sz w:val="19"/>
          <w:szCs w:val="19"/>
          <w:color w:val="auto"/>
        </w:rPr>
        <w:t>assembly, lot and serial number. All Product supplied to SunPower must be identified by a lot number and, if serialized, by serial number.</w:t>
      </w:r>
    </w:p>
    <w:p>
      <w:pPr>
        <w:spacing w:after="0" w:line="246" w:lineRule="exact"/>
        <w:rPr>
          <w:sz w:val="20"/>
          <w:szCs w:val="20"/>
          <w:color w:val="auto"/>
        </w:rPr>
      </w:pPr>
    </w:p>
    <w:p>
      <w:pPr>
        <w:ind w:left="6"/>
        <w:spacing w:after="0"/>
        <w:tabs>
          <w:tab w:leader="none" w:pos="606" w:val="left"/>
        </w:tabs>
        <w:rPr>
          <w:sz w:val="20"/>
          <w:szCs w:val="20"/>
          <w:color w:val="auto"/>
        </w:rPr>
      </w:pPr>
      <w:r>
        <w:rPr>
          <w:rFonts w:ascii="Times New Roman" w:cs="Times New Roman" w:eastAsia="Times New Roman" w:hAnsi="Times New Roman"/>
          <w:sz w:val="19"/>
          <w:szCs w:val="19"/>
          <w:color w:val="auto"/>
        </w:rPr>
        <w:t>1.8</w:t>
      </w:r>
      <w:r>
        <w:rPr>
          <w:sz w:val="20"/>
          <w:szCs w:val="20"/>
          <w:color w:val="auto"/>
        </w:rPr>
        <w:tab/>
      </w:r>
      <w:r>
        <w:rPr>
          <w:rFonts w:ascii="Times New Roman" w:cs="Times New Roman" w:eastAsia="Times New Roman" w:hAnsi="Times New Roman"/>
          <w:sz w:val="19"/>
          <w:szCs w:val="19"/>
          <w:b w:val="1"/>
          <w:bCs w:val="1"/>
          <w:u w:val="single" w:color="auto"/>
          <w:color w:val="auto"/>
        </w:rPr>
        <w:t>Material Certifications</w:t>
      </w:r>
      <w:r>
        <w:rPr>
          <w:rFonts w:ascii="Times New Roman" w:cs="Times New Roman" w:eastAsia="Times New Roman" w:hAnsi="Times New Roman"/>
          <w:sz w:val="19"/>
          <w:szCs w:val="19"/>
          <w:color w:val="auto"/>
        </w:rPr>
        <w:t>. Enphase will provide SunPower as requested material certifications (as applicable), and mill</w:t>
      </w:r>
    </w:p>
    <w:p>
      <w:pPr>
        <w:spacing w:after="0" w:line="2" w:lineRule="exact"/>
        <w:rPr>
          <w:sz w:val="20"/>
          <w:szCs w:val="20"/>
          <w:color w:val="auto"/>
        </w:rPr>
      </w:pPr>
    </w:p>
    <w:p>
      <w:pPr>
        <w:ind w:left="626" w:right="200"/>
        <w:spacing w:after="0" w:line="226" w:lineRule="auto"/>
        <w:rPr>
          <w:sz w:val="20"/>
          <w:szCs w:val="20"/>
          <w:color w:val="auto"/>
        </w:rPr>
      </w:pPr>
      <w:r>
        <w:rPr>
          <w:rFonts w:ascii="Times New Roman" w:cs="Times New Roman" w:eastAsia="Times New Roman" w:hAnsi="Times New Roman"/>
          <w:sz w:val="19"/>
          <w:szCs w:val="19"/>
          <w:color w:val="auto"/>
        </w:rPr>
        <w:t>certificates, containing a material’s mechanical and chemical properties and inspection and test data, as specified in control plans with each shipment.</w:t>
      </w:r>
    </w:p>
    <w:p>
      <w:pPr>
        <w:spacing w:after="0" w:line="155" w:lineRule="exact"/>
        <w:rPr>
          <w:sz w:val="20"/>
          <w:szCs w:val="20"/>
          <w:color w:val="auto"/>
        </w:rPr>
      </w:pPr>
    </w:p>
    <w:p>
      <w:pPr>
        <w:ind w:left="626" w:right="200" w:hanging="628"/>
        <w:spacing w:after="0" w:line="239" w:lineRule="auto"/>
        <w:tabs>
          <w:tab w:leader="none" w:pos="606" w:val="left"/>
        </w:tabs>
        <w:rPr>
          <w:sz w:val="20"/>
          <w:szCs w:val="20"/>
          <w:color w:val="auto"/>
        </w:rPr>
      </w:pPr>
      <w:r>
        <w:rPr>
          <w:rFonts w:ascii="Times New Roman" w:cs="Times New Roman" w:eastAsia="Times New Roman" w:hAnsi="Times New Roman"/>
          <w:sz w:val="19"/>
          <w:szCs w:val="19"/>
          <w:color w:val="auto"/>
        </w:rPr>
        <w:t>1.9</w:t>
      </w:r>
      <w:r>
        <w:rPr>
          <w:sz w:val="20"/>
          <w:szCs w:val="20"/>
          <w:color w:val="auto"/>
        </w:rPr>
        <w:tab/>
      </w:r>
      <w:r>
        <w:rPr>
          <w:rFonts w:ascii="Times New Roman" w:cs="Times New Roman" w:eastAsia="Times New Roman" w:hAnsi="Times New Roman"/>
          <w:sz w:val="19"/>
          <w:szCs w:val="19"/>
          <w:b w:val="1"/>
          <w:bCs w:val="1"/>
          <w:u w:val="single" w:color="auto"/>
          <w:color w:val="auto"/>
        </w:rPr>
        <w:t>Record-Keeping</w:t>
      </w:r>
      <w:r>
        <w:rPr>
          <w:rFonts w:ascii="Times New Roman" w:cs="Times New Roman" w:eastAsia="Times New Roman" w:hAnsi="Times New Roman"/>
          <w:sz w:val="19"/>
          <w:szCs w:val="19"/>
          <w:color w:val="auto"/>
        </w:rPr>
        <w:t>. All quality records must be kept by Enphase for a period of no less than ten (10) years, and will be</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provided to SunPower upon its written request within 7 days of such request.</w:t>
      </w:r>
    </w:p>
    <w:p>
      <w:pPr>
        <w:spacing w:after="0" w:line="155" w:lineRule="exact"/>
        <w:rPr>
          <w:sz w:val="20"/>
          <w:szCs w:val="20"/>
          <w:color w:val="auto"/>
        </w:rPr>
      </w:pPr>
    </w:p>
    <w:p>
      <w:pPr>
        <w:ind w:left="626" w:right="180" w:hanging="628"/>
        <w:spacing w:after="0" w:line="254" w:lineRule="auto"/>
        <w:tabs>
          <w:tab w:leader="none" w:pos="606" w:val="left"/>
        </w:tabs>
        <w:rPr>
          <w:sz w:val="20"/>
          <w:szCs w:val="20"/>
          <w:color w:val="auto"/>
        </w:rPr>
      </w:pPr>
      <w:r>
        <w:rPr>
          <w:rFonts w:ascii="Times New Roman" w:cs="Times New Roman" w:eastAsia="Times New Roman" w:hAnsi="Times New Roman"/>
          <w:sz w:val="19"/>
          <w:szCs w:val="19"/>
          <w:color w:val="auto"/>
        </w:rPr>
        <w:t>1.10</w:t>
      </w:r>
      <w:r>
        <w:rPr>
          <w:sz w:val="20"/>
          <w:szCs w:val="20"/>
          <w:color w:val="auto"/>
        </w:rPr>
        <w:tab/>
      </w:r>
      <w:r>
        <w:rPr>
          <w:rFonts w:ascii="Times New Roman" w:cs="Times New Roman" w:eastAsia="Times New Roman" w:hAnsi="Times New Roman"/>
          <w:sz w:val="19"/>
          <w:szCs w:val="19"/>
          <w:b w:val="1"/>
          <w:bCs w:val="1"/>
          <w:u w:val="single" w:color="auto"/>
          <w:color w:val="auto"/>
        </w:rPr>
        <w:t>Root Cause and Corrective Action</w:t>
      </w:r>
      <w:r>
        <w:rPr>
          <w:rFonts w:ascii="Times New Roman" w:cs="Times New Roman" w:eastAsia="Times New Roman" w:hAnsi="Times New Roman"/>
          <w:sz w:val="19"/>
          <w:szCs w:val="19"/>
          <w:color w:val="auto"/>
        </w:rPr>
        <w:t>. Enphase will drive a system of corrective and preventative action using 8D or</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similar methodology. Enphase will provide SunPower with documentation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66"/>
        <w:spacing w:after="0"/>
        <w:rPr>
          <w:sz w:val="20"/>
          <w:szCs w:val="20"/>
          <w:color w:val="auto"/>
        </w:rPr>
      </w:pPr>
      <w:r>
        <w:rPr>
          <w:rFonts w:ascii="Times New Roman" w:cs="Times New Roman" w:eastAsia="Times New Roman" w:hAnsi="Times New Roman"/>
          <w:sz w:val="19"/>
          <w:szCs w:val="19"/>
          <w:color w:val="auto"/>
        </w:rPr>
        <w:t>33</w:t>
      </w:r>
    </w:p>
    <w:p>
      <w:pPr>
        <w:sectPr>
          <w:pgSz w:w="11900" w:h="16838" w:orient="portrait"/>
          <w:cols w:equalWidth="0" w:num="1">
            <w:col w:w="10186"/>
          </w:cols>
          <w:pgMar w:left="1374" w:top="100"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620" w:right="180"/>
        <w:spacing w:after="0" w:line="228" w:lineRule="auto"/>
        <w:rPr>
          <w:sz w:val="20"/>
          <w:szCs w:val="20"/>
          <w:color w:val="auto"/>
        </w:rPr>
      </w:pPr>
      <w:r>
        <w:rPr>
          <w:rFonts w:ascii="Times New Roman" w:cs="Times New Roman" w:eastAsia="Times New Roman" w:hAnsi="Times New Roman"/>
          <w:sz w:val="19"/>
          <w:szCs w:val="19"/>
          <w:color w:val="auto"/>
        </w:rPr>
        <w:t>such remediation activities upon SunPower’s request. Enphase will respond to SunPower’s NCRs, 8D/CAPA and FA requests within 24 hours of those requests, and will develop a containment response within 72 hours of those requests.</w:t>
      </w:r>
    </w:p>
    <w:p>
      <w:pPr>
        <w:ind w:left="620" w:right="180"/>
        <w:spacing w:after="0" w:line="208" w:lineRule="auto"/>
        <w:rPr>
          <w:sz w:val="20"/>
          <w:szCs w:val="20"/>
          <w:color w:val="auto"/>
        </w:rPr>
      </w:pPr>
      <w:r>
        <w:rPr>
          <w:rFonts w:ascii="Times New Roman" w:cs="Times New Roman" w:eastAsia="Times New Roman" w:hAnsi="Times New Roman"/>
          <w:sz w:val="19"/>
          <w:szCs w:val="19"/>
          <w:color w:val="auto"/>
        </w:rPr>
        <w:t>Within seven (7) calendar days of SunPower’s request, Enphase will generate and deliver to SunPower, a detailed RCCA plan. Enphase will log all actions in 3WIs format and meet either in person or via telephone conference with SunPower</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as often as SunPower reasonably requests to ensure that the cause of the Nonconformity is eliminated</w:t>
      </w:r>
    </w:p>
    <w:p>
      <w:pPr>
        <w:spacing w:after="0" w:line="164" w:lineRule="exact"/>
        <w:rPr>
          <w:sz w:val="20"/>
          <w:szCs w:val="20"/>
          <w:color w:val="auto"/>
        </w:rPr>
      </w:pPr>
    </w:p>
    <w:p>
      <w:pPr>
        <w:ind w:left="620" w:right="200" w:hanging="628"/>
        <w:spacing w:after="0" w:line="239" w:lineRule="auto"/>
        <w:tabs>
          <w:tab w:leader="none" w:pos="600" w:val="left"/>
        </w:tabs>
        <w:rPr>
          <w:sz w:val="20"/>
          <w:szCs w:val="20"/>
          <w:color w:val="auto"/>
        </w:rPr>
      </w:pPr>
      <w:r>
        <w:rPr>
          <w:rFonts w:ascii="Times New Roman" w:cs="Times New Roman" w:eastAsia="Times New Roman" w:hAnsi="Times New Roman"/>
          <w:sz w:val="19"/>
          <w:szCs w:val="19"/>
          <w:color w:val="auto"/>
        </w:rPr>
        <w:t>1.11</w:t>
      </w:r>
      <w:r>
        <w:rPr>
          <w:sz w:val="20"/>
          <w:szCs w:val="20"/>
          <w:color w:val="auto"/>
        </w:rPr>
        <w:tab/>
      </w:r>
      <w:r>
        <w:rPr>
          <w:rFonts w:ascii="Times New Roman" w:cs="Times New Roman" w:eastAsia="Times New Roman" w:hAnsi="Times New Roman"/>
          <w:sz w:val="19"/>
          <w:szCs w:val="19"/>
          <w:b w:val="1"/>
          <w:bCs w:val="1"/>
          <w:u w:val="single" w:color="auto"/>
          <w:color w:val="auto"/>
        </w:rPr>
        <w:t>ISO9000</w:t>
      </w:r>
      <w:r>
        <w:rPr>
          <w:rFonts w:ascii="Times New Roman" w:cs="Times New Roman" w:eastAsia="Times New Roman" w:hAnsi="Times New Roman"/>
          <w:sz w:val="19"/>
          <w:szCs w:val="19"/>
          <w:color w:val="auto"/>
        </w:rPr>
        <w:t>. Enphase’s Quality Control Plan will meet the minimum standards set forth under ISO 9000 International</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Organization for Standardization Quality Standards.</w:t>
      </w:r>
    </w:p>
    <w:p>
      <w:pPr>
        <w:spacing w:after="0" w:line="155"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9"/>
          <w:szCs w:val="19"/>
          <w:color w:val="auto"/>
        </w:rPr>
        <w:t xml:space="preserve">1.12 </w:t>
      </w:r>
      <w:r>
        <w:rPr>
          <w:rFonts w:ascii="Times New Roman" w:cs="Times New Roman" w:eastAsia="Times New Roman" w:hAnsi="Times New Roman"/>
          <w:sz w:val="19"/>
          <w:szCs w:val="19"/>
          <w:b w:val="1"/>
          <w:bCs w:val="1"/>
          <w:u w:val="single" w:color="auto"/>
          <w:color w:val="auto"/>
        </w:rPr>
        <w:t>Process Change Notification</w:t>
      </w:r>
      <w:r>
        <w:rPr>
          <w:rFonts w:ascii="Times New Roman" w:cs="Times New Roman" w:eastAsia="Times New Roman" w:hAnsi="Times New Roman"/>
          <w:sz w:val="19"/>
          <w:szCs w:val="19"/>
          <w:color w:val="auto"/>
        </w:rPr>
        <w:t>. Enphase will provide notice to SunPower prior to any major or critical change in the manufacturing or assembly process of a Product.</w:t>
      </w:r>
    </w:p>
    <w:p>
      <w:pPr>
        <w:spacing w:after="0" w:line="18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9"/>
          <w:szCs w:val="19"/>
          <w:color w:val="auto"/>
        </w:rPr>
        <w:t xml:space="preserve">1.13 </w:t>
      </w:r>
      <w:r>
        <w:rPr>
          <w:rFonts w:ascii="Times New Roman" w:cs="Times New Roman" w:eastAsia="Times New Roman" w:hAnsi="Times New Roman"/>
          <w:sz w:val="19"/>
          <w:szCs w:val="19"/>
          <w:b w:val="1"/>
          <w:bCs w:val="1"/>
          <w:u w:val="single" w:color="auto"/>
          <w:color w:val="auto"/>
        </w:rPr>
        <w:t>Production Part Approval Process (PPAP).</w:t>
      </w:r>
      <w:r>
        <w:rPr>
          <w:rFonts w:ascii="Times New Roman" w:cs="Times New Roman" w:eastAsia="Times New Roman" w:hAnsi="Times New Roman"/>
          <w:sz w:val="19"/>
          <w:szCs w:val="19"/>
          <w:color w:val="auto"/>
        </w:rPr>
        <w:t xml:space="preserve"> Enphase will meet the requirements of a Production Part Approval Process (PPAP) template, the form of which will be mutually-agreed by Enphase and SunPower.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34</w:t>
      </w:r>
    </w:p>
    <w:p>
      <w:pPr>
        <w:sectPr>
          <w:pgSz w:w="11900" w:h="16838" w:orient="portrait"/>
          <w:cols w:equalWidth="0" w:num="1">
            <w:col w:w="10180"/>
          </w:cols>
          <w:pgMar w:left="1380" w:top="100"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9"/>
          <w:szCs w:val="19"/>
          <w:b w:val="1"/>
          <w:bCs w:val="1"/>
          <w:u w:val="single" w:color="auto"/>
          <w:color w:val="auto"/>
        </w:rPr>
        <w:t>EXHIBIT I</w:t>
      </w:r>
    </w:p>
    <w:p>
      <w:pPr>
        <w:spacing w:after="0" w:line="83"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9"/>
          <w:szCs w:val="19"/>
          <w:b w:val="1"/>
          <w:bCs w:val="1"/>
          <w:color w:val="auto"/>
        </w:rPr>
        <w:t>Product Data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Enphase will provide an API so that data can be extracted from their data base. Data that will be provided are:</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35</w:t>
      </w:r>
    </w:p>
    <w:p>
      <w:pPr>
        <w:sectPr>
          <w:pgSz w:w="11900" w:h="16838" w:orient="portrait"/>
          <w:cols w:equalWidth="0" w:num="1">
            <w:col w:w="10180"/>
          </w:cols>
          <w:pgMar w:left="1380" w:top="102"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u w:val="single" w:color="auto"/>
          <w:color w:val="auto"/>
        </w:rPr>
        <w:t>EXHIBIT J</w:t>
      </w:r>
    </w:p>
    <w:p>
      <w:pPr>
        <w:spacing w:after="0" w:line="8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color w:val="auto"/>
        </w:rPr>
        <w:t>Product Qualification</w:t>
      </w: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MLPE Products will be deemed qualified when Enphase and SunPower have successfully completed qualification tests.</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“Successful completion” is defined as [*]. Enphase shall provide documentation of its test program and test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182245</wp:posOffset>
            </wp:positionV>
            <wp:extent cx="5678805" cy="42049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3">
                      <a:extLst>
                        <a:ext uri="{28A0092B-C50C-407E-A947-70E740481C1C}"/>
                      </a:extLst>
                    </a:blip>
                    <a:srcRect/>
                    <a:stretch>
                      <a:fillRect/>
                    </a:stretch>
                  </pic:blipFill>
                  <pic:spPr bwMode="auto">
                    <a:xfrm>
                      <a:off x="0" y="0"/>
                      <a:ext cx="5678805" cy="4204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Tests to be Conducted by Enphase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2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Test</w:t>
            </w:r>
          </w:p>
        </w:tc>
        <w:tc>
          <w:tcPr>
            <w:tcW w:w="52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Parameters</w:t>
            </w:r>
          </w:p>
        </w:tc>
        <w:tc>
          <w:tcPr>
            <w:tcW w:w="1440" w:type="dxa"/>
            <w:vAlign w:val="bottom"/>
            <w:tcBorders>
              <w:top w:val="single" w:sz="8" w:color="auto"/>
            </w:tcBorders>
          </w:tcPr>
          <w:p>
            <w:pPr>
              <w:spacing w:after="0"/>
              <w:rPr>
                <w:sz w:val="23"/>
                <w:szCs w:val="23"/>
                <w:color w:val="auto"/>
              </w:rPr>
            </w:pPr>
          </w:p>
        </w:tc>
      </w:tr>
      <w:tr>
        <w:trPr>
          <w:trHeight w:val="1103"/>
        </w:trPr>
        <w:tc>
          <w:tcPr>
            <w:tcW w:w="2260" w:type="dxa"/>
            <w:vAlign w:val="bottom"/>
            <w:tcBorders>
              <w:right w:val="single" w:sz="8" w:color="auto"/>
            </w:tcBorders>
          </w:tcPr>
          <w:p>
            <w:pPr>
              <w:spacing w:after="0"/>
              <w:rPr>
                <w:sz w:val="24"/>
                <w:szCs w:val="24"/>
                <w:color w:val="auto"/>
              </w:rPr>
            </w:pPr>
          </w:p>
        </w:tc>
        <w:tc>
          <w:tcPr>
            <w:tcW w:w="5240" w:type="dxa"/>
            <w:vAlign w:val="bottom"/>
            <w:tcBorders>
              <w:right w:val="single" w:sz="8" w:color="auto"/>
            </w:tcBorders>
          </w:tcPr>
          <w:p>
            <w:pPr>
              <w:spacing w:after="0"/>
              <w:rPr>
                <w:sz w:val="24"/>
                <w:szCs w:val="24"/>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Sample Size</w:t>
            </w:r>
          </w:p>
        </w:tc>
      </w:tr>
      <w:tr>
        <w:trPr>
          <w:trHeight w:val="1109"/>
        </w:trPr>
        <w:tc>
          <w:tcPr>
            <w:tcW w:w="2260" w:type="dxa"/>
            <w:vAlign w:val="bottom"/>
            <w:tcBorders>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19"/>
        </w:trPr>
        <w:tc>
          <w:tcPr>
            <w:tcW w:w="226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524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1440" w:type="dxa"/>
            <w:vAlign w:val="bottom"/>
          </w:tcPr>
          <w:p>
            <w:pPr>
              <w:spacing w:after="0" w:line="219" w:lineRule="exact"/>
              <w:rPr>
                <w:sz w:val="20"/>
                <w:szCs w:val="20"/>
                <w:color w:val="auto"/>
              </w:rPr>
            </w:pPr>
            <w:r>
              <w:rPr>
                <w:rFonts w:ascii="Cambria" w:cs="Cambria" w:eastAsia="Cambria" w:hAnsi="Cambria"/>
                <w:sz w:val="19"/>
                <w:szCs w:val="19"/>
                <w:b w:val="1"/>
                <w:bCs w:val="1"/>
                <w:color w:val="auto"/>
              </w:rPr>
              <w:t>[*]</w:t>
            </w:r>
          </w:p>
        </w:tc>
      </w:tr>
      <w:tr>
        <w:trPr>
          <w:trHeight w:val="24"/>
        </w:trPr>
        <w:tc>
          <w:tcPr>
            <w:tcW w:w="22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9"/>
        </w:trPr>
        <w:tc>
          <w:tcPr>
            <w:tcW w:w="226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524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1440" w:type="dxa"/>
            <w:vAlign w:val="bottom"/>
          </w:tcPr>
          <w:p>
            <w:pPr>
              <w:spacing w:after="0" w:line="219" w:lineRule="exact"/>
              <w:rPr>
                <w:sz w:val="20"/>
                <w:szCs w:val="20"/>
                <w:color w:val="auto"/>
              </w:rPr>
            </w:pPr>
            <w:r>
              <w:rPr>
                <w:rFonts w:ascii="Cambria" w:cs="Cambria" w:eastAsia="Cambria" w:hAnsi="Cambria"/>
                <w:sz w:val="19"/>
                <w:szCs w:val="19"/>
                <w:b w:val="1"/>
                <w:bCs w:val="1"/>
                <w:color w:val="auto"/>
              </w:rPr>
              <w:t>[*]</w:t>
            </w:r>
          </w:p>
        </w:tc>
      </w:tr>
      <w:tr>
        <w:trPr>
          <w:trHeight w:val="24"/>
        </w:trPr>
        <w:tc>
          <w:tcPr>
            <w:tcW w:w="22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9"/>
        </w:trPr>
        <w:tc>
          <w:tcPr>
            <w:tcW w:w="226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524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1440" w:type="dxa"/>
            <w:vAlign w:val="bottom"/>
          </w:tcPr>
          <w:p>
            <w:pPr>
              <w:ind w:left="100"/>
              <w:spacing w:after="0" w:line="219" w:lineRule="exact"/>
              <w:rPr>
                <w:sz w:val="20"/>
                <w:szCs w:val="20"/>
                <w:color w:val="auto"/>
              </w:rPr>
            </w:pPr>
            <w:r>
              <w:rPr>
                <w:rFonts w:ascii="Cambria" w:cs="Cambria" w:eastAsia="Cambria" w:hAnsi="Cambria"/>
                <w:sz w:val="19"/>
                <w:szCs w:val="19"/>
                <w:b w:val="1"/>
                <w:bCs w:val="1"/>
                <w:color w:val="auto"/>
              </w:rPr>
              <w:t>[*]</w:t>
            </w:r>
          </w:p>
        </w:tc>
      </w:tr>
      <w:tr>
        <w:trPr>
          <w:trHeight w:val="24"/>
        </w:trPr>
        <w:tc>
          <w:tcPr>
            <w:tcW w:w="22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9"/>
        </w:trPr>
        <w:tc>
          <w:tcPr>
            <w:tcW w:w="226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524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1440" w:type="dxa"/>
            <w:vAlign w:val="bottom"/>
          </w:tcPr>
          <w:p>
            <w:pPr>
              <w:ind w:left="100"/>
              <w:spacing w:after="0" w:line="219" w:lineRule="exact"/>
              <w:rPr>
                <w:sz w:val="20"/>
                <w:szCs w:val="20"/>
                <w:color w:val="auto"/>
              </w:rPr>
            </w:pPr>
            <w:r>
              <w:rPr>
                <w:rFonts w:ascii="Cambria" w:cs="Cambria" w:eastAsia="Cambria" w:hAnsi="Cambria"/>
                <w:sz w:val="19"/>
                <w:szCs w:val="19"/>
                <w:b w:val="1"/>
                <w:bCs w:val="1"/>
                <w:color w:val="auto"/>
              </w:rPr>
              <w:t>[*]</w:t>
            </w:r>
          </w:p>
        </w:tc>
      </w:tr>
      <w:tr>
        <w:trPr>
          <w:trHeight w:val="24"/>
        </w:trPr>
        <w:tc>
          <w:tcPr>
            <w:tcW w:w="22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5"/>
        </w:trPr>
        <w:tc>
          <w:tcPr>
            <w:tcW w:w="2260" w:type="dxa"/>
            <w:vAlign w:val="bottom"/>
            <w:tcBorders>
              <w:right w:val="single" w:sz="8" w:color="auto"/>
            </w:tcBorders>
          </w:tcPr>
          <w:p>
            <w:pPr>
              <w:ind w:left="120"/>
              <w:spacing w:after="0"/>
              <w:rPr>
                <w:sz w:val="20"/>
                <w:szCs w:val="20"/>
                <w:color w:val="auto"/>
              </w:rPr>
            </w:pPr>
            <w:r>
              <w:rPr>
                <w:rFonts w:ascii="Cambria" w:cs="Cambria" w:eastAsia="Cambria" w:hAnsi="Cambria"/>
                <w:sz w:val="19"/>
                <w:szCs w:val="19"/>
                <w:b w:val="1"/>
                <w:bCs w:val="1"/>
                <w:color w:val="auto"/>
              </w:rPr>
              <w:t>[*]</w:t>
            </w:r>
          </w:p>
        </w:tc>
        <w:tc>
          <w:tcPr>
            <w:tcW w:w="5240" w:type="dxa"/>
            <w:vAlign w:val="bottom"/>
            <w:tcBorders>
              <w:right w:val="single" w:sz="8" w:color="auto"/>
            </w:tcBorders>
          </w:tcPr>
          <w:p>
            <w:pPr>
              <w:ind w:left="120"/>
              <w:spacing w:after="0"/>
              <w:rPr>
                <w:sz w:val="20"/>
                <w:szCs w:val="20"/>
                <w:color w:val="auto"/>
              </w:rPr>
            </w:pPr>
            <w:r>
              <w:rPr>
                <w:rFonts w:ascii="Cambria" w:cs="Cambria" w:eastAsia="Cambria" w:hAnsi="Cambria"/>
                <w:sz w:val="19"/>
                <w:szCs w:val="19"/>
                <w:b w:val="1"/>
                <w:bCs w:val="1"/>
                <w:color w:val="auto"/>
              </w:rPr>
              <w:t>[*]</w:t>
            </w:r>
          </w:p>
        </w:tc>
        <w:tc>
          <w:tcPr>
            <w:tcW w:w="1440" w:type="dxa"/>
            <w:vAlign w:val="bottom"/>
          </w:tcPr>
          <w:p>
            <w:pPr>
              <w:ind w:left="100"/>
              <w:spacing w:after="0"/>
              <w:rPr>
                <w:sz w:val="20"/>
                <w:szCs w:val="20"/>
                <w:color w:val="auto"/>
              </w:rPr>
            </w:pPr>
            <w:r>
              <w:rPr>
                <w:rFonts w:ascii="Cambria" w:cs="Cambria" w:eastAsia="Cambria" w:hAnsi="Cambria"/>
                <w:sz w:val="19"/>
                <w:szCs w:val="19"/>
                <w:b w:val="1"/>
                <w:bCs w:val="1"/>
                <w:color w:val="auto"/>
              </w:rPr>
              <w:t>[*]</w:t>
            </w:r>
          </w:p>
        </w:tc>
      </w:tr>
      <w:tr>
        <w:trPr>
          <w:trHeight w:val="37"/>
        </w:trPr>
        <w:tc>
          <w:tcPr>
            <w:tcW w:w="2260" w:type="dxa"/>
            <w:vAlign w:val="bottom"/>
            <w:tcBorders>
              <w:bottom w:val="single" w:sz="8" w:color="auto"/>
              <w:right w:val="single" w:sz="8" w:color="auto"/>
            </w:tcBorders>
          </w:tcPr>
          <w:p>
            <w:pPr>
              <w:spacing w:after="0"/>
              <w:rPr>
                <w:sz w:val="3"/>
                <w:szCs w:val="3"/>
                <w:color w:val="auto"/>
              </w:rPr>
            </w:pPr>
          </w:p>
        </w:tc>
        <w:tc>
          <w:tcPr>
            <w:tcW w:w="524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5"/>
        </w:trPr>
        <w:tc>
          <w:tcPr>
            <w:tcW w:w="2260" w:type="dxa"/>
            <w:vAlign w:val="bottom"/>
            <w:tcBorders>
              <w:right w:val="single" w:sz="8" w:color="auto"/>
            </w:tcBorders>
          </w:tcPr>
          <w:p>
            <w:pPr>
              <w:ind w:left="120"/>
              <w:spacing w:after="0"/>
              <w:rPr>
                <w:sz w:val="20"/>
                <w:szCs w:val="20"/>
                <w:color w:val="auto"/>
              </w:rPr>
            </w:pPr>
            <w:r>
              <w:rPr>
                <w:rFonts w:ascii="Cambria" w:cs="Cambria" w:eastAsia="Cambria" w:hAnsi="Cambria"/>
                <w:sz w:val="19"/>
                <w:szCs w:val="19"/>
                <w:b w:val="1"/>
                <w:bCs w:val="1"/>
                <w:color w:val="auto"/>
              </w:rPr>
              <w:t>[*]</w:t>
            </w:r>
          </w:p>
        </w:tc>
        <w:tc>
          <w:tcPr>
            <w:tcW w:w="5240" w:type="dxa"/>
            <w:vAlign w:val="bottom"/>
            <w:tcBorders>
              <w:right w:val="single" w:sz="8" w:color="auto"/>
            </w:tcBorders>
          </w:tcPr>
          <w:p>
            <w:pPr>
              <w:ind w:left="120"/>
              <w:spacing w:after="0"/>
              <w:rPr>
                <w:sz w:val="20"/>
                <w:szCs w:val="20"/>
                <w:color w:val="auto"/>
              </w:rPr>
            </w:pPr>
            <w:r>
              <w:rPr>
                <w:rFonts w:ascii="Cambria" w:cs="Cambria" w:eastAsia="Cambria" w:hAnsi="Cambria"/>
                <w:sz w:val="19"/>
                <w:szCs w:val="19"/>
                <w:b w:val="1"/>
                <w:bCs w:val="1"/>
                <w:color w:val="auto"/>
              </w:rPr>
              <w:t>[*]</w:t>
            </w:r>
          </w:p>
        </w:tc>
        <w:tc>
          <w:tcPr>
            <w:tcW w:w="1440" w:type="dxa"/>
            <w:vAlign w:val="bottom"/>
          </w:tcPr>
          <w:p>
            <w:pPr>
              <w:ind w:left="100"/>
              <w:spacing w:after="0"/>
              <w:rPr>
                <w:sz w:val="20"/>
                <w:szCs w:val="20"/>
                <w:color w:val="auto"/>
              </w:rPr>
            </w:pPr>
            <w:r>
              <w:rPr>
                <w:rFonts w:ascii="Cambria" w:cs="Cambria" w:eastAsia="Cambria" w:hAnsi="Cambria"/>
                <w:sz w:val="19"/>
                <w:szCs w:val="19"/>
                <w:b w:val="1"/>
                <w:bCs w:val="1"/>
                <w:color w:val="auto"/>
              </w:rPr>
              <w:t>[*]</w:t>
            </w:r>
          </w:p>
        </w:tc>
      </w:tr>
      <w:tr>
        <w:trPr>
          <w:trHeight w:val="37"/>
        </w:trPr>
        <w:tc>
          <w:tcPr>
            <w:tcW w:w="2260" w:type="dxa"/>
            <w:vAlign w:val="bottom"/>
            <w:tcBorders>
              <w:bottom w:val="single" w:sz="8" w:color="auto"/>
              <w:right w:val="single" w:sz="8" w:color="auto"/>
            </w:tcBorders>
          </w:tcPr>
          <w:p>
            <w:pPr>
              <w:spacing w:after="0"/>
              <w:rPr>
                <w:sz w:val="3"/>
                <w:szCs w:val="3"/>
                <w:color w:val="auto"/>
              </w:rPr>
            </w:pPr>
          </w:p>
        </w:tc>
        <w:tc>
          <w:tcPr>
            <w:tcW w:w="524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bl>
    <w:p>
      <w:pPr>
        <w:sectPr>
          <w:pgSz w:w="11900" w:h="16838" w:orient="portrait"/>
          <w:cols w:equalWidth="0" w:num="1">
            <w:col w:w="10280"/>
          </w:cols>
          <w:pgMar w:left="1280" w:top="102" w:right="339" w:bottom="1440" w:gutter="0" w:footer="0" w:header="0"/>
        </w:sectPr>
      </w:pPr>
    </w:p>
    <w:bookmarkStart w:id="168" w:name="page169"/>
    <w:bookmarkEnd w:id="168"/>
    <w:p>
      <w:pPr>
        <w:ind w:left="1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814070</wp:posOffset>
            </wp:positionH>
            <wp:positionV relativeFrom="page">
              <wp:posOffset>105410</wp:posOffset>
            </wp:positionV>
            <wp:extent cx="5678805" cy="53041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4">
                      <a:extLst>
                        <a:ext uri="{28A0092B-C50C-407E-A947-70E740481C1C}"/>
                      </a:extLst>
                    </a:blip>
                    <a:srcRect/>
                    <a:stretch>
                      <a:fillRect/>
                    </a:stretch>
                  </pic:blipFill>
                  <pic:spPr bwMode="auto">
                    <a:xfrm>
                      <a:off x="0" y="0"/>
                      <a:ext cx="5678805" cy="5304155"/>
                    </a:xfrm>
                    <a:prstGeom prst="rect">
                      <a:avLst/>
                    </a:prstGeom>
                    <a:noFill/>
                  </pic:spPr>
                </pic:pic>
              </a:graphicData>
            </a:graphic>
          </wp:anchor>
        </w:drawing>
        <w:t>Tests to be Conducted by SunPower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226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Test</w:t>
            </w:r>
          </w:p>
        </w:tc>
        <w:tc>
          <w:tcPr>
            <w:tcW w:w="526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Parameters</w:t>
            </w:r>
          </w:p>
        </w:tc>
        <w:tc>
          <w:tcPr>
            <w:tcW w:w="14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Sample Size</w:t>
            </w:r>
          </w:p>
        </w:tc>
      </w:tr>
      <w:tr>
        <w:trPr>
          <w:trHeight w:val="219"/>
        </w:trPr>
        <w:tc>
          <w:tcPr>
            <w:tcW w:w="226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526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1440" w:type="dxa"/>
            <w:vAlign w:val="bottom"/>
          </w:tcPr>
          <w:p>
            <w:pPr>
              <w:ind w:left="80"/>
              <w:spacing w:after="0" w:line="219" w:lineRule="exact"/>
              <w:rPr>
                <w:sz w:val="20"/>
                <w:szCs w:val="20"/>
                <w:color w:val="auto"/>
              </w:rPr>
            </w:pPr>
            <w:r>
              <w:rPr>
                <w:rFonts w:ascii="Cambria" w:cs="Cambria" w:eastAsia="Cambria" w:hAnsi="Cambria"/>
                <w:sz w:val="19"/>
                <w:szCs w:val="19"/>
                <w:b w:val="1"/>
                <w:bCs w:val="1"/>
                <w:color w:val="auto"/>
              </w:rPr>
              <w:t>[*]</w:t>
            </w:r>
          </w:p>
        </w:tc>
      </w:tr>
      <w:tr>
        <w:trPr>
          <w:trHeight w:val="24"/>
        </w:trPr>
        <w:tc>
          <w:tcPr>
            <w:tcW w:w="226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9"/>
        </w:trPr>
        <w:tc>
          <w:tcPr>
            <w:tcW w:w="226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5260" w:type="dxa"/>
            <w:vAlign w:val="bottom"/>
            <w:tcBorders>
              <w:right w:val="single" w:sz="8" w:color="auto"/>
            </w:tcBorders>
          </w:tcPr>
          <w:p>
            <w:pPr>
              <w:spacing w:after="0"/>
              <w:rPr>
                <w:sz w:val="19"/>
                <w:szCs w:val="19"/>
                <w:color w:val="auto"/>
              </w:rPr>
            </w:pPr>
          </w:p>
        </w:tc>
        <w:tc>
          <w:tcPr>
            <w:tcW w:w="1440" w:type="dxa"/>
            <w:vAlign w:val="bottom"/>
          </w:tcPr>
          <w:p>
            <w:pPr>
              <w:ind w:left="80"/>
              <w:spacing w:after="0" w:line="219" w:lineRule="exact"/>
              <w:rPr>
                <w:sz w:val="20"/>
                <w:szCs w:val="20"/>
                <w:color w:val="auto"/>
              </w:rPr>
            </w:pPr>
            <w:r>
              <w:rPr>
                <w:rFonts w:ascii="Cambria" w:cs="Cambria" w:eastAsia="Cambria" w:hAnsi="Cambria"/>
                <w:sz w:val="19"/>
                <w:szCs w:val="19"/>
                <w:b w:val="1"/>
                <w:bCs w:val="1"/>
                <w:color w:val="auto"/>
              </w:rPr>
              <w:t>[*]</w:t>
            </w:r>
          </w:p>
        </w:tc>
      </w:tr>
      <w:tr>
        <w:trPr>
          <w:trHeight w:val="2006"/>
        </w:trPr>
        <w:tc>
          <w:tcPr>
            <w:tcW w:w="2260" w:type="dxa"/>
            <w:vAlign w:val="bottom"/>
            <w:tcBorders>
              <w:right w:val="single" w:sz="8" w:color="auto"/>
            </w:tcBorders>
          </w:tcPr>
          <w:p>
            <w:pPr>
              <w:spacing w:after="0"/>
              <w:rPr>
                <w:sz w:val="24"/>
                <w:szCs w:val="24"/>
                <w:color w:val="auto"/>
              </w:rPr>
            </w:pPr>
          </w:p>
        </w:tc>
        <w:tc>
          <w:tcPr>
            <w:tcW w:w="5260" w:type="dxa"/>
            <w:vAlign w:val="bottom"/>
            <w:tcBorders>
              <w:right w:val="single" w:sz="8" w:color="auto"/>
            </w:tcBorders>
          </w:tcPr>
          <w:p>
            <w:pPr>
              <w:ind w:left="120"/>
              <w:spacing w:after="0"/>
              <w:rPr>
                <w:sz w:val="20"/>
                <w:szCs w:val="20"/>
                <w:color w:val="auto"/>
              </w:rPr>
            </w:pPr>
            <w:r>
              <w:rPr>
                <w:rFonts w:ascii="Cambria" w:cs="Cambria" w:eastAsia="Cambria" w:hAnsi="Cambria"/>
                <w:sz w:val="19"/>
                <w:szCs w:val="19"/>
                <w:b w:val="1"/>
                <w:bCs w:val="1"/>
                <w:color w:val="auto"/>
              </w:rPr>
              <w:t>[*]</w:t>
            </w:r>
          </w:p>
        </w:tc>
        <w:tc>
          <w:tcPr>
            <w:tcW w:w="1440" w:type="dxa"/>
            <w:vAlign w:val="bottom"/>
          </w:tcPr>
          <w:p>
            <w:pPr>
              <w:spacing w:after="0"/>
              <w:rPr>
                <w:sz w:val="24"/>
                <w:szCs w:val="24"/>
                <w:color w:val="auto"/>
              </w:rPr>
            </w:pPr>
          </w:p>
        </w:tc>
      </w:tr>
      <w:tr>
        <w:trPr>
          <w:trHeight w:val="2004"/>
        </w:trPr>
        <w:tc>
          <w:tcPr>
            <w:tcW w:w="2260" w:type="dxa"/>
            <w:vAlign w:val="bottom"/>
            <w:tcBorders>
              <w:bottom w:val="single" w:sz="8" w:color="auto"/>
              <w:right w:val="single" w:sz="8" w:color="auto"/>
            </w:tcBorders>
          </w:tcPr>
          <w:p>
            <w:pPr>
              <w:spacing w:after="0"/>
              <w:rPr>
                <w:sz w:val="24"/>
                <w:szCs w:val="24"/>
                <w:color w:val="auto"/>
              </w:rPr>
            </w:pPr>
          </w:p>
        </w:tc>
        <w:tc>
          <w:tcPr>
            <w:tcW w:w="52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19"/>
        </w:trPr>
        <w:tc>
          <w:tcPr>
            <w:tcW w:w="226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526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1440" w:type="dxa"/>
            <w:vAlign w:val="bottom"/>
          </w:tcPr>
          <w:p>
            <w:pPr>
              <w:ind w:left="80"/>
              <w:spacing w:after="0" w:line="219" w:lineRule="exact"/>
              <w:rPr>
                <w:sz w:val="20"/>
                <w:szCs w:val="20"/>
                <w:color w:val="auto"/>
              </w:rPr>
            </w:pPr>
            <w:r>
              <w:rPr>
                <w:rFonts w:ascii="Cambria" w:cs="Cambria" w:eastAsia="Cambria" w:hAnsi="Cambria"/>
                <w:sz w:val="19"/>
                <w:szCs w:val="19"/>
                <w:b w:val="1"/>
                <w:bCs w:val="1"/>
                <w:color w:val="auto"/>
              </w:rPr>
              <w:t>[*]</w:t>
            </w:r>
          </w:p>
        </w:tc>
      </w:tr>
      <w:tr>
        <w:trPr>
          <w:trHeight w:val="24"/>
        </w:trPr>
        <w:tc>
          <w:tcPr>
            <w:tcW w:w="226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9"/>
        </w:trPr>
        <w:tc>
          <w:tcPr>
            <w:tcW w:w="226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526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1440" w:type="dxa"/>
            <w:vAlign w:val="bottom"/>
          </w:tcPr>
          <w:p>
            <w:pPr>
              <w:ind w:left="80"/>
              <w:spacing w:after="0" w:line="219" w:lineRule="exact"/>
              <w:rPr>
                <w:sz w:val="20"/>
                <w:szCs w:val="20"/>
                <w:color w:val="auto"/>
              </w:rPr>
            </w:pPr>
            <w:r>
              <w:rPr>
                <w:rFonts w:ascii="Cambria" w:cs="Cambria" w:eastAsia="Cambria" w:hAnsi="Cambria"/>
                <w:sz w:val="19"/>
                <w:szCs w:val="19"/>
                <w:b w:val="1"/>
                <w:bCs w:val="1"/>
                <w:color w:val="auto"/>
              </w:rPr>
              <w:t>[*]</w:t>
            </w:r>
          </w:p>
        </w:tc>
      </w:tr>
      <w:tr>
        <w:trPr>
          <w:trHeight w:val="24"/>
        </w:trPr>
        <w:tc>
          <w:tcPr>
            <w:tcW w:w="226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5"/>
        </w:trPr>
        <w:tc>
          <w:tcPr>
            <w:tcW w:w="2260" w:type="dxa"/>
            <w:vAlign w:val="bottom"/>
            <w:tcBorders>
              <w:right w:val="single" w:sz="8" w:color="auto"/>
            </w:tcBorders>
          </w:tcPr>
          <w:p>
            <w:pPr>
              <w:ind w:left="120"/>
              <w:spacing w:after="0"/>
              <w:rPr>
                <w:sz w:val="20"/>
                <w:szCs w:val="20"/>
                <w:color w:val="auto"/>
              </w:rPr>
            </w:pPr>
            <w:r>
              <w:rPr>
                <w:rFonts w:ascii="Cambria" w:cs="Cambria" w:eastAsia="Cambria" w:hAnsi="Cambria"/>
                <w:sz w:val="19"/>
                <w:szCs w:val="19"/>
                <w:b w:val="1"/>
                <w:bCs w:val="1"/>
                <w:color w:val="auto"/>
              </w:rPr>
              <w:t>[*]</w:t>
            </w:r>
          </w:p>
        </w:tc>
        <w:tc>
          <w:tcPr>
            <w:tcW w:w="5260" w:type="dxa"/>
            <w:vAlign w:val="bottom"/>
            <w:tcBorders>
              <w:right w:val="single" w:sz="8" w:color="auto"/>
            </w:tcBorders>
          </w:tcPr>
          <w:p>
            <w:pPr>
              <w:ind w:left="120"/>
              <w:spacing w:after="0"/>
              <w:rPr>
                <w:sz w:val="20"/>
                <w:szCs w:val="20"/>
                <w:color w:val="auto"/>
              </w:rPr>
            </w:pPr>
            <w:r>
              <w:rPr>
                <w:rFonts w:ascii="Cambria" w:cs="Cambria" w:eastAsia="Cambria" w:hAnsi="Cambria"/>
                <w:sz w:val="19"/>
                <w:szCs w:val="19"/>
                <w:b w:val="1"/>
                <w:bCs w:val="1"/>
                <w:color w:val="auto"/>
              </w:rPr>
              <w:t>[*]</w:t>
            </w:r>
          </w:p>
        </w:tc>
        <w:tc>
          <w:tcPr>
            <w:tcW w:w="1440" w:type="dxa"/>
            <w:vAlign w:val="bottom"/>
          </w:tcPr>
          <w:p>
            <w:pPr>
              <w:ind w:left="80"/>
              <w:spacing w:after="0"/>
              <w:rPr>
                <w:sz w:val="20"/>
                <w:szCs w:val="20"/>
                <w:color w:val="auto"/>
              </w:rPr>
            </w:pPr>
            <w:r>
              <w:rPr>
                <w:rFonts w:ascii="Cambria" w:cs="Cambria" w:eastAsia="Cambria" w:hAnsi="Cambria"/>
                <w:sz w:val="19"/>
                <w:szCs w:val="19"/>
                <w:b w:val="1"/>
                <w:bCs w:val="1"/>
                <w:color w:val="auto"/>
              </w:rPr>
              <w:t>[*]</w:t>
            </w:r>
          </w:p>
        </w:tc>
      </w:tr>
      <w:tr>
        <w:trPr>
          <w:trHeight w:val="37"/>
        </w:trPr>
        <w:tc>
          <w:tcPr>
            <w:tcW w:w="2260" w:type="dxa"/>
            <w:vAlign w:val="bottom"/>
            <w:tcBorders>
              <w:bottom w:val="single" w:sz="8" w:color="auto"/>
              <w:right w:val="single" w:sz="8" w:color="auto"/>
            </w:tcBorders>
          </w:tcPr>
          <w:p>
            <w:pPr>
              <w:spacing w:after="0"/>
              <w:rPr>
                <w:sz w:val="3"/>
                <w:szCs w:val="3"/>
                <w:color w:val="auto"/>
              </w:rPr>
            </w:pPr>
          </w:p>
        </w:tc>
        <w:tc>
          <w:tcPr>
            <w:tcW w:w="52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19"/>
        </w:trPr>
        <w:tc>
          <w:tcPr>
            <w:tcW w:w="226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5260" w:type="dxa"/>
            <w:vAlign w:val="bottom"/>
            <w:tcBorders>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1440" w:type="dxa"/>
            <w:vAlign w:val="bottom"/>
          </w:tcPr>
          <w:p>
            <w:pPr>
              <w:ind w:left="80"/>
              <w:spacing w:after="0" w:line="219" w:lineRule="exact"/>
              <w:rPr>
                <w:sz w:val="20"/>
                <w:szCs w:val="20"/>
                <w:color w:val="auto"/>
              </w:rPr>
            </w:pPr>
            <w:r>
              <w:rPr>
                <w:rFonts w:ascii="Cambria" w:cs="Cambria" w:eastAsia="Cambria" w:hAnsi="Cambria"/>
                <w:sz w:val="19"/>
                <w:szCs w:val="19"/>
                <w:b w:val="1"/>
                <w:bCs w:val="1"/>
                <w:color w:val="auto"/>
              </w:rPr>
              <w:t>[*]</w:t>
            </w:r>
          </w:p>
        </w:tc>
      </w:tr>
      <w:tr>
        <w:trPr>
          <w:trHeight w:val="24"/>
        </w:trPr>
        <w:tc>
          <w:tcPr>
            <w:tcW w:w="2260" w:type="dxa"/>
            <w:vAlign w:val="bottom"/>
            <w:tcBorders>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11"/>
        </w:trPr>
        <w:tc>
          <w:tcPr>
            <w:tcW w:w="2260" w:type="dxa"/>
            <w:vAlign w:val="bottom"/>
            <w:tcBorders>
              <w:bottom w:val="single" w:sz="8" w:color="auto"/>
            </w:tcBorders>
          </w:tcPr>
          <w:p>
            <w:pPr>
              <w:spacing w:after="0"/>
              <w:rPr>
                <w:sz w:val="9"/>
                <w:szCs w:val="9"/>
                <w:color w:val="auto"/>
              </w:rPr>
            </w:pPr>
          </w:p>
        </w:tc>
        <w:tc>
          <w:tcPr>
            <w:tcW w:w="5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r>
      <w:tr>
        <w:trPr>
          <w:trHeight w:val="219"/>
        </w:trPr>
        <w:tc>
          <w:tcPr>
            <w:tcW w:w="2260" w:type="dxa"/>
            <w:vAlign w:val="bottom"/>
            <w:tcBorders>
              <w:left w:val="single" w:sz="8" w:color="auto"/>
              <w:right w:val="single" w:sz="8" w:color="auto"/>
            </w:tcBorders>
          </w:tcPr>
          <w:p>
            <w:pPr>
              <w:ind w:left="120"/>
              <w:spacing w:after="0" w:line="219" w:lineRule="exact"/>
              <w:rPr>
                <w:sz w:val="20"/>
                <w:szCs w:val="20"/>
                <w:color w:val="auto"/>
              </w:rPr>
            </w:pPr>
            <w:r>
              <w:rPr>
                <w:rFonts w:ascii="Cambria" w:cs="Cambria" w:eastAsia="Cambria" w:hAnsi="Cambria"/>
                <w:sz w:val="19"/>
                <w:szCs w:val="19"/>
                <w:b w:val="1"/>
                <w:bCs w:val="1"/>
                <w:color w:val="auto"/>
              </w:rPr>
              <w:t>[*]</w:t>
            </w:r>
          </w:p>
        </w:tc>
        <w:tc>
          <w:tcPr>
            <w:tcW w:w="526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r>
      <w:tr>
        <w:trPr>
          <w:trHeight w:val="24"/>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36</w:t>
      </w:r>
    </w:p>
    <w:p>
      <w:pPr>
        <w:sectPr>
          <w:pgSz w:w="11900" w:h="16838" w:orient="portrait"/>
          <w:cols w:equalWidth="0" w:num="1">
            <w:col w:w="9179"/>
          </w:cols>
          <w:pgMar w:left="1280" w:top="1282" w:right="144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7"/>
          <w:szCs w:val="17"/>
          <w:b w:val="1"/>
          <w:bCs w:val="1"/>
          <w:color w:val="auto"/>
        </w:rPr>
        <w:t>Exhibit 10.17</w:t>
      </w:r>
    </w:p>
    <w:p>
      <w:pPr>
        <w:spacing w:after="0" w:line="211" w:lineRule="exact"/>
        <w:rPr>
          <w:sz w:val="20"/>
          <w:szCs w:val="20"/>
          <w:color w:val="auto"/>
        </w:rPr>
      </w:pPr>
    </w:p>
    <w:p>
      <w:pPr>
        <w:ind w:left="1580" w:right="480" w:hanging="1579"/>
        <w:spacing w:after="0" w:line="267" w:lineRule="auto"/>
        <w:tabs>
          <w:tab w:leader="none" w:pos="244"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it is both (i) not material and (ii) is the type that the registrant treats as private or confidential.</w:t>
      </w: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Amendment No. 1 to</w:t>
      </w:r>
    </w:p>
    <w:p>
      <w:pPr>
        <w:spacing w:after="0" w:line="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MASTER SUPPLY AGREEMENT</w:t>
      </w:r>
    </w:p>
    <w:p>
      <w:pPr>
        <w:spacing w:after="0" w:line="146" w:lineRule="exact"/>
        <w:rPr>
          <w:sz w:val="20"/>
          <w:szCs w:val="20"/>
          <w:color w:val="auto"/>
        </w:rPr>
      </w:pPr>
    </w:p>
    <w:p>
      <w:pPr>
        <w:jc w:val="both"/>
        <w:ind w:left="100" w:right="540" w:firstLine="616"/>
        <w:spacing w:after="0" w:line="318" w:lineRule="auto"/>
        <w:rPr>
          <w:sz w:val="20"/>
          <w:szCs w:val="20"/>
          <w:color w:val="auto"/>
        </w:rPr>
      </w:pPr>
      <w:r>
        <w:rPr>
          <w:rFonts w:ascii="Times New Roman" w:cs="Times New Roman" w:eastAsia="Times New Roman" w:hAnsi="Times New Roman"/>
          <w:sz w:val="17"/>
          <w:szCs w:val="17"/>
          <w:color w:val="auto"/>
        </w:rPr>
        <w:t xml:space="preserve">This Amendment No. 1 to Master Supply Agreement (this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xml:space="preserve"> is entered as of </w:t>
      </w:r>
      <w:r>
        <w:rPr>
          <w:rFonts w:ascii="Times New Roman" w:cs="Times New Roman" w:eastAsia="Times New Roman" w:hAnsi="Times New Roman"/>
          <w:sz w:val="17"/>
          <w:szCs w:val="17"/>
          <w:b w:val="1"/>
          <w:bCs w:val="1"/>
          <w:color w:val="auto"/>
        </w:rPr>
        <w:t>December 10, 2018</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 xml:space="preserve">"Effective Date") </w:t>
      </w:r>
      <w:r>
        <w:rPr>
          <w:rFonts w:ascii="Times New Roman" w:cs="Times New Roman" w:eastAsia="Times New Roman" w:hAnsi="Times New Roman"/>
          <w:sz w:val="17"/>
          <w:szCs w:val="17"/>
          <w:color w:val="auto"/>
        </w:rPr>
        <w:t>by and between Enphase Energy, Inc.</w:t>
      </w:r>
      <w:r>
        <w:rPr>
          <w:rFonts w:ascii="Times New Roman" w:cs="Times New Roman" w:eastAsia="Times New Roman" w:hAnsi="Times New Roman"/>
          <w:sz w:val="17"/>
          <w:szCs w:val="17"/>
          <w:b w:val="1"/>
          <w:bCs w:val="1"/>
          <w:color w:val="auto"/>
        </w:rPr>
        <w:t xml:space="preserve"> ("Enphase"), </w:t>
      </w:r>
      <w:r>
        <w:rPr>
          <w:rFonts w:ascii="Times New Roman" w:cs="Times New Roman" w:eastAsia="Times New Roman" w:hAnsi="Times New Roman"/>
          <w:sz w:val="17"/>
          <w:szCs w:val="17"/>
          <w:color w:val="auto"/>
        </w:rPr>
        <w:t>and SunPower Corporation</w:t>
      </w:r>
      <w:r>
        <w:rPr>
          <w:rFonts w:ascii="Times New Roman" w:cs="Times New Roman" w:eastAsia="Times New Roman" w:hAnsi="Times New Roman"/>
          <w:sz w:val="17"/>
          <w:szCs w:val="17"/>
          <w:b w:val="1"/>
          <w:bCs w:val="1"/>
          <w:color w:val="auto"/>
        </w:rPr>
        <w:t xml:space="preserve"> ("Company" or "SunPower"). </w:t>
      </w:r>
      <w:r>
        <w:rPr>
          <w:rFonts w:ascii="Times New Roman" w:cs="Times New Roman" w:eastAsia="Times New Roman" w:hAnsi="Times New Roman"/>
          <w:sz w:val="17"/>
          <w:szCs w:val="17"/>
          <w:color w:val="auto"/>
        </w:rPr>
        <w:t>Capitalized terms used herein without definition shall have the same meanings given them in the Agreement (as defined below).</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32" w:lineRule="exact"/>
        <w:rPr>
          <w:sz w:val="20"/>
          <w:szCs w:val="20"/>
          <w:color w:val="auto"/>
        </w:rPr>
      </w:pPr>
    </w:p>
    <w:p>
      <w:pPr>
        <w:jc w:val="both"/>
        <w:ind w:left="80" w:right="560" w:firstLine="615"/>
        <w:spacing w:after="0" w:line="331" w:lineRule="auto"/>
        <w:rPr>
          <w:sz w:val="20"/>
          <w:szCs w:val="20"/>
          <w:color w:val="auto"/>
        </w:rPr>
      </w:pPr>
      <w:r>
        <w:rPr>
          <w:rFonts w:ascii="Times New Roman" w:cs="Times New Roman" w:eastAsia="Times New Roman" w:hAnsi="Times New Roman"/>
          <w:sz w:val="17"/>
          <w:szCs w:val="17"/>
          <w:color w:val="auto"/>
        </w:rPr>
        <w:t xml:space="preserve">Enphase and Company have entered into a Master Supply Agreement dated as of June 12, 2018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xml:space="preserve"> In accordance with the terms of Agreement Section 9.11, Enphase and Company have agreed to amend the Agreement as set forth below.</w:t>
      </w:r>
    </w:p>
    <w:p>
      <w:pPr>
        <w:spacing w:after="0" w:line="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NOW, THEREFORE, in consideration of the foregoing Recitals and intending to be legally bound, the parties hereto agree as</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follows:</w:t>
      </w:r>
    </w:p>
    <w:p>
      <w:pPr>
        <w:spacing w:after="0" w:line="117" w:lineRule="exact"/>
        <w:rPr>
          <w:sz w:val="20"/>
          <w:szCs w:val="20"/>
          <w:color w:val="auto"/>
        </w:rPr>
      </w:pPr>
    </w:p>
    <w:p>
      <w:pPr>
        <w:ind w:left="1280" w:hanging="606"/>
        <w:spacing w:after="0"/>
        <w:tabs>
          <w:tab w:leader="none" w:pos="1280" w:val="left"/>
        </w:tabs>
        <w:numPr>
          <w:ilvl w:val="1"/>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w:t>
      </w:r>
    </w:p>
    <w:p>
      <w:pPr>
        <w:spacing w:after="0" w:line="158" w:lineRule="exact"/>
        <w:rPr>
          <w:rFonts w:ascii="Times New Roman" w:cs="Times New Roman" w:eastAsia="Times New Roman" w:hAnsi="Times New Roman"/>
          <w:sz w:val="17"/>
          <w:szCs w:val="17"/>
          <w:b w:val="1"/>
          <w:bCs w:val="1"/>
          <w:color w:val="auto"/>
        </w:rPr>
      </w:pPr>
    </w:p>
    <w:p>
      <w:pPr>
        <w:jc w:val="both"/>
        <w:ind w:left="1260" w:right="600" w:firstLine="14"/>
        <w:spacing w:after="0" w:line="30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1.1 </w:t>
      </w:r>
      <w:r>
        <w:rPr>
          <w:rFonts w:ascii="Times New Roman" w:cs="Times New Roman" w:eastAsia="Times New Roman" w:hAnsi="Times New Roman"/>
          <w:sz w:val="17"/>
          <w:szCs w:val="17"/>
          <w:color w:val="auto"/>
        </w:rPr>
        <w:t>The parties agree to supplement Exhibit B (Pricing) of the Agreement to include additional accessory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Products that are listed in Exhibit B-1 attached to this Amendment No. 1. The parties further agree that solely for the accessory Products listed in Exhibit B-1, shipping terms shall be set as DDP (incoterms 2010) to Long Beach, California, and payment terms for such accessory Product Orders shall be net 21 days. The pricing listed in Exhibit B-1 [*]. In the event of any conflict between this Amendment and the Agreement, the Agreement shall control.</w:t>
      </w:r>
    </w:p>
    <w:p>
      <w:pPr>
        <w:spacing w:after="0" w:line="220" w:lineRule="exact"/>
        <w:rPr>
          <w:rFonts w:ascii="Times New Roman" w:cs="Times New Roman" w:eastAsia="Times New Roman" w:hAnsi="Times New Roman"/>
          <w:sz w:val="17"/>
          <w:szCs w:val="17"/>
          <w:b w:val="1"/>
          <w:bCs w:val="1"/>
          <w:color w:val="auto"/>
        </w:rPr>
      </w:pPr>
    </w:p>
    <w:p>
      <w:pPr>
        <w:jc w:val="both"/>
        <w:ind w:left="40" w:right="620" w:firstLine="616"/>
        <w:spacing w:after="0" w:line="299" w:lineRule="auto"/>
        <w:tabs>
          <w:tab w:leader="none" w:pos="1404" w:val="left"/>
        </w:tabs>
        <w:numPr>
          <w:ilvl w:val="0"/>
          <w:numId w:val="94"/>
        </w:numPr>
        <w:rPr>
          <w:rFonts w:ascii="Times New Roman" w:cs="Times New Roman" w:eastAsia="Times New Roman" w:hAnsi="Times New Roman"/>
          <w:sz w:val="17"/>
          <w:szCs w:val="17"/>
          <w:b w:val="1"/>
          <w:bCs w:val="1"/>
          <w:color w:val="4D4D4D"/>
        </w:rPr>
      </w:pPr>
      <w:r>
        <w:rPr>
          <w:rFonts w:ascii="Times New Roman" w:cs="Times New Roman" w:eastAsia="Times New Roman" w:hAnsi="Times New Roman"/>
          <w:sz w:val="17"/>
          <w:szCs w:val="17"/>
          <w:b w:val="1"/>
          <w:bCs w:val="1"/>
          <w:color w:val="auto"/>
        </w:rPr>
        <w:t xml:space="preserve">Limitation. </w:t>
      </w:r>
      <w:r>
        <w:rPr>
          <w:rFonts w:ascii="Times New Roman" w:cs="Times New Roman" w:eastAsia="Times New Roman" w:hAnsi="Times New Roman"/>
          <w:sz w:val="17"/>
          <w:szCs w:val="17"/>
          <w:color w:val="auto"/>
        </w:rPr>
        <w:t>The amendment set forth in this Amendment shall be limited precisely as written and shall not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deemed (a) to be a waiver or modification of any other term or condition of the Agreement or of any other instrument or agreement</w:t>
      </w:r>
    </w:p>
    <w:p>
      <w:pPr>
        <w:jc w:val="both"/>
        <w:ind w:left="40" w:right="620"/>
        <w:spacing w:after="0" w:line="297" w:lineRule="auto"/>
        <w:rPr>
          <w:rFonts w:ascii="Times New Roman" w:cs="Times New Roman" w:eastAsia="Times New Roman" w:hAnsi="Times New Roman"/>
          <w:sz w:val="17"/>
          <w:szCs w:val="17"/>
          <w:b w:val="1"/>
          <w:bCs w:val="1"/>
          <w:color w:val="4D4D4D"/>
        </w:rPr>
      </w:pPr>
      <w:r>
        <w:rPr>
          <w:rFonts w:ascii="Times New Roman" w:cs="Times New Roman" w:eastAsia="Times New Roman" w:hAnsi="Times New Roman"/>
          <w:sz w:val="17"/>
          <w:szCs w:val="17"/>
          <w:color w:val="auto"/>
        </w:rPr>
        <w:t>referred to therein or to prejudice any right or remedy which the parties may now have or may have in the future under or in connection with the Agreement or any instrument or agreement referred to therein; or (b) to be a consent to any future amendment or</w:t>
      </w:r>
    </w:p>
    <w:p>
      <w:pPr>
        <w:spacing w:after="0" w:line="1" w:lineRule="exact"/>
        <w:rPr>
          <w:rFonts w:ascii="Times New Roman" w:cs="Times New Roman" w:eastAsia="Times New Roman" w:hAnsi="Times New Roman"/>
          <w:sz w:val="17"/>
          <w:szCs w:val="17"/>
          <w:b w:val="1"/>
          <w:bCs w:val="1"/>
          <w:color w:val="4D4D4D"/>
        </w:rPr>
      </w:pPr>
    </w:p>
    <w:p>
      <w:pPr>
        <w:ind w:left="40" w:right="620"/>
        <w:spacing w:after="0" w:line="329" w:lineRule="auto"/>
        <w:rPr>
          <w:rFonts w:ascii="Times New Roman" w:cs="Times New Roman" w:eastAsia="Times New Roman" w:hAnsi="Times New Roman"/>
          <w:sz w:val="17"/>
          <w:szCs w:val="17"/>
          <w:b w:val="1"/>
          <w:bCs w:val="1"/>
          <w:color w:val="4D4D4D"/>
        </w:rPr>
      </w:pPr>
      <w:r>
        <w:rPr>
          <w:rFonts w:ascii="Times New Roman" w:cs="Times New Roman" w:eastAsia="Times New Roman" w:hAnsi="Times New Roman"/>
          <w:sz w:val="17"/>
          <w:szCs w:val="17"/>
          <w:color w:val="auto"/>
        </w:rPr>
        <w:t>modification or waiver to any instrument or agreement the execution and delivery of which is consented to hereby, or to any waiver of any of the provisions thereof. Except as expressly amended hereby, the Agreement shall continue in full force and effect.</w:t>
      </w:r>
    </w:p>
    <w:p>
      <w:pPr>
        <w:spacing w:after="0" w:line="25" w:lineRule="exact"/>
        <w:rPr>
          <w:rFonts w:ascii="Times New Roman" w:cs="Times New Roman" w:eastAsia="Times New Roman" w:hAnsi="Times New Roman"/>
          <w:sz w:val="17"/>
          <w:szCs w:val="17"/>
          <w:b w:val="1"/>
          <w:bCs w:val="1"/>
          <w:color w:val="4D4D4D"/>
        </w:rPr>
      </w:pPr>
    </w:p>
    <w:p>
      <w:pPr>
        <w:ind w:left="1140" w:hanging="490"/>
        <w:spacing w:after="0"/>
        <w:tabs>
          <w:tab w:leader="none" w:pos="114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Counterparts. </w:t>
      </w:r>
      <w:r>
        <w:rPr>
          <w:rFonts w:ascii="Times New Roman" w:cs="Times New Roman" w:eastAsia="Times New Roman" w:hAnsi="Times New Roman"/>
          <w:sz w:val="17"/>
          <w:szCs w:val="17"/>
          <w:color w:val="auto"/>
        </w:rPr>
        <w:t>This Amendment may be signed originally or by facsimile or other means of electronic transmission in</w:t>
      </w:r>
    </w:p>
    <w:p>
      <w:pPr>
        <w:spacing w:after="0" w:line="55" w:lineRule="exact"/>
        <w:rPr>
          <w:rFonts w:ascii="Times New Roman" w:cs="Times New Roman" w:eastAsia="Times New Roman" w:hAnsi="Times New Roman"/>
          <w:sz w:val="17"/>
          <w:szCs w:val="17"/>
          <w:b w:val="1"/>
          <w:bCs w:val="1"/>
          <w:color w:val="auto"/>
        </w:rPr>
      </w:pPr>
    </w:p>
    <w:p>
      <w:pPr>
        <w:ind w:left="20" w:right="660"/>
        <w:spacing w:after="0" w:line="32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number of counterparts, and by different parties hereto in separate counterparts, with the same effect as if the signatures to each such counterpart were upon a single instrument. All counterparts shall be deemed an original of this Amendment.</w:t>
      </w:r>
    </w:p>
    <w:p>
      <w:pPr>
        <w:spacing w:after="0" w:line="39" w:lineRule="exact"/>
        <w:rPr>
          <w:rFonts w:ascii="Times New Roman" w:cs="Times New Roman" w:eastAsia="Times New Roman" w:hAnsi="Times New Roman"/>
          <w:sz w:val="17"/>
          <w:szCs w:val="17"/>
          <w:b w:val="1"/>
          <w:bCs w:val="1"/>
          <w:color w:val="auto"/>
        </w:rPr>
      </w:pPr>
    </w:p>
    <w:p>
      <w:pPr>
        <w:jc w:val="both"/>
        <w:ind w:left="20" w:right="660" w:firstLine="625"/>
        <w:spacing w:after="0" w:line="314" w:lineRule="auto"/>
        <w:tabs>
          <w:tab w:leader="none" w:pos="966"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Integration. </w:t>
      </w:r>
      <w:r>
        <w:rPr>
          <w:rFonts w:ascii="Times New Roman" w:cs="Times New Roman" w:eastAsia="Times New Roman" w:hAnsi="Times New Roman"/>
          <w:sz w:val="17"/>
          <w:szCs w:val="17"/>
          <w:color w:val="auto"/>
        </w:rPr>
        <w:t>This Amendment and any documents executed in connection herewith or pursuant hereto contain the entire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between the parties with respect to the subject matter hereof and supersede all prior agreements, understandings, offers and negotiations, oral or written, with respect thereto and no extrinsic evidence whatsoever may be introduced in any judicial or arbitration proceeding, if any, involving this Amendment.</w:t>
      </w:r>
    </w:p>
    <w:p>
      <w:pPr>
        <w:spacing w:after="0" w:line="39" w:lineRule="exact"/>
        <w:rPr>
          <w:rFonts w:ascii="Times New Roman" w:cs="Times New Roman" w:eastAsia="Times New Roman" w:hAnsi="Times New Roman"/>
          <w:sz w:val="17"/>
          <w:szCs w:val="17"/>
          <w:b w:val="1"/>
          <w:bCs w:val="1"/>
          <w:color w:val="auto"/>
        </w:rPr>
      </w:pPr>
    </w:p>
    <w:p>
      <w:pPr>
        <w:ind w:left="20" w:right="660" w:firstLine="626"/>
        <w:spacing w:after="0" w:line="347" w:lineRule="auto"/>
        <w:tabs>
          <w:tab w:leader="none" w:pos="955"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Governing Law. </w:t>
      </w:r>
      <w:r>
        <w:rPr>
          <w:rFonts w:ascii="Times New Roman" w:cs="Times New Roman" w:eastAsia="Times New Roman" w:hAnsi="Times New Roman"/>
          <w:sz w:val="17"/>
          <w:szCs w:val="17"/>
          <w:color w:val="auto"/>
        </w:rPr>
        <w:t>This Amendment shall be governed by and shall be construed and enforced in accordance with the laws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state of California.</w:t>
      </w:r>
    </w:p>
    <w:p>
      <w:pPr>
        <w:sectPr>
          <w:pgSz w:w="11900" w:h="16838" w:orient="portrait"/>
          <w:cols w:equalWidth="0" w:num="1">
            <w:col w:w="10120"/>
          </w:cols>
          <w:pgMar w:left="1440" w:top="775" w:right="339" w:bottom="1440" w:gutter="0" w:footer="0" w:header="0"/>
        </w:sectPr>
      </w:pPr>
    </w:p>
    <w:bookmarkStart w:id="170" w:name="page171"/>
    <w:bookmarkEnd w:id="170"/>
    <w:p>
      <w:pPr>
        <w:ind w:left="140"/>
        <w:spacing w:after="0"/>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b w:val="1"/>
          <w:bCs w:val="1"/>
          <w:color w:val="auto"/>
        </w:rPr>
        <w:t>Witness Whereof,</w:t>
      </w:r>
      <w:r>
        <w:rPr>
          <w:rFonts w:ascii="Times New Roman" w:cs="Times New Roman" w:eastAsia="Times New Roman" w:hAnsi="Times New Roman"/>
          <w:sz w:val="17"/>
          <w:szCs w:val="17"/>
          <w:color w:val="auto"/>
        </w:rPr>
        <w:t xml:space="preserve"> the parties have duly authorized and used this Amendment to be executed as of the date first written above.</w:t>
      </w:r>
    </w:p>
    <w:p>
      <w:pPr>
        <w:sectPr>
          <w:pgSz w:w="11900" w:h="16838" w:orient="portrait"/>
          <w:cols w:equalWidth="0" w:num="1">
            <w:col w:w="9180"/>
          </w:cols>
          <w:pgMar w:left="1440" w:top="133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ENPHASE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22225</wp:posOffset>
            </wp:positionV>
            <wp:extent cx="17405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5">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By: /s/ Badri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20955</wp:posOffset>
            </wp:positionV>
            <wp:extent cx="17405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6">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Name: Badri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20955</wp:posOffset>
            </wp:positionV>
            <wp:extent cx="17405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7">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20955</wp:posOffset>
            </wp:positionV>
            <wp:extent cx="17405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8">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SUNPOWER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23647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9">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Norman Tafee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20955</wp:posOffset>
            </wp:positionV>
            <wp:extent cx="236474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0">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Norman Tafee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20955</wp:posOffset>
            </wp:positionV>
            <wp:extent cx="236474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1">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EVP, North America Residential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20955</wp:posOffset>
            </wp:positionV>
            <wp:extent cx="23647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2">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ectPr>
          <w:pgSz w:w="11900" w:h="16838" w:orient="portrait"/>
          <w:cols w:equalWidth="0" w:num="2">
            <w:col w:w="3980" w:space="720"/>
            <w:col w:w="4480"/>
          </w:cols>
          <w:pgMar w:left="1440" w:top="1339" w:right="1279" w:bottom="1440" w:gutter="0" w:footer="0" w:header="0"/>
          <w:type w:val="continuous"/>
        </w:sectPr>
      </w:pPr>
    </w:p>
    <w:bookmarkStart w:id="171" w:name="page172"/>
    <w:bookmarkEnd w:id="171"/>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EXHIBIT B-1</w:t>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Accessory Product and Price List</w:t>
      </w:r>
    </w:p>
    <w:p>
      <w:pPr>
        <w:spacing w:after="0" w:line="200" w:lineRule="exact"/>
        <w:rPr>
          <w:sz w:val="20"/>
          <w:szCs w:val="20"/>
          <w:color w:val="auto"/>
        </w:rPr>
      </w:pP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800" w:type="dxa"/>
            <w:vAlign w:val="bottom"/>
            <w:tcBorders>
              <w:top w:val="single" w:sz="8" w:color="auto"/>
              <w:left w:val="single" w:sz="8" w:color="auto"/>
              <w:right w:val="single" w:sz="8" w:color="auto"/>
            </w:tcBorders>
            <w:shd w:val="clear" w:color="auto" w:fill="548DD4"/>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FFFFFF"/>
              </w:rPr>
              <w:t>SPWR</w:t>
            </w:r>
          </w:p>
        </w:tc>
        <w:tc>
          <w:tcPr>
            <w:tcW w:w="880" w:type="dxa"/>
            <w:vAlign w:val="bottom"/>
            <w:tcBorders>
              <w:top w:val="single" w:sz="8" w:color="auto"/>
              <w:right w:val="single" w:sz="8" w:color="auto"/>
            </w:tcBorders>
            <w:shd w:val="clear" w:color="auto" w:fill="548DD4"/>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FFFFFF"/>
              </w:rPr>
              <w:t>Enphase</w:t>
            </w:r>
          </w:p>
        </w:tc>
        <w:tc>
          <w:tcPr>
            <w:tcW w:w="1120" w:type="dxa"/>
            <w:vAlign w:val="bottom"/>
            <w:tcBorders>
              <w:top w:val="single" w:sz="8" w:color="auto"/>
              <w:right w:val="single" w:sz="8" w:color="auto"/>
            </w:tcBorders>
            <w:shd w:val="clear" w:color="auto" w:fill="548DD4"/>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FFFFFF"/>
              </w:rPr>
              <w:t>Enphase</w:t>
            </w:r>
          </w:p>
        </w:tc>
        <w:tc>
          <w:tcPr>
            <w:tcW w:w="1040" w:type="dxa"/>
            <w:vAlign w:val="bottom"/>
            <w:tcBorders>
              <w:top w:val="single" w:sz="8" w:color="auto"/>
              <w:right w:val="single" w:sz="8" w:color="auto"/>
            </w:tcBorders>
            <w:shd w:val="clear" w:color="auto" w:fill="548DD4"/>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FFFFFF"/>
              </w:rPr>
              <w:t>2018 Price /</w:t>
            </w:r>
          </w:p>
        </w:tc>
        <w:tc>
          <w:tcPr>
            <w:tcW w:w="920" w:type="dxa"/>
            <w:vAlign w:val="bottom"/>
            <w:tcBorders>
              <w:top w:val="single" w:sz="8" w:color="auto"/>
              <w:right w:val="single" w:sz="8" w:color="auto"/>
            </w:tcBorders>
            <w:shd w:val="clear" w:color="auto" w:fill="548DD4"/>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FFFFFF"/>
              </w:rPr>
              <w:t>Enphase</w:t>
            </w:r>
          </w:p>
        </w:tc>
        <w:tc>
          <w:tcPr>
            <w:tcW w:w="1100" w:type="dxa"/>
            <w:vAlign w:val="bottom"/>
            <w:tcBorders>
              <w:top w:val="single" w:sz="8" w:color="auto"/>
              <w:right w:val="single" w:sz="8" w:color="auto"/>
            </w:tcBorders>
            <w:vMerge w:val="restart"/>
            <w:shd w:val="clear" w:color="auto" w:fill="548DD4"/>
          </w:tcPr>
          <w:p>
            <w:pPr>
              <w:jc w:val="center"/>
              <w:spacing w:after="0"/>
              <w:rPr>
                <w:sz w:val="20"/>
                <w:szCs w:val="20"/>
                <w:color w:val="auto"/>
              </w:rPr>
            </w:pPr>
            <w:r>
              <w:rPr>
                <w:rFonts w:ascii="Times New Roman" w:cs="Times New Roman" w:eastAsia="Times New Roman" w:hAnsi="Times New Roman"/>
                <w:sz w:val="17"/>
                <w:szCs w:val="17"/>
                <w:b w:val="1"/>
                <w:bCs w:val="1"/>
                <w:color w:val="FFFFFF"/>
              </w:rPr>
              <w:t>Packaging</w:t>
            </w:r>
          </w:p>
        </w:tc>
        <w:tc>
          <w:tcPr>
            <w:tcW w:w="920" w:type="dxa"/>
            <w:vAlign w:val="bottom"/>
            <w:tcBorders>
              <w:top w:val="single" w:sz="8" w:color="auto"/>
              <w:right w:val="single" w:sz="8" w:color="auto"/>
            </w:tcBorders>
            <w:vMerge w:val="restart"/>
            <w:shd w:val="clear" w:color="auto" w:fill="548DD4"/>
          </w:tcPr>
          <w:p>
            <w:pPr>
              <w:ind w:left="340"/>
              <w:spacing w:after="0"/>
              <w:rPr>
                <w:sz w:val="20"/>
                <w:szCs w:val="20"/>
                <w:color w:val="auto"/>
              </w:rPr>
            </w:pPr>
            <w:r>
              <w:rPr>
                <w:rFonts w:ascii="Times New Roman" w:cs="Times New Roman" w:eastAsia="Times New Roman" w:hAnsi="Times New Roman"/>
                <w:sz w:val="17"/>
                <w:szCs w:val="17"/>
                <w:b w:val="1"/>
                <w:bCs w:val="1"/>
                <w:color w:val="FFFFFF"/>
              </w:rPr>
              <w:t>SP</w:t>
            </w:r>
          </w:p>
        </w:tc>
        <w:tc>
          <w:tcPr>
            <w:tcW w:w="900" w:type="dxa"/>
            <w:vAlign w:val="bottom"/>
            <w:tcBorders>
              <w:top w:val="single" w:sz="8" w:color="auto"/>
              <w:right w:val="single" w:sz="8" w:color="auto"/>
            </w:tcBorders>
            <w:shd w:val="clear" w:color="auto" w:fill="548DD4"/>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FFFFFF"/>
              </w:rPr>
              <w:t>2019 Price</w:t>
            </w:r>
          </w:p>
        </w:tc>
        <w:tc>
          <w:tcPr>
            <w:tcW w:w="900" w:type="dxa"/>
            <w:vAlign w:val="bottom"/>
            <w:tcBorders>
              <w:top w:val="single" w:sz="8" w:color="auto"/>
              <w:right w:val="single" w:sz="8" w:color="auto"/>
            </w:tcBorders>
            <w:vMerge w:val="restart"/>
            <w:shd w:val="clear" w:color="auto" w:fill="548DD4"/>
          </w:tcPr>
          <w:p>
            <w:pPr>
              <w:jc w:val="center"/>
              <w:spacing w:after="0"/>
              <w:rPr>
                <w:sz w:val="20"/>
                <w:szCs w:val="20"/>
                <w:color w:val="auto"/>
              </w:rPr>
            </w:pPr>
            <w:r>
              <w:rPr>
                <w:rFonts w:ascii="Times New Roman" w:cs="Times New Roman" w:eastAsia="Times New Roman" w:hAnsi="Times New Roman"/>
                <w:sz w:val="17"/>
                <w:szCs w:val="17"/>
                <w:b w:val="1"/>
                <w:bCs w:val="1"/>
                <w:color w:val="FFFFFF"/>
              </w:rPr>
              <w:t>Inco terms</w:t>
            </w:r>
          </w:p>
        </w:tc>
        <w:tc>
          <w:tcPr>
            <w:tcW w:w="900" w:type="dxa"/>
            <w:vAlign w:val="bottom"/>
            <w:tcBorders>
              <w:top w:val="single" w:sz="8" w:color="auto"/>
              <w:right w:val="single" w:sz="8" w:color="auto"/>
            </w:tcBorders>
            <w:shd w:val="clear" w:color="auto" w:fill="548DD4"/>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FFFFFF"/>
              </w:rPr>
              <w:t>Payment</w:t>
            </w:r>
          </w:p>
        </w:tc>
        <w:tc>
          <w:tcPr>
            <w:tcW w:w="0" w:type="dxa"/>
            <w:vAlign w:val="bottom"/>
          </w:tcPr>
          <w:p>
            <w:pPr>
              <w:spacing w:after="0"/>
              <w:rPr>
                <w:sz w:val="1"/>
                <w:szCs w:val="1"/>
                <w:color w:val="auto"/>
              </w:rPr>
            </w:pPr>
          </w:p>
        </w:tc>
      </w:tr>
      <w:tr>
        <w:trPr>
          <w:trHeight w:val="236"/>
        </w:trPr>
        <w:tc>
          <w:tcPr>
            <w:tcW w:w="800" w:type="dxa"/>
            <w:vAlign w:val="bottom"/>
            <w:tcBorders>
              <w:left w:val="single" w:sz="8" w:color="auto"/>
              <w:bottom w:val="single" w:sz="8" w:color="auto"/>
              <w:right w:val="single" w:sz="8" w:color="auto"/>
            </w:tcBorders>
            <w:shd w:val="clear" w:color="auto" w:fill="548DD4"/>
          </w:tcPr>
          <w:p>
            <w:pPr>
              <w:jc w:val="center"/>
              <w:spacing w:after="0"/>
              <w:rPr>
                <w:sz w:val="20"/>
                <w:szCs w:val="20"/>
                <w:color w:val="auto"/>
              </w:rPr>
            </w:pPr>
            <w:r>
              <w:rPr>
                <w:rFonts w:ascii="Times New Roman" w:cs="Times New Roman" w:eastAsia="Times New Roman" w:hAnsi="Times New Roman"/>
                <w:sz w:val="17"/>
                <w:szCs w:val="17"/>
                <w:b w:val="1"/>
                <w:bCs w:val="1"/>
                <w:color w:val="FFFFFF"/>
              </w:rPr>
              <w:t>Part #</w:t>
            </w:r>
          </w:p>
        </w:tc>
        <w:tc>
          <w:tcPr>
            <w:tcW w:w="880" w:type="dxa"/>
            <w:vAlign w:val="bottom"/>
            <w:tcBorders>
              <w:bottom w:val="single" w:sz="8" w:color="auto"/>
              <w:right w:val="single" w:sz="8" w:color="auto"/>
            </w:tcBorders>
            <w:shd w:val="clear" w:color="auto" w:fill="548DD4"/>
          </w:tcPr>
          <w:p>
            <w:pPr>
              <w:jc w:val="center"/>
              <w:spacing w:after="0"/>
              <w:rPr>
                <w:sz w:val="20"/>
                <w:szCs w:val="20"/>
                <w:color w:val="auto"/>
              </w:rPr>
            </w:pPr>
            <w:r>
              <w:rPr>
                <w:rFonts w:ascii="Times New Roman" w:cs="Times New Roman" w:eastAsia="Times New Roman" w:hAnsi="Times New Roman"/>
                <w:sz w:val="17"/>
                <w:szCs w:val="17"/>
                <w:b w:val="1"/>
                <w:bCs w:val="1"/>
                <w:color w:val="FFFFFF"/>
              </w:rPr>
              <w:t>MPN</w:t>
            </w:r>
          </w:p>
        </w:tc>
        <w:tc>
          <w:tcPr>
            <w:tcW w:w="1120" w:type="dxa"/>
            <w:vAlign w:val="bottom"/>
            <w:tcBorders>
              <w:bottom w:val="single" w:sz="8" w:color="auto"/>
              <w:right w:val="single" w:sz="8" w:color="auto"/>
            </w:tcBorders>
            <w:shd w:val="clear" w:color="auto" w:fill="548DD4"/>
          </w:tcPr>
          <w:p>
            <w:pPr>
              <w:jc w:val="center"/>
              <w:spacing w:after="0"/>
              <w:rPr>
                <w:sz w:val="20"/>
                <w:szCs w:val="20"/>
                <w:color w:val="auto"/>
              </w:rPr>
            </w:pPr>
            <w:r>
              <w:rPr>
                <w:rFonts w:ascii="Times New Roman" w:cs="Times New Roman" w:eastAsia="Times New Roman" w:hAnsi="Times New Roman"/>
                <w:sz w:val="17"/>
                <w:szCs w:val="17"/>
                <w:b w:val="1"/>
                <w:bCs w:val="1"/>
                <w:color w:val="FFFFFF"/>
              </w:rPr>
              <w:t>Description</w:t>
            </w:r>
          </w:p>
        </w:tc>
        <w:tc>
          <w:tcPr>
            <w:tcW w:w="1040" w:type="dxa"/>
            <w:vAlign w:val="bottom"/>
            <w:tcBorders>
              <w:bottom w:val="single" w:sz="8" w:color="auto"/>
              <w:right w:val="single" w:sz="8" w:color="auto"/>
            </w:tcBorders>
            <w:shd w:val="clear" w:color="auto" w:fill="548DD4"/>
          </w:tcPr>
          <w:p>
            <w:pPr>
              <w:jc w:val="center"/>
              <w:spacing w:after="0"/>
              <w:rPr>
                <w:sz w:val="20"/>
                <w:szCs w:val="20"/>
                <w:color w:val="auto"/>
              </w:rPr>
            </w:pPr>
            <w:r>
              <w:rPr>
                <w:rFonts w:ascii="Times New Roman" w:cs="Times New Roman" w:eastAsia="Times New Roman" w:hAnsi="Times New Roman"/>
                <w:sz w:val="17"/>
                <w:szCs w:val="17"/>
                <w:b w:val="1"/>
                <w:bCs w:val="1"/>
                <w:color w:val="FFFFFF"/>
              </w:rPr>
              <w:t>Unit FOB</w:t>
            </w:r>
          </w:p>
        </w:tc>
        <w:tc>
          <w:tcPr>
            <w:tcW w:w="920" w:type="dxa"/>
            <w:vAlign w:val="bottom"/>
            <w:tcBorders>
              <w:bottom w:val="single" w:sz="8" w:color="auto"/>
              <w:right w:val="single" w:sz="8" w:color="auto"/>
            </w:tcBorders>
            <w:shd w:val="clear" w:color="auto" w:fill="548DD4"/>
          </w:tcPr>
          <w:p>
            <w:pPr>
              <w:jc w:val="center"/>
              <w:spacing w:after="0"/>
              <w:rPr>
                <w:sz w:val="20"/>
                <w:szCs w:val="20"/>
                <w:color w:val="auto"/>
              </w:rPr>
            </w:pPr>
            <w:r>
              <w:rPr>
                <w:rFonts w:ascii="Times New Roman" w:cs="Times New Roman" w:eastAsia="Times New Roman" w:hAnsi="Times New Roman"/>
                <w:sz w:val="17"/>
                <w:szCs w:val="17"/>
                <w:b w:val="1"/>
                <w:bCs w:val="1"/>
                <w:color w:val="FFFFFF"/>
              </w:rPr>
              <w:t>UOM</w:t>
            </w:r>
          </w:p>
        </w:tc>
        <w:tc>
          <w:tcPr>
            <w:tcW w:w="1100" w:type="dxa"/>
            <w:vAlign w:val="bottom"/>
            <w:tcBorders>
              <w:bottom w:val="single" w:sz="8" w:color="auto"/>
              <w:right w:val="single" w:sz="8" w:color="auto"/>
            </w:tcBorders>
            <w:vMerge w:val="continue"/>
            <w:shd w:val="clear" w:color="auto" w:fill="548DD4"/>
          </w:tcPr>
          <w:p>
            <w:pPr>
              <w:spacing w:after="0"/>
              <w:rPr>
                <w:sz w:val="20"/>
                <w:szCs w:val="20"/>
                <w:color w:val="auto"/>
              </w:rPr>
            </w:pPr>
          </w:p>
        </w:tc>
        <w:tc>
          <w:tcPr>
            <w:tcW w:w="920" w:type="dxa"/>
            <w:vAlign w:val="bottom"/>
            <w:tcBorders>
              <w:bottom w:val="single" w:sz="8" w:color="auto"/>
              <w:right w:val="single" w:sz="8" w:color="auto"/>
            </w:tcBorders>
            <w:vMerge w:val="continue"/>
            <w:shd w:val="clear" w:color="auto" w:fill="548DD4"/>
          </w:tcPr>
          <w:p>
            <w:pPr>
              <w:spacing w:after="0"/>
              <w:rPr>
                <w:sz w:val="20"/>
                <w:szCs w:val="20"/>
                <w:color w:val="auto"/>
              </w:rPr>
            </w:pPr>
          </w:p>
        </w:tc>
        <w:tc>
          <w:tcPr>
            <w:tcW w:w="900" w:type="dxa"/>
            <w:vAlign w:val="bottom"/>
            <w:tcBorders>
              <w:bottom w:val="single" w:sz="8" w:color="auto"/>
              <w:right w:val="single" w:sz="8" w:color="auto"/>
            </w:tcBorders>
            <w:shd w:val="clear" w:color="auto" w:fill="548DD4"/>
          </w:tcPr>
          <w:p>
            <w:pPr>
              <w:jc w:val="center"/>
              <w:spacing w:after="0"/>
              <w:rPr>
                <w:sz w:val="20"/>
                <w:szCs w:val="20"/>
                <w:color w:val="auto"/>
              </w:rPr>
            </w:pPr>
            <w:r>
              <w:rPr>
                <w:rFonts w:ascii="Times New Roman" w:cs="Times New Roman" w:eastAsia="Times New Roman" w:hAnsi="Times New Roman"/>
                <w:sz w:val="17"/>
                <w:szCs w:val="17"/>
                <w:b w:val="1"/>
                <w:bCs w:val="1"/>
                <w:color w:val="FFFFFF"/>
              </w:rPr>
              <w:t>/ Unit</w:t>
            </w:r>
          </w:p>
        </w:tc>
        <w:tc>
          <w:tcPr>
            <w:tcW w:w="900" w:type="dxa"/>
            <w:vAlign w:val="bottom"/>
            <w:tcBorders>
              <w:bottom w:val="single" w:sz="8" w:color="auto"/>
              <w:right w:val="single" w:sz="8" w:color="auto"/>
            </w:tcBorders>
            <w:vMerge w:val="continue"/>
            <w:shd w:val="clear" w:color="auto" w:fill="548DD4"/>
          </w:tcPr>
          <w:p>
            <w:pPr>
              <w:spacing w:after="0"/>
              <w:rPr>
                <w:sz w:val="20"/>
                <w:szCs w:val="20"/>
                <w:color w:val="auto"/>
              </w:rPr>
            </w:pPr>
          </w:p>
        </w:tc>
        <w:tc>
          <w:tcPr>
            <w:tcW w:w="900" w:type="dxa"/>
            <w:vAlign w:val="bottom"/>
            <w:tcBorders>
              <w:bottom w:val="single" w:sz="8" w:color="auto"/>
              <w:right w:val="single" w:sz="8" w:color="auto"/>
            </w:tcBorders>
            <w:shd w:val="clear" w:color="auto" w:fill="548DD4"/>
          </w:tcPr>
          <w:p>
            <w:pPr>
              <w:jc w:val="center"/>
              <w:spacing w:after="0"/>
              <w:rPr>
                <w:sz w:val="20"/>
                <w:szCs w:val="20"/>
                <w:color w:val="auto"/>
              </w:rPr>
            </w:pPr>
            <w:r>
              <w:rPr>
                <w:rFonts w:ascii="Times New Roman" w:cs="Times New Roman" w:eastAsia="Times New Roman" w:hAnsi="Times New Roman"/>
                <w:sz w:val="17"/>
                <w:szCs w:val="17"/>
                <w:b w:val="1"/>
                <w:bCs w:val="1"/>
                <w:color w:val="FFFFFF"/>
                <w:w w:val="97"/>
              </w:rPr>
              <w:t>Terms</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bl>
    <w:p>
      <w:pPr>
        <w:sectPr>
          <w:pgSz w:w="11900" w:h="16838" w:orient="portrait"/>
          <w:cols w:equalWidth="0" w:num="1">
            <w:col w:w="9480"/>
          </w:cols>
          <w:pgMar w:left="1220" w:top="1046" w:right="1199" w:bottom="1440" w:gutter="0" w:footer="0" w:header="0"/>
        </w:sectPr>
      </w:pPr>
    </w:p>
    <w:bookmarkStart w:id="172" w:name="page173"/>
    <w:bookmarkEnd w:id="172"/>
    <w:p>
      <w:pPr>
        <w:ind w:left="9175"/>
        <w:spacing w:after="0"/>
        <w:rPr>
          <w:sz w:val="20"/>
          <w:szCs w:val="20"/>
          <w:color w:val="auto"/>
        </w:rPr>
      </w:pPr>
      <w:r>
        <w:rPr>
          <w:rFonts w:ascii="Times New Roman" w:cs="Times New Roman" w:eastAsia="Times New Roman" w:hAnsi="Times New Roman"/>
          <w:sz w:val="17"/>
          <w:szCs w:val="17"/>
          <w:b w:val="1"/>
          <w:bCs w:val="1"/>
          <w:color w:val="auto"/>
        </w:rPr>
        <w:t>Exhibit 10.42</w:t>
      </w:r>
    </w:p>
    <w:p>
      <w:pPr>
        <w:spacing w:after="0" w:line="207" w:lineRule="exact"/>
        <w:rPr>
          <w:sz w:val="20"/>
          <w:szCs w:val="20"/>
          <w:color w:val="auto"/>
        </w:rPr>
      </w:pPr>
    </w:p>
    <w:p>
      <w:pPr>
        <w:ind w:left="-5" w:right="80" w:firstLine="5"/>
        <w:spacing w:after="0" w:line="254" w:lineRule="auto"/>
        <w:tabs>
          <w:tab w:leader="none" w:pos="242"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9"/>
          <w:szCs w:val="19"/>
          <w:b w:val="1"/>
          <w:bCs w:val="1"/>
          <w:color w:val="auto"/>
        </w:rPr>
        <w:t>Certain confidential information contained in this document, marked by brackets, has been omitted because it is both (i)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9"/>
          <w:szCs w:val="19"/>
          <w:b w:val="1"/>
          <w:bCs w:val="1"/>
          <w:color w:val="auto"/>
        </w:rPr>
        <w:t>not material and (ii) is the type that the registrant treats as private or confidential</w:t>
      </w:r>
      <w:r>
        <w:rPr>
          <w:rFonts w:ascii="Times New Roman" w:cs="Times New Roman" w:eastAsia="Times New Roman" w:hAnsi="Times New Roman"/>
          <w:sz w:val="17"/>
          <w:szCs w:val="17"/>
          <w:b w:val="1"/>
          <w:bCs w:val="1"/>
          <w:color w:val="auto"/>
        </w:rPr>
        <w:t>.</w:t>
      </w:r>
    </w:p>
    <w:p>
      <w:pPr>
        <w:spacing w:after="0" w:line="219" w:lineRule="exact"/>
        <w:rPr>
          <w:sz w:val="20"/>
          <w:szCs w:val="20"/>
          <w:color w:val="auto"/>
        </w:rPr>
      </w:pPr>
    </w:p>
    <w:p>
      <w:pPr>
        <w:ind w:left="4155"/>
        <w:spacing w:after="0"/>
        <w:rPr>
          <w:sz w:val="20"/>
          <w:szCs w:val="20"/>
          <w:color w:val="auto"/>
        </w:rPr>
      </w:pPr>
      <w:r>
        <w:rPr>
          <w:rFonts w:ascii="Times New Roman" w:cs="Times New Roman" w:eastAsia="Times New Roman" w:hAnsi="Times New Roman"/>
          <w:sz w:val="19"/>
          <w:szCs w:val="19"/>
          <w:b w:val="1"/>
          <w:bCs w:val="1"/>
          <w:color w:val="111111"/>
        </w:rPr>
        <w:t>Manufacturing Services Agreement</w:t>
      </w:r>
    </w:p>
    <w:p>
      <w:pPr>
        <w:spacing w:after="0" w:line="240" w:lineRule="exact"/>
        <w:rPr>
          <w:sz w:val="20"/>
          <w:szCs w:val="20"/>
          <w:color w:val="auto"/>
        </w:rPr>
      </w:pPr>
    </w:p>
    <w:p>
      <w:pPr>
        <w:ind w:left="715" w:right="240"/>
        <w:spacing w:after="0" w:line="311" w:lineRule="auto"/>
        <w:rPr>
          <w:sz w:val="20"/>
          <w:szCs w:val="20"/>
          <w:color w:val="auto"/>
        </w:rPr>
      </w:pPr>
      <w:r>
        <w:rPr>
          <w:rFonts w:ascii="Times New Roman" w:cs="Times New Roman" w:eastAsia="Times New Roman" w:hAnsi="Times New Roman"/>
          <w:sz w:val="19"/>
          <w:szCs w:val="19"/>
          <w:color w:val="111111"/>
        </w:rPr>
        <w:t xml:space="preserve">This Manufacturing Services Agreement </w:t>
      </w:r>
      <w:r>
        <w:rPr>
          <w:rFonts w:ascii="Times New Roman" w:cs="Times New Roman" w:eastAsia="Times New Roman" w:hAnsi="Times New Roman"/>
          <w:sz w:val="19"/>
          <w:szCs w:val="19"/>
          <w:b w:val="1"/>
          <w:bCs w:val="1"/>
          <w:color w:val="111111"/>
        </w:rPr>
        <w:t>("Agreement")</w:t>
      </w:r>
      <w:r>
        <w:rPr>
          <w:rFonts w:ascii="Times New Roman" w:cs="Times New Roman" w:eastAsia="Times New Roman" w:hAnsi="Times New Roman"/>
          <w:sz w:val="19"/>
          <w:szCs w:val="19"/>
          <w:color w:val="111111"/>
        </w:rPr>
        <w:t xml:space="preserve"> is entered into on June 22, 2023 (“</w:t>
      </w:r>
      <w:r>
        <w:rPr>
          <w:rFonts w:ascii="Times New Roman" w:cs="Times New Roman" w:eastAsia="Times New Roman" w:hAnsi="Times New Roman"/>
          <w:sz w:val="19"/>
          <w:szCs w:val="19"/>
          <w:b w:val="1"/>
          <w:bCs w:val="1"/>
          <w:color w:val="111111"/>
        </w:rPr>
        <w:t>Effective Date</w:t>
      </w:r>
      <w:r>
        <w:rPr>
          <w:rFonts w:ascii="Times New Roman" w:cs="Times New Roman" w:eastAsia="Times New Roman" w:hAnsi="Times New Roman"/>
          <w:sz w:val="19"/>
          <w:szCs w:val="19"/>
          <w:color w:val="111111"/>
        </w:rPr>
        <w:t>”), by and between:</w:t>
      </w:r>
    </w:p>
    <w:p>
      <w:pPr>
        <w:spacing w:after="0" w:line="39" w:lineRule="exact"/>
        <w:rPr>
          <w:sz w:val="20"/>
          <w:szCs w:val="20"/>
          <w:color w:val="auto"/>
        </w:rPr>
      </w:pPr>
    </w:p>
    <w:p>
      <w:pPr>
        <w:ind w:left="1215" w:right="520" w:hanging="441"/>
        <w:spacing w:after="0" w:line="295" w:lineRule="auto"/>
        <w:tabs>
          <w:tab w:leader="none" w:pos="1211"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111111"/>
        </w:rPr>
        <w:t>Enphase Energy, Inc. having its place of business at 47281 Bayside Parkway, Fremont, CA 94538</w:t>
      </w:r>
      <w:r>
        <w:rPr>
          <w:rFonts w:ascii="Times New Roman" w:cs="Times New Roman" w:eastAsia="Times New Roman" w:hAnsi="Times New Roman"/>
          <w:sz w:val="19"/>
          <w:szCs w:val="19"/>
          <w:color w:val="000000"/>
        </w:rPr>
        <w:t>, on behalf of</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00000"/>
        </w:rPr>
        <w:t xml:space="preserve">itself and its Subsidiaries </w:t>
      </w:r>
      <w:r>
        <w:rPr>
          <w:rFonts w:ascii="Times New Roman" w:cs="Times New Roman" w:eastAsia="Times New Roman" w:hAnsi="Times New Roman"/>
          <w:sz w:val="19"/>
          <w:szCs w:val="19"/>
          <w:b w:val="1"/>
          <w:bCs w:val="1"/>
          <w:color w:val="111111"/>
        </w:rPr>
        <w:t>("Enphase")</w:t>
      </w:r>
      <w:r>
        <w:rPr>
          <w:rFonts w:ascii="Times New Roman" w:cs="Times New Roman" w:eastAsia="Times New Roman" w:hAnsi="Times New Roman"/>
          <w:sz w:val="19"/>
          <w:szCs w:val="19"/>
          <w:color w:val="111111"/>
        </w:rPr>
        <w:t>, and</w:t>
      </w:r>
    </w:p>
    <w:p>
      <w:pPr>
        <w:spacing w:after="0" w:line="66" w:lineRule="exact"/>
        <w:rPr>
          <w:rFonts w:ascii="Times New Roman" w:cs="Times New Roman" w:eastAsia="Times New Roman" w:hAnsi="Times New Roman"/>
          <w:sz w:val="19"/>
          <w:szCs w:val="19"/>
          <w:color w:val="auto"/>
        </w:rPr>
      </w:pPr>
    </w:p>
    <w:p>
      <w:pPr>
        <w:ind w:left="1215" w:right="300" w:hanging="441"/>
        <w:spacing w:after="0" w:line="309" w:lineRule="auto"/>
        <w:tabs>
          <w:tab w:leader="none" w:pos="1214"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111111"/>
        </w:rPr>
        <w:t xml:space="preserve">Salcomp Manufacturing USA Corp, having its place of business at 2400 Centennial Drive, Arlington, TX 76011 on behalf of itself and its Subsidiaries </w:t>
      </w:r>
      <w:r>
        <w:rPr>
          <w:rFonts w:ascii="Times New Roman" w:cs="Times New Roman" w:eastAsia="Times New Roman" w:hAnsi="Times New Roman"/>
          <w:sz w:val="19"/>
          <w:szCs w:val="19"/>
          <w:b w:val="1"/>
          <w:bCs w:val="1"/>
          <w:color w:val="111111"/>
        </w:rPr>
        <w:t>("Supplier")</w:t>
      </w:r>
      <w:r>
        <w:rPr>
          <w:rFonts w:ascii="Times New Roman" w:cs="Times New Roman" w:eastAsia="Times New Roman" w:hAnsi="Times New Roman"/>
          <w:sz w:val="19"/>
          <w:szCs w:val="19"/>
          <w:color w:val="111111"/>
        </w:rPr>
        <w:t>.</w:t>
      </w:r>
    </w:p>
    <w:p>
      <w:pPr>
        <w:spacing w:after="0" w:line="14" w:lineRule="exact"/>
        <w:rPr>
          <w:sz w:val="20"/>
          <w:szCs w:val="20"/>
          <w:color w:val="auto"/>
        </w:rPr>
      </w:pPr>
    </w:p>
    <w:p>
      <w:pPr>
        <w:ind w:left="715"/>
        <w:spacing w:after="0"/>
        <w:rPr>
          <w:sz w:val="20"/>
          <w:szCs w:val="20"/>
          <w:color w:val="auto"/>
        </w:rPr>
      </w:pPr>
      <w:r>
        <w:rPr>
          <w:rFonts w:ascii="Times New Roman" w:cs="Times New Roman" w:eastAsia="Times New Roman" w:hAnsi="Times New Roman"/>
          <w:sz w:val="19"/>
          <w:szCs w:val="19"/>
          <w:color w:val="111111"/>
        </w:rPr>
        <w:t>Enphase and Supplier shall each be a “Party” and collectively, the “Parties”.</w:t>
      </w:r>
    </w:p>
    <w:p>
      <w:pPr>
        <w:spacing w:after="0" w:line="240" w:lineRule="exact"/>
        <w:rPr>
          <w:sz w:val="20"/>
          <w:szCs w:val="20"/>
          <w:color w:val="auto"/>
        </w:rPr>
      </w:pPr>
    </w:p>
    <w:p>
      <w:pPr>
        <w:ind w:left="715"/>
        <w:spacing w:after="0" w:line="309" w:lineRule="auto"/>
        <w:rPr>
          <w:sz w:val="20"/>
          <w:szCs w:val="20"/>
          <w:color w:val="auto"/>
        </w:rPr>
      </w:pPr>
      <w:r>
        <w:rPr>
          <w:rFonts w:ascii="Times New Roman" w:cs="Times New Roman" w:eastAsia="Times New Roman" w:hAnsi="Times New Roman"/>
          <w:sz w:val="19"/>
          <w:szCs w:val="19"/>
          <w:color w:val="111111"/>
        </w:rPr>
        <w:t>Enphase desires to engage the Supplier, and the Supplier agrees to perform manufacturing services, for good and valuable consideration as further set forth in this Agreement. The Parties agree as follows</w:t>
      </w:r>
      <w:r>
        <w:rPr>
          <w:rFonts w:ascii="Times New Roman" w:cs="Times New Roman" w:eastAsia="Times New Roman" w:hAnsi="Times New Roman"/>
          <w:sz w:val="19"/>
          <w:szCs w:val="19"/>
          <w:color w:val="343434"/>
        </w:rPr>
        <w:t>:</w:t>
      </w:r>
    </w:p>
    <w:p>
      <w:pPr>
        <w:spacing w:after="0" w:line="26" w:lineRule="exact"/>
        <w:rPr>
          <w:sz w:val="20"/>
          <w:szCs w:val="20"/>
          <w:color w:val="auto"/>
        </w:rPr>
      </w:pPr>
    </w:p>
    <w:p>
      <w:pPr>
        <w:ind w:left="715"/>
        <w:spacing w:after="0"/>
        <w:tabs>
          <w:tab w:leader="none" w:pos="995" w:val="left"/>
        </w:tabs>
        <w:rPr>
          <w:sz w:val="20"/>
          <w:szCs w:val="20"/>
          <w:color w:val="auto"/>
        </w:rPr>
      </w:pPr>
      <w:r>
        <w:rPr>
          <w:rFonts w:ascii="Times New Roman" w:cs="Times New Roman" w:eastAsia="Times New Roman" w:hAnsi="Times New Roman"/>
          <w:sz w:val="19"/>
          <w:szCs w:val="19"/>
          <w:b w:val="1"/>
          <w:bCs w:val="1"/>
          <w:color w:val="111111"/>
        </w:rPr>
        <w:t>1.</w:t>
        <w:tab/>
        <w:t>DEFINITIONS</w:t>
      </w:r>
    </w:p>
    <w:p>
      <w:pPr>
        <w:spacing w:after="0" w:line="151" w:lineRule="exact"/>
        <w:rPr>
          <w:sz w:val="20"/>
          <w:szCs w:val="20"/>
          <w:color w:val="auto"/>
        </w:rPr>
      </w:pPr>
    </w:p>
    <w:p>
      <w:pPr>
        <w:ind w:left="715" w:right="240" w:hanging="1"/>
        <w:spacing w:after="0" w:line="309" w:lineRule="auto"/>
        <w:rPr>
          <w:sz w:val="20"/>
          <w:szCs w:val="20"/>
          <w:color w:val="auto"/>
        </w:rPr>
      </w:pPr>
      <w:r>
        <w:rPr>
          <w:rFonts w:ascii="Times New Roman" w:cs="Times New Roman" w:eastAsia="Times New Roman" w:hAnsi="Times New Roman"/>
          <w:sz w:val="19"/>
          <w:szCs w:val="19"/>
          <w:color w:val="111111"/>
        </w:rPr>
        <w:t>Supplier and Enphase agree that capitalized terms shall have the meanings set forth in this Agreement and Exhibit A attached hereto and incorporated herein by reference.</w:t>
      </w:r>
    </w:p>
    <w:p>
      <w:pPr>
        <w:spacing w:after="0" w:line="26" w:lineRule="exact"/>
        <w:rPr>
          <w:sz w:val="20"/>
          <w:szCs w:val="20"/>
          <w:color w:val="auto"/>
        </w:rPr>
      </w:pPr>
    </w:p>
    <w:p>
      <w:pPr>
        <w:ind w:left="715"/>
        <w:spacing w:after="0"/>
        <w:tabs>
          <w:tab w:leader="none" w:pos="995" w:val="left"/>
        </w:tabs>
        <w:rPr>
          <w:sz w:val="20"/>
          <w:szCs w:val="20"/>
          <w:color w:val="auto"/>
        </w:rPr>
      </w:pPr>
      <w:r>
        <w:rPr>
          <w:rFonts w:ascii="Times New Roman" w:cs="Times New Roman" w:eastAsia="Times New Roman" w:hAnsi="Times New Roman"/>
          <w:sz w:val="19"/>
          <w:szCs w:val="19"/>
          <w:b w:val="1"/>
          <w:bCs w:val="1"/>
          <w:color w:val="111111"/>
        </w:rPr>
        <w:t>2.</w:t>
        <w:tab/>
        <w:t>MANUFACTURING SERVICES</w:t>
      </w:r>
    </w:p>
    <w:p>
      <w:pPr>
        <w:spacing w:after="0" w:line="70" w:lineRule="exact"/>
        <w:rPr>
          <w:sz w:val="20"/>
          <w:szCs w:val="20"/>
          <w:color w:val="auto"/>
        </w:rPr>
      </w:pPr>
    </w:p>
    <w:p>
      <w:pPr>
        <w:jc w:val="both"/>
        <w:ind w:left="715" w:right="120" w:firstLine="631"/>
        <w:spacing w:after="0" w:line="272" w:lineRule="auto"/>
        <w:rPr>
          <w:sz w:val="20"/>
          <w:szCs w:val="20"/>
          <w:color w:val="auto"/>
        </w:rPr>
      </w:pPr>
      <w:r>
        <w:rPr>
          <w:rFonts w:ascii="Times New Roman" w:cs="Times New Roman" w:eastAsia="Times New Roman" w:hAnsi="Times New Roman"/>
          <w:sz w:val="19"/>
          <w:szCs w:val="19"/>
          <w:color w:val="111111"/>
        </w:rPr>
        <w:t xml:space="preserve">2.1. </w:t>
      </w:r>
      <w:r>
        <w:rPr>
          <w:rFonts w:ascii="Times New Roman" w:cs="Times New Roman" w:eastAsia="Times New Roman" w:hAnsi="Times New Roman"/>
          <w:sz w:val="19"/>
          <w:szCs w:val="19"/>
          <w:b w:val="1"/>
          <w:bCs w:val="1"/>
          <w:u w:val="single" w:color="auto"/>
          <w:color w:val="111111"/>
        </w:rPr>
        <w:t>Work.</w:t>
      </w:r>
      <w:r>
        <w:rPr>
          <w:rFonts w:ascii="Times New Roman" w:cs="Times New Roman" w:eastAsia="Times New Roman" w:hAnsi="Times New Roman"/>
          <w:sz w:val="19"/>
          <w:szCs w:val="19"/>
          <w:color w:val="111111"/>
        </w:rPr>
        <w:t xml:space="preserve"> Enphase hereby engages Supplier to perform the work (hereinafter "Work"). "Work" shall mean to procure Materials (as applicable) and to manufacture, assemble, and test products at the Supplier’s manufacturing facility at Arlington, Texas, which shall include, but not be limited to: IQ8 family of microinverter products and any other products as required by Enphase (collectively, hereinafter "Product(s)") pursuant to detailed written Specifications for each category of Products. The "Specifications" for each category of Products (or revision thereof), shall include, but are not limited to bill of materials (“BOM”), designs, schematics, assembly drawings, process documentation, test specifications, packing specifications, current revision number, and Approved Vendor Lists, and shall be further detailed in Exhibit B. For the avoidance of doubt, the Work also includes the Supplier’s responsibility to procure (and/or install, as applicable) the Supplier Controlled Equipment as listed in Exhibit E. For the avoidance of doubt, the Supplier shall not deviate from the Specifications, the terms of this Agreement or any Exhibit hereto, unless required by an ECO (as defined herein) issued by Enphase. Enphase may, at its discretion, add new products to the scope of the Products and the Work under this Agreement (“NPI”). Should Enphase choose to exercise this right, the Parties will discuss and mutually agree on the fees and other relevant terms applicable to such NPI. For the avoidance of doubt, the Supplier shall be responsible for translating any of the documents referred to in this Agreement (including the terms of this Agreement itself), to the extent required to perform the Work to the satisfaction of Enphase.</w:t>
      </w:r>
    </w:p>
    <w:p>
      <w:pPr>
        <w:spacing w:after="0" w:line="76" w:lineRule="exact"/>
        <w:rPr>
          <w:sz w:val="20"/>
          <w:szCs w:val="20"/>
          <w:color w:val="auto"/>
        </w:rPr>
      </w:pPr>
    </w:p>
    <w:p>
      <w:pPr>
        <w:jc w:val="both"/>
        <w:ind w:left="715" w:right="120" w:firstLine="634"/>
        <w:spacing w:after="0" w:line="275"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9"/>
          <w:szCs w:val="19"/>
          <w:b w:val="1"/>
          <w:bCs w:val="1"/>
          <w:u w:val="single" w:color="auto"/>
          <w:color w:val="auto"/>
        </w:rPr>
        <w:t>Engineering Change Process.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Enphase may from time to time, request that Supplier incorporate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engineering changes into the Product by providing Supplier with a description of the proposed engineering change as the Enphase deems necessary, for Supplier to evaluate its feasibility and cost (an “Engineering Change Order” or “ECO”). An ECO is required when the form, fit, or function of the design of the Product and/or Specifications are affected. Supplier shall provide a written response in the form of an"Engineering Change Analysis" form to Enphase, within three (3) business days of receipt of an ECO, if such changes affect the per-unit price and/or delivery of a Product. Enphase shall respond with a written acceptance in the form of a purchase order or rejection of the Supplier "Engineering Change Analysis" form within three (3) business days of receipt thereof. Upon receiving Enphase written</w:t>
      </w:r>
    </w:p>
    <w:p>
      <w:pPr>
        <w:sectPr>
          <w:pgSz w:w="11900" w:h="16838" w:orient="portrait"/>
          <w:cols w:equalWidth="0" w:num="1">
            <w:col w:w="10315"/>
          </w:cols>
          <w:pgMar w:left="325" w:top="1050" w:right="1259" w:bottom="1440" w:gutter="0" w:footer="0" w:header="0"/>
        </w:sectPr>
      </w:pPr>
    </w:p>
    <w:bookmarkStart w:id="173" w:name="page174"/>
    <w:bookmarkEnd w:id="173"/>
    <w:p>
      <w:pPr>
        <w:jc w:val="both"/>
        <w:spacing w:after="0" w:line="284" w:lineRule="auto"/>
        <w:rPr>
          <w:sz w:val="20"/>
          <w:szCs w:val="20"/>
          <w:color w:val="auto"/>
        </w:rPr>
      </w:pPr>
      <w:r>
        <w:rPr>
          <w:rFonts w:ascii="Times New Roman" w:cs="Times New Roman" w:eastAsia="Times New Roman" w:hAnsi="Times New Roman"/>
          <w:sz w:val="19"/>
          <w:szCs w:val="19"/>
          <w:color w:val="111111"/>
        </w:rPr>
        <w:t>acceptance, Supplier will proceed with engineering changes as given in the ECO. For the avoidance of doubt, and notwithstanding anything to the contrary in this Agreement, the Supplier shall not make any changes to the processes or designs as stated in the Specifications, without Enphase’s express prior written consent.</w:t>
      </w:r>
    </w:p>
    <w:p>
      <w:pPr>
        <w:spacing w:after="0" w:line="62" w:lineRule="exact"/>
        <w:rPr>
          <w:sz w:val="20"/>
          <w:szCs w:val="20"/>
          <w:color w:val="auto"/>
        </w:rPr>
      </w:pPr>
    </w:p>
    <w:p>
      <w:pPr>
        <w:jc w:val="both"/>
        <w:ind w:firstLine="625"/>
        <w:spacing w:after="0" w:line="278" w:lineRule="auto"/>
        <w:rPr>
          <w:sz w:val="20"/>
          <w:szCs w:val="20"/>
          <w:color w:val="auto"/>
        </w:rPr>
      </w:pPr>
      <w:r>
        <w:rPr>
          <w:rFonts w:ascii="Times New Roman" w:cs="Times New Roman" w:eastAsia="Times New Roman" w:hAnsi="Times New Roman"/>
          <w:sz w:val="19"/>
          <w:szCs w:val="19"/>
          <w:color w:val="111111"/>
        </w:rPr>
        <w:t xml:space="preserve">2.3. </w:t>
      </w:r>
      <w:r>
        <w:rPr>
          <w:rFonts w:ascii="Times New Roman" w:cs="Times New Roman" w:eastAsia="Times New Roman" w:hAnsi="Times New Roman"/>
          <w:sz w:val="19"/>
          <w:szCs w:val="19"/>
          <w:b w:val="1"/>
          <w:bCs w:val="1"/>
          <w:u w:val="single" w:color="auto"/>
          <w:color w:val="111111"/>
        </w:rPr>
        <w:t>Tooling; Non-Recurring Expenses; Software.</w:t>
      </w:r>
      <w:r>
        <w:rPr>
          <w:rFonts w:ascii="Times New Roman" w:cs="Times New Roman" w:eastAsia="Times New Roman" w:hAnsi="Times New Roman"/>
          <w:sz w:val="19"/>
          <w:szCs w:val="19"/>
          <w:color w:val="111111"/>
        </w:rPr>
        <w:t xml:space="preserve"> Enphase shall pay for or obtain and consign to Supplier any Enphase Controlled Equipment, as outlined in Exhibit D, Product-specific tooling, equipment or software and other reasonably necessary non-recurring expenses, to be set forth in Supplier's quotation</w:t>
      </w:r>
      <w:r>
        <w:rPr>
          <w:rFonts w:ascii="Times New Roman" w:cs="Times New Roman" w:eastAsia="Times New Roman" w:hAnsi="Times New Roman"/>
          <w:sz w:val="19"/>
          <w:szCs w:val="19"/>
          <w:color w:val="343434"/>
        </w:rPr>
        <w:t>.</w:t>
      </w:r>
      <w:r>
        <w:rPr>
          <w:rFonts w:ascii="Times New Roman" w:cs="Times New Roman" w:eastAsia="Times New Roman" w:hAnsi="Times New Roman"/>
          <w:sz w:val="19"/>
          <w:szCs w:val="19"/>
          <w:color w:val="111111"/>
        </w:rPr>
        <w:t xml:space="preserve"> All software that Enphase provides to Supplier, or any test software that Enphase engages Supplier to develop is and shall remain the property of Enphase at all times. The Supplier shall promptly notify Enphase in case of any non-consignment of Enphase Controlled Equipment required to perform the Work.</w:t>
      </w:r>
    </w:p>
    <w:p>
      <w:pPr>
        <w:spacing w:after="0" w:line="55" w:lineRule="exact"/>
        <w:rPr>
          <w:sz w:val="20"/>
          <w:szCs w:val="20"/>
          <w:color w:val="auto"/>
        </w:rPr>
      </w:pPr>
    </w:p>
    <w:p>
      <w:pPr>
        <w:jc w:val="both"/>
        <w:ind w:firstLine="629"/>
        <w:spacing w:after="0" w:line="273" w:lineRule="auto"/>
        <w:rPr>
          <w:sz w:val="20"/>
          <w:szCs w:val="20"/>
          <w:color w:val="auto"/>
        </w:rPr>
      </w:pPr>
      <w:r>
        <w:rPr>
          <w:rFonts w:ascii="Times New Roman" w:cs="Times New Roman" w:eastAsia="Times New Roman" w:hAnsi="Times New Roman"/>
          <w:sz w:val="19"/>
          <w:szCs w:val="19"/>
          <w:color w:val="111111"/>
        </w:rPr>
        <w:t xml:space="preserve">2.4. </w:t>
      </w:r>
      <w:r>
        <w:rPr>
          <w:rFonts w:ascii="Times New Roman" w:cs="Times New Roman" w:eastAsia="Times New Roman" w:hAnsi="Times New Roman"/>
          <w:sz w:val="19"/>
          <w:szCs w:val="19"/>
          <w:b w:val="1"/>
          <w:bCs w:val="1"/>
          <w:u w:val="single" w:color="auto"/>
          <w:color w:val="111111"/>
        </w:rPr>
        <w:t>Enphase Controlled Equipment.</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00000"/>
        </w:rPr>
        <w:t>All Enphase Controlled Equipment will remain the property of Enphase;</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00000"/>
        </w:rPr>
        <w:t>however, Supplier shall be responsible for managing and maintaining all such equipment. This Agreement shall be updated to include any additional Enphase Controlled Equipment made available by Enphase for Supplier’s use in performing the Work. Notwithstanding the location of any Enphase Controlled Equipment at a Supplier or other non-Enphase facility, or the failure to list any item of Enphase Controlled Equipment in the Agreement or a purchase order, all right, title and interest in and to any Enphase Controlled Equipment will be and remain with Enphase, and Supplier will have no title or ownership interest in such Enphase Controlled Equipment. Supplier will provide Enphase with reasonable access to all Enphase Controlled Equipment located at a Supplier or other non-Enphase facility, and, notwithstanding any contrary terms that may be contained herein, will be responsible for all costs and expenses associated with repair or replacement of any Enphase Controlled Equipment or any part thereof damaged (reasonable wear and tear excepted) by Supplier, its employees, permitted subcontractors, agents or invitees (excluding Enphase). Neither Supplier nor its assignees will file a mechanic’s lien or similar lien, security interest or other encumbrance, on Enphase Controlled Equipment or otherwise use Enphase Controlled Equipment as collateral for any financing. Without limiting the foregoing, in the event any such lien or security interest is filed, Supplier or its assignee, as the case may be, will be responsible for the immediate satisfaction, payment or bonding of any such lien or security interest. Unless a later return date is requested by Enphase, within ten (10) business days following the earlier of completion of the applicable purchase order or any expiration or termination of this Agreement, Supplier will return each item of Enphase Controlled Equipment to Enphase in substantially the same condition it was in when initially provided to Supplier, reasonable wear and tear excepted.</w:t>
      </w:r>
    </w:p>
    <w:p>
      <w:pPr>
        <w:spacing w:after="0" w:line="77" w:lineRule="exact"/>
        <w:rPr>
          <w:sz w:val="20"/>
          <w:szCs w:val="20"/>
          <w:color w:val="auto"/>
        </w:rPr>
      </w:pPr>
    </w:p>
    <w:p>
      <w:pPr>
        <w:jc w:val="both"/>
        <w:ind w:firstLine="629"/>
        <w:spacing w:after="0" w:line="275" w:lineRule="auto"/>
        <w:rPr>
          <w:sz w:val="20"/>
          <w:szCs w:val="20"/>
          <w:color w:val="auto"/>
        </w:rPr>
      </w:pPr>
      <w:r>
        <w:rPr>
          <w:rFonts w:ascii="Times New Roman" w:cs="Times New Roman" w:eastAsia="Times New Roman" w:hAnsi="Times New Roman"/>
          <w:sz w:val="19"/>
          <w:szCs w:val="19"/>
          <w:color w:val="111111"/>
        </w:rPr>
        <w:t xml:space="preserve">2.5. </w:t>
      </w:r>
      <w:r>
        <w:rPr>
          <w:rFonts w:ascii="Times New Roman" w:cs="Times New Roman" w:eastAsia="Times New Roman" w:hAnsi="Times New Roman"/>
          <w:sz w:val="19"/>
          <w:szCs w:val="19"/>
          <w:b w:val="1"/>
          <w:bCs w:val="1"/>
          <w:u w:val="single" w:color="auto"/>
          <w:color w:val="111111"/>
        </w:rPr>
        <w:t>Cost Reduction Projects</w:t>
      </w:r>
      <w:r>
        <w:rPr>
          <w:rFonts w:ascii="Times New Roman" w:cs="Times New Roman" w:eastAsia="Times New Roman" w:hAnsi="Times New Roman"/>
          <w:sz w:val="19"/>
          <w:szCs w:val="19"/>
          <w:b w:val="1"/>
          <w:bCs w:val="1"/>
          <w:color w:val="111111"/>
        </w:rPr>
        <w:t>.</w:t>
      </w:r>
      <w:r>
        <w:rPr>
          <w:rFonts w:ascii="Times New Roman" w:cs="Times New Roman" w:eastAsia="Times New Roman" w:hAnsi="Times New Roman"/>
          <w:sz w:val="19"/>
          <w:szCs w:val="19"/>
          <w:color w:val="111111"/>
        </w:rPr>
        <w:t xml:space="preserve"> Supplier agrees to continuously, during the term of this Agreement, to use its commercially reasonable efforts to seek ways to reduce the cost of manufacturing Products by methods such as elimination of Materials, redefinition of Specifications, and re-design of assembly or test methods</w:t>
      </w:r>
      <w:r>
        <w:rPr>
          <w:rFonts w:ascii="Times New Roman" w:cs="Times New Roman" w:eastAsia="Times New Roman" w:hAnsi="Times New Roman"/>
          <w:sz w:val="19"/>
          <w:szCs w:val="19"/>
          <w:color w:val="343434"/>
        </w:rPr>
        <w:t>.</w:t>
      </w:r>
      <w:r>
        <w:rPr>
          <w:rFonts w:ascii="Times New Roman" w:cs="Times New Roman" w:eastAsia="Times New Roman" w:hAnsi="Times New Roman"/>
          <w:sz w:val="19"/>
          <w:szCs w:val="19"/>
          <w:color w:val="111111"/>
        </w:rPr>
        <w:t xml:space="preserve"> Upon implementation of such ways that have been initiated by Enphase, Enphase will receive 100% of the demonstrated cost reduction for the balance of the quarter in which it is found. Costs shall be formally evaluated at the end of each quarter and standards shall be adjusted based upon that evaluation. Justification for all costs (including a costed BOM) shall be provided to Enphase no later than ten (10) business days before the end of the quarter. New standards will be effective for all shipments starting on the first day of each quarter</w:t>
      </w:r>
      <w:r>
        <w:rPr>
          <w:rFonts w:ascii="Times New Roman" w:cs="Times New Roman" w:eastAsia="Times New Roman" w:hAnsi="Times New Roman"/>
          <w:sz w:val="19"/>
          <w:szCs w:val="19"/>
          <w:color w:val="343434"/>
        </w:rPr>
        <w:t>.</w:t>
      </w:r>
      <w:r>
        <w:rPr>
          <w:rFonts w:ascii="Times New Roman" w:cs="Times New Roman" w:eastAsia="Times New Roman" w:hAnsi="Times New Roman"/>
          <w:sz w:val="19"/>
          <w:szCs w:val="19"/>
          <w:color w:val="111111"/>
        </w:rPr>
        <w:t xml:space="preserve"> The Parties shall mutually agree upon non-binding cost reduction targets during their QBRs</w:t>
      </w:r>
      <w:r>
        <w:rPr>
          <w:rFonts w:ascii="Times New Roman" w:cs="Times New Roman" w:eastAsia="Times New Roman" w:hAnsi="Times New Roman"/>
          <w:sz w:val="19"/>
          <w:szCs w:val="19"/>
          <w:color w:val="343434"/>
        </w:rPr>
        <w:t>.</w:t>
      </w:r>
    </w:p>
    <w:p>
      <w:pPr>
        <w:spacing w:after="0" w:line="266" w:lineRule="exact"/>
        <w:rPr>
          <w:sz w:val="20"/>
          <w:szCs w:val="20"/>
          <w:color w:val="auto"/>
        </w:rPr>
      </w:pPr>
    </w:p>
    <w:p>
      <w:pPr>
        <w:jc w:val="both"/>
        <w:ind w:firstLine="629"/>
        <w:spacing w:after="0" w:line="281" w:lineRule="auto"/>
        <w:rPr>
          <w:sz w:val="20"/>
          <w:szCs w:val="20"/>
          <w:color w:val="auto"/>
        </w:rPr>
      </w:pPr>
      <w:r>
        <w:rPr>
          <w:rFonts w:ascii="Times New Roman" w:cs="Times New Roman" w:eastAsia="Times New Roman" w:hAnsi="Times New Roman"/>
          <w:sz w:val="19"/>
          <w:szCs w:val="19"/>
          <w:color w:val="111111"/>
        </w:rPr>
        <w:t xml:space="preserve">2.6. </w:t>
      </w:r>
      <w:r>
        <w:rPr>
          <w:rFonts w:ascii="Times New Roman" w:cs="Times New Roman" w:eastAsia="Times New Roman" w:hAnsi="Times New Roman"/>
          <w:sz w:val="19"/>
          <w:szCs w:val="19"/>
          <w:b w:val="1"/>
          <w:bCs w:val="1"/>
          <w:u w:val="single" w:color="auto"/>
          <w:color w:val="111111"/>
        </w:rPr>
        <w:t>Factory Access.</w:t>
      </w:r>
      <w:r>
        <w:rPr>
          <w:rFonts w:ascii="Times New Roman" w:cs="Times New Roman" w:eastAsia="Times New Roman" w:hAnsi="Times New Roman"/>
          <w:sz w:val="19"/>
          <w:szCs w:val="19"/>
          <w:color w:val="111111"/>
        </w:rPr>
        <w:t xml:space="preserve"> Supplier agrees to grant access as needed to Enphase or its representatives for factory audits at no charge to Enphase</w:t>
      </w:r>
      <w:r>
        <w:rPr>
          <w:rFonts w:ascii="Times New Roman" w:cs="Times New Roman" w:eastAsia="Times New Roman" w:hAnsi="Times New Roman"/>
          <w:sz w:val="19"/>
          <w:szCs w:val="19"/>
          <w:color w:val="343434"/>
        </w:rPr>
        <w:t>.</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00000"/>
        </w:rPr>
        <w:t>Enphase may at its option, seat its employees or representatives onsite within the</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00000"/>
        </w:rPr>
        <w:t>Supplier’s factory premises (“</w:t>
      </w:r>
      <w:r>
        <w:rPr>
          <w:rFonts w:ascii="Times New Roman" w:cs="Times New Roman" w:eastAsia="Times New Roman" w:hAnsi="Times New Roman"/>
          <w:sz w:val="19"/>
          <w:szCs w:val="19"/>
          <w:b w:val="1"/>
          <w:bCs w:val="1"/>
          <w:color w:val="000000"/>
        </w:rPr>
        <w:t>Onsite Team</w:t>
      </w:r>
      <w:r>
        <w:rPr>
          <w:rFonts w:ascii="Times New Roman" w:cs="Times New Roman" w:eastAsia="Times New Roman" w:hAnsi="Times New Roman"/>
          <w:sz w:val="19"/>
          <w:szCs w:val="19"/>
          <w:color w:val="000000"/>
        </w:rPr>
        <w:t>”), towards establishing an Enphase ‘office desk’ within the Supplier’s factory premises. The Supplier shall provide all facilities,</w:t>
      </w:r>
    </w:p>
    <w:p>
      <w:pPr>
        <w:sectPr>
          <w:pgSz w:w="11900" w:h="16838" w:orient="portrait"/>
          <w:cols w:equalWidth="0" w:num="1">
            <w:col w:w="9480"/>
          </w:cols>
          <w:pgMar w:left="1040" w:top="1179" w:right="1379" w:bottom="1440" w:gutter="0" w:footer="0" w:header="0"/>
        </w:sectPr>
      </w:pPr>
    </w:p>
    <w:bookmarkStart w:id="174" w:name="page175"/>
    <w:bookmarkEnd w:id="174"/>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equipment and support reasonably necessary for the Enphase employees (or representatives, as applicable) to carry out their day to day business activities. The Onsite Team may access the Supplier’s factory at any time during the term of this Agreement, without prior written notice to the Supplier, and the Supplier expressly consents to the same. Upon providing a written notice at least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9"/>
          <w:szCs w:val="19"/>
          <w:color w:val="auto"/>
        </w:rPr>
        <w:t>, Enphase may bring any of its customers, with the intention of carrying out an Audit (as defined herein), and the Supplier agrees to co-</w:t>
      </w:r>
      <w:r>
        <w:rPr>
          <w:rFonts w:ascii="Times New Roman" w:cs="Times New Roman" w:eastAsia="Times New Roman" w:hAnsi="Times New Roman"/>
          <w:sz w:val="19"/>
          <w:szCs w:val="19"/>
          <w:color w:val="111111"/>
        </w:rPr>
        <w:t>operate with Enphase (or such Enphase customers, as applicable) for conducting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such an Audit. Notwithstanding anything else contained in this Agreement, and in addition to any of Enphase’s rights of Audit and access, Enphase may, upon providing 24 hours’ notice to the Supplier, access and/or Audit the Supplier’s factory along with a technical support team.</w:t>
      </w:r>
    </w:p>
    <w:p>
      <w:pPr>
        <w:spacing w:after="0" w:line="206" w:lineRule="exact"/>
        <w:rPr>
          <w:sz w:val="20"/>
          <w:szCs w:val="20"/>
          <w:color w:val="auto"/>
        </w:rPr>
      </w:pPr>
    </w:p>
    <w:p>
      <w:pPr>
        <w:jc w:val="both"/>
        <w:ind w:firstLine="629"/>
        <w:spacing w:after="0" w:line="278" w:lineRule="auto"/>
        <w:rPr>
          <w:sz w:val="20"/>
          <w:szCs w:val="20"/>
          <w:color w:val="auto"/>
        </w:rPr>
      </w:pPr>
      <w:r>
        <w:rPr>
          <w:rFonts w:ascii="Times New Roman" w:cs="Times New Roman" w:eastAsia="Times New Roman" w:hAnsi="Times New Roman"/>
          <w:sz w:val="19"/>
          <w:szCs w:val="19"/>
          <w:color w:val="111111"/>
        </w:rPr>
        <w:t xml:space="preserve">2.7. </w:t>
      </w:r>
      <w:r>
        <w:rPr>
          <w:rFonts w:ascii="Times New Roman" w:cs="Times New Roman" w:eastAsia="Times New Roman" w:hAnsi="Times New Roman"/>
          <w:sz w:val="19"/>
          <w:szCs w:val="19"/>
          <w:b w:val="1"/>
          <w:bCs w:val="1"/>
          <w:u w:val="single" w:color="auto"/>
          <w:color w:val="111111"/>
        </w:rPr>
        <w:t>IT Support.</w:t>
      </w:r>
      <w:r>
        <w:rPr>
          <w:rFonts w:ascii="Times New Roman" w:cs="Times New Roman" w:eastAsia="Times New Roman" w:hAnsi="Times New Roman"/>
          <w:sz w:val="19"/>
          <w:szCs w:val="19"/>
          <w:color w:val="111111"/>
        </w:rPr>
        <w:t xml:space="preserve"> Enphase requires a client-to-site connection to the Supplier facility be available at all times to monitor production test equipment and to troubleshoot any potential problems. Supplier shall provide a static internet connection, through which Enphase can tunnel via a secure protocol such as VPN</w:t>
      </w:r>
      <w:r>
        <w:rPr>
          <w:rFonts w:ascii="Times New Roman" w:cs="Times New Roman" w:eastAsia="Times New Roman" w:hAnsi="Times New Roman"/>
          <w:sz w:val="19"/>
          <w:szCs w:val="19"/>
          <w:color w:val="343434"/>
        </w:rPr>
        <w:t>.</w:t>
      </w:r>
      <w:r>
        <w:rPr>
          <w:rFonts w:ascii="Times New Roman" w:cs="Times New Roman" w:eastAsia="Times New Roman" w:hAnsi="Times New Roman"/>
          <w:sz w:val="19"/>
          <w:szCs w:val="19"/>
          <w:color w:val="111111"/>
        </w:rPr>
        <w:t xml:space="preserve"> Enphase shall, at its discretion and to the extent required in Enphase’s sole opinion, provide pre- configured equipment for installation at the Supplier facilities. Supplier will also ensure that it complies with the requirements in Exhibit H with respect to information security of Enphase Data (as defined in the Exhibit G).</w:t>
      </w:r>
    </w:p>
    <w:p>
      <w:pPr>
        <w:spacing w:after="0" w:line="173" w:lineRule="exact"/>
        <w:rPr>
          <w:sz w:val="20"/>
          <w:szCs w:val="20"/>
          <w:color w:val="auto"/>
        </w:rPr>
      </w:pPr>
    </w:p>
    <w:p>
      <w:pPr>
        <w:ind w:left="540"/>
        <w:spacing w:after="0"/>
        <w:tabs>
          <w:tab w:leader="none" w:pos="1000" w:val="left"/>
        </w:tabs>
        <w:rPr>
          <w:sz w:val="20"/>
          <w:szCs w:val="20"/>
          <w:color w:val="auto"/>
        </w:rPr>
      </w:pPr>
      <w:r>
        <w:rPr>
          <w:rFonts w:ascii="Times New Roman" w:cs="Times New Roman" w:eastAsia="Times New Roman" w:hAnsi="Times New Roman"/>
          <w:sz w:val="19"/>
          <w:szCs w:val="19"/>
          <w:color w:val="auto"/>
        </w:rPr>
        <w:t>2.8.</w:t>
      </w:r>
      <w:r>
        <w:rPr>
          <w:sz w:val="20"/>
          <w:szCs w:val="20"/>
          <w:color w:val="auto"/>
        </w:rPr>
        <w:tab/>
      </w:r>
      <w:r>
        <w:rPr>
          <w:rFonts w:ascii="Times New Roman" w:cs="Times New Roman" w:eastAsia="Times New Roman" w:hAnsi="Times New Roman"/>
          <w:sz w:val="19"/>
          <w:szCs w:val="19"/>
          <w:b w:val="1"/>
          <w:bCs w:val="1"/>
          <w:u w:val="single" w:color="auto"/>
          <w:color w:val="auto"/>
        </w:rPr>
        <w:t>Quality</w:t>
      </w:r>
    </w:p>
    <w:p>
      <w:pPr>
        <w:spacing w:after="0" w:line="282" w:lineRule="exact"/>
        <w:rPr>
          <w:sz w:val="20"/>
          <w:szCs w:val="20"/>
          <w:color w:val="auto"/>
        </w:rPr>
      </w:pPr>
    </w:p>
    <w:p>
      <w:pPr>
        <w:jc w:val="both"/>
        <w:ind w:firstLine="641"/>
        <w:spacing w:after="0" w:line="285" w:lineRule="auto"/>
        <w:tabs>
          <w:tab w:leader="none" w:pos="1166" w:val="left"/>
        </w:tabs>
        <w:numPr>
          <w:ilvl w:val="0"/>
          <w:numId w:val="97"/>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Enphase will have the right (but not the obligation) to conduct a quality Audit on the factory or other premises used by the Supplier to perform the Work, in order to confirm whether such factory complies with the Specifications (as applicable). The Supplier will resolve to Enphase’s satisfaction, any critical or major issues identified by Enphase during such Audit, prior to beginning production of the Products.</w:t>
      </w:r>
    </w:p>
    <w:p>
      <w:pPr>
        <w:spacing w:after="0" w:line="63" w:lineRule="exact"/>
        <w:rPr>
          <w:rFonts w:ascii="Times New Roman" w:cs="Times New Roman" w:eastAsia="Times New Roman" w:hAnsi="Times New Roman"/>
          <w:sz w:val="19"/>
          <w:szCs w:val="19"/>
          <w:color w:val="111111"/>
        </w:rPr>
      </w:pPr>
    </w:p>
    <w:p>
      <w:pPr>
        <w:jc w:val="both"/>
        <w:ind w:firstLine="641"/>
        <w:spacing w:after="0" w:line="273" w:lineRule="auto"/>
        <w:tabs>
          <w:tab w:leader="none" w:pos="1164" w:val="left"/>
        </w:tabs>
        <w:numPr>
          <w:ilvl w:val="0"/>
          <w:numId w:val="97"/>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 xml:space="preserve">Enphase is contracting to buy conforming Products, assemblies or components, and expects Defect- free yields from Supplier. Enphase seeks a relationship with Supplier that maximizes the probability of 100% Defect-free Product. To ensure quality, the Supplier shall dedicate a team of adequate number of Supplier Personnel with appropriate qualifications, along with a team leader who shall be fluent in English. The Supplier shall ensure that adequately qualified Supplier Personnel are available at all times to Enphase. Supplier will set up an incoming quality control (“IQC") system to inspect all Materials used in the Product based on the component Specifications on a sampling basis. Supplier will ensure only IQC “passed” Material is utilized in the Products, and will maintain records for lot traceability into the production serial range. Supplier will ensure incoming Materials have no substitution for country of origin, and will require a </w:t>
      </w:r>
      <w:r>
        <w:rPr>
          <w:rFonts w:ascii="Times New Roman" w:cs="Times New Roman" w:eastAsia="Times New Roman" w:hAnsi="Times New Roman"/>
          <w:sz w:val="19"/>
          <w:szCs w:val="19"/>
          <w:color w:val="000000"/>
        </w:rPr>
        <w:t>‘Country of Origin Certificate’</w:t>
      </w:r>
      <w:r>
        <w:rPr>
          <w:rFonts w:ascii="Times New Roman" w:cs="Times New Roman" w:eastAsia="Times New Roman" w:hAnsi="Times New Roman"/>
          <w:sz w:val="19"/>
          <w:szCs w:val="19"/>
          <w:color w:val="111111"/>
        </w:rPr>
        <w:t xml:space="preserve"> per lot. Enphase shall subject the Products delivered by the Supplier to an accelerated lifetime testing regimen as well as ongoing reliability testing. Any failures in such testing that arise from differences in Materials, Specifications or processes specified by Enphase in this Agreement or any subsequent ECOs shall be considered a Defect.</w:t>
      </w:r>
    </w:p>
    <w:p>
      <w:pPr>
        <w:spacing w:after="0" w:line="321" w:lineRule="exact"/>
        <w:rPr>
          <w:rFonts w:ascii="Times New Roman" w:cs="Times New Roman" w:eastAsia="Times New Roman" w:hAnsi="Times New Roman"/>
          <w:sz w:val="19"/>
          <w:szCs w:val="19"/>
          <w:color w:val="111111"/>
        </w:rPr>
      </w:pPr>
    </w:p>
    <w:p>
      <w:pPr>
        <w:jc w:val="both"/>
        <w:ind w:firstLine="641"/>
        <w:spacing w:after="0" w:line="279" w:lineRule="auto"/>
        <w:tabs>
          <w:tab w:leader="none" w:pos="1166" w:val="left"/>
        </w:tabs>
        <w:numPr>
          <w:ilvl w:val="0"/>
          <w:numId w:val="97"/>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auto"/>
        </w:rPr>
        <w:t>Quality includes, but is not limited to, all properties of the Product that contribute to customer satisfaction, including function, workmanship, appearance, performance, reliability, timely delivery, invoicing, packing, packaging, meeting hazardous substance restrictions and support. Supplier will follow a PPAP process as outlined in Exhibit B to launch each new production TAN. Supplier will develop an operator certification program and online station validation/record keeping to ensure only “trained/certified” operators are on the production line.</w:t>
      </w:r>
    </w:p>
    <w:p>
      <w:pPr>
        <w:spacing w:after="0" w:line="67" w:lineRule="exact"/>
        <w:rPr>
          <w:rFonts w:ascii="Times New Roman" w:cs="Times New Roman" w:eastAsia="Times New Roman" w:hAnsi="Times New Roman"/>
          <w:sz w:val="19"/>
          <w:szCs w:val="19"/>
          <w:color w:val="111111"/>
        </w:rPr>
      </w:pPr>
    </w:p>
    <w:p>
      <w:pPr>
        <w:jc w:val="both"/>
        <w:ind w:firstLine="641"/>
        <w:spacing w:after="0" w:line="291" w:lineRule="auto"/>
        <w:tabs>
          <w:tab w:leader="none" w:pos="1164" w:val="left"/>
        </w:tabs>
        <w:numPr>
          <w:ilvl w:val="0"/>
          <w:numId w:val="97"/>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auto"/>
        </w:rPr>
        <w:t>The primary goal of Supplier’s quality planning will be prevention and early detection of Defects, as opposed to reacting to Defects as they are discovered. Upon request, Supplier will demonstrate to Enphase that its quality control plans are inherently capable of meeting Defect-free standards. The</w:t>
      </w:r>
    </w:p>
    <w:p>
      <w:pPr>
        <w:sectPr>
          <w:pgSz w:w="11900" w:h="16838" w:orient="portrait"/>
          <w:cols w:equalWidth="0" w:num="1">
            <w:col w:w="9480"/>
          </w:cols>
          <w:pgMar w:left="1040" w:top="1126" w:right="13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9"/>
          <w:szCs w:val="19"/>
          <w:color w:val="auto"/>
        </w:rPr>
        <w:t>Supplier will endeavour to obtain and maintain the ISO 9001:2015 certification during the term of this Agreement.</w:t>
      </w:r>
    </w:p>
    <w:p>
      <w:pPr>
        <w:spacing w:after="0" w:line="162" w:lineRule="exact"/>
        <w:rPr>
          <w:sz w:val="20"/>
          <w:szCs w:val="20"/>
          <w:color w:val="auto"/>
        </w:rPr>
      </w:pPr>
    </w:p>
    <w:p>
      <w:pPr>
        <w:jc w:val="both"/>
        <w:ind w:right="20" w:firstLine="641"/>
        <w:spacing w:after="0" w:line="278" w:lineRule="auto"/>
        <w:tabs>
          <w:tab w:leader="none" w:pos="1166" w:val="left"/>
        </w:tabs>
        <w:numPr>
          <w:ilvl w:val="1"/>
          <w:numId w:val="98"/>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auto"/>
        </w:rPr>
        <w:t>Supplier will deliver Products conforming to applicable specifications and which are 100% Defect- free. The date code limitation for all inbound components will be the greater of: (i) the designated expiration date of the Materials; or twenty four (24) months from the date of manufacture. Supplier will develop a quality program for its production process that ensures Products are Defect-free. At Enphase’s request, Supplier will supply Enphase with process control data to help Enphase ascertain the probability of receiving Defect-free Product. During any production period, the Supplier will follow the DPPM shutdown rules as detailed in Exhibit B.</w:t>
      </w:r>
    </w:p>
    <w:p>
      <w:pPr>
        <w:spacing w:after="0" w:line="68" w:lineRule="exact"/>
        <w:rPr>
          <w:rFonts w:ascii="Times New Roman" w:cs="Times New Roman" w:eastAsia="Times New Roman" w:hAnsi="Times New Roman"/>
          <w:sz w:val="19"/>
          <w:szCs w:val="19"/>
          <w:color w:val="111111"/>
        </w:rPr>
      </w:pPr>
    </w:p>
    <w:p>
      <w:pPr>
        <w:jc w:val="both"/>
        <w:ind w:right="20" w:firstLine="641"/>
        <w:spacing w:after="0" w:line="274" w:lineRule="auto"/>
        <w:tabs>
          <w:tab w:leader="none" w:pos="1158" w:val="left"/>
        </w:tabs>
        <w:numPr>
          <w:ilvl w:val="1"/>
          <w:numId w:val="98"/>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auto"/>
        </w:rPr>
        <w:t>Testing and Inspection. At its option, Enphase may inspect and test any or all Products received by Enphase, and such inspection may be by lot sampling or by testing individual units. When lot sampling is used, the applicable standard will be the industry-recognized zero defects (C = 0) plan at the appropriate confidence level. Such testing and/or inspection may take place at Enphase’s facility or at Supplier’s facility. If at Supplier’s facility, Supplier agrees to provide reasonable support and services to and for Enphase’s representative. Supplier agrees that the representations and warranties made in this Agreement with respect to Products will continue to apply regardless of whether Enphase accepts, tests or inspects any Product Unit or lot.</w:t>
      </w:r>
    </w:p>
    <w:p>
      <w:pPr>
        <w:spacing w:after="0" w:line="76" w:lineRule="exact"/>
        <w:rPr>
          <w:rFonts w:ascii="Times New Roman" w:cs="Times New Roman" w:eastAsia="Times New Roman" w:hAnsi="Times New Roman"/>
          <w:sz w:val="19"/>
          <w:szCs w:val="19"/>
          <w:color w:val="111111"/>
        </w:rPr>
      </w:pPr>
    </w:p>
    <w:p>
      <w:pPr>
        <w:ind w:left="1160" w:hanging="519"/>
        <w:spacing w:after="0"/>
        <w:tabs>
          <w:tab w:leader="none" w:pos="1160" w:val="left"/>
        </w:tabs>
        <w:numPr>
          <w:ilvl w:val="1"/>
          <w:numId w:val="98"/>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auto"/>
        </w:rPr>
        <w:t>Third Party Seller. The Supplier acknowledges that the obligations on quality provided in Sections 2.8 (a) to</w:t>
      </w:r>
    </w:p>
    <w:p>
      <w:pPr>
        <w:spacing w:after="0" w:line="32" w:lineRule="exact"/>
        <w:rPr>
          <w:rFonts w:ascii="Times New Roman" w:cs="Times New Roman" w:eastAsia="Times New Roman" w:hAnsi="Times New Roman"/>
          <w:sz w:val="19"/>
          <w:szCs w:val="19"/>
          <w:color w:val="111111"/>
        </w:rPr>
      </w:pPr>
    </w:p>
    <w:p>
      <w:pPr>
        <w:jc w:val="both"/>
        <w:ind w:right="20" w:firstLine="2"/>
        <w:spacing w:after="0" w:line="278" w:lineRule="auto"/>
        <w:tabs>
          <w:tab w:leader="none" w:pos="249"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essential so that Enphase may achieve its goals under this Agreement. To the extent that any Materials, or portions of the Work are performed for the Supplier by any third-party supplier, the Supplier shall ensure that such third- party Suppliers are bound by obligations at least as onerous as those in this Agreement, with relation to quality and compliance to the applicable Specifications. Supplier shall notify Enphase in writing of any such third-party supplier, and Enphase reserves the right to reasonably reject Supplier’s use of any third party supplier.</w:t>
      </w:r>
    </w:p>
    <w:p>
      <w:pPr>
        <w:spacing w:after="0" w:line="70" w:lineRule="exact"/>
        <w:rPr>
          <w:rFonts w:ascii="Times New Roman" w:cs="Times New Roman" w:eastAsia="Times New Roman" w:hAnsi="Times New Roman"/>
          <w:sz w:val="19"/>
          <w:szCs w:val="19"/>
          <w:color w:val="auto"/>
        </w:rPr>
      </w:pPr>
    </w:p>
    <w:p>
      <w:pPr>
        <w:jc w:val="both"/>
        <w:ind w:right="20" w:firstLine="641"/>
        <w:spacing w:after="0" w:line="278" w:lineRule="auto"/>
        <w:tabs>
          <w:tab w:leader="none" w:pos="1164" w:val="left"/>
        </w:tabs>
        <w:numPr>
          <w:ilvl w:val="1"/>
          <w:numId w:val="99"/>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auto"/>
        </w:rPr>
        <w:t>Line Down. If Defects, including Enphase’s rejection and/or return of Product as permitted under this Agreement, cause a Line Down, Supplier, within 24 hours of receipt of notice thereof from Enphase will provide qualified repair personnel at Enphase’s or Enphase’s customer’s facility to repair or sort, at Enphase ’s option, such defective Product at no cost to Enphase or Enphase’s customer. “Line down,” as used in the preceding sentence, means the cessation or delay of manufacturing, assembly or shipment operations experienced by Enphase and/or an Enphase customer as a result of a Defect or action or inaction by Supplier.</w:t>
      </w:r>
    </w:p>
    <w:p>
      <w:pPr>
        <w:spacing w:after="0" w:line="68" w:lineRule="exact"/>
        <w:rPr>
          <w:rFonts w:ascii="Times New Roman" w:cs="Times New Roman" w:eastAsia="Times New Roman" w:hAnsi="Times New Roman"/>
          <w:sz w:val="19"/>
          <w:szCs w:val="19"/>
          <w:color w:val="111111"/>
        </w:rPr>
      </w:pPr>
    </w:p>
    <w:p>
      <w:pPr>
        <w:jc w:val="both"/>
        <w:ind w:right="20" w:firstLine="641"/>
        <w:spacing w:after="0" w:line="274" w:lineRule="auto"/>
        <w:tabs>
          <w:tab w:leader="none" w:pos="1160" w:val="left"/>
        </w:tabs>
        <w:numPr>
          <w:ilvl w:val="1"/>
          <w:numId w:val="99"/>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auto"/>
        </w:rPr>
        <w:t>If any Product does not comply to the Specifications, in accordance with Section 2.8 (e) and is therefore rejected by Enphase, Supplier will supply Enphase with a return material authorization or replacement Product within three</w:t>
      </w:r>
    </w:p>
    <w:p>
      <w:pPr>
        <w:spacing w:after="0" w:line="1" w:lineRule="exact"/>
        <w:rPr>
          <w:rFonts w:ascii="Times New Roman" w:cs="Times New Roman" w:eastAsia="Times New Roman" w:hAnsi="Times New Roman"/>
          <w:sz w:val="19"/>
          <w:szCs w:val="19"/>
          <w:color w:val="111111"/>
        </w:rPr>
      </w:pPr>
    </w:p>
    <w:p>
      <w:pPr>
        <w:jc w:val="both"/>
        <w:ind w:right="20"/>
        <w:spacing w:after="0" w:line="280" w:lineRule="auto"/>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auto"/>
        </w:rPr>
        <w:t>(3) business days of Enphase’s request. Supplier further agrees to supply Enphase with an initial failure analysis within 24 hours and a containment plan within 48 hours and to provide due diligence in obtaining a full failure analysis within seven days of receipt of samples of rejected Product. Supplier agrees to provide the full failure analysis to Enphase in the format prescribed by Enphase.</w:t>
      </w:r>
    </w:p>
    <w:p>
      <w:pPr>
        <w:spacing w:after="0" w:line="1" w:lineRule="exact"/>
        <w:rPr>
          <w:rFonts w:ascii="Times New Roman" w:cs="Times New Roman" w:eastAsia="Times New Roman" w:hAnsi="Times New Roman"/>
          <w:sz w:val="19"/>
          <w:szCs w:val="19"/>
          <w:color w:val="111111"/>
        </w:rPr>
      </w:pPr>
    </w:p>
    <w:p>
      <w:pPr>
        <w:jc w:val="both"/>
        <w:ind w:firstLine="641"/>
        <w:spacing w:after="0" w:line="285" w:lineRule="auto"/>
        <w:tabs>
          <w:tab w:leader="none" w:pos="1160" w:val="left"/>
        </w:tabs>
        <w:numPr>
          <w:ilvl w:val="1"/>
          <w:numId w:val="99"/>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auto"/>
        </w:rPr>
        <w:t>If any replacement Products delivered pursuant to Section 2.8 (e) have Defects or otherwise fail to conform to the requirements of this Agreement, Enphase may, at its option, cancel the related purchase order in whole or in part, without penalty or liability whatsoever to Enphase and/or Enphase may avail itself of any remedy set forth herein or pursuant to applicable Law.</w:t>
      </w:r>
    </w:p>
    <w:p>
      <w:pPr>
        <w:spacing w:after="0" w:line="50" w:lineRule="exact"/>
        <w:rPr>
          <w:rFonts w:ascii="Times New Roman" w:cs="Times New Roman" w:eastAsia="Times New Roman" w:hAnsi="Times New Roman"/>
          <w:sz w:val="19"/>
          <w:szCs w:val="19"/>
          <w:color w:val="111111"/>
        </w:rPr>
      </w:pPr>
    </w:p>
    <w:p>
      <w:pPr>
        <w:jc w:val="both"/>
        <w:ind w:right="20" w:firstLine="641"/>
        <w:spacing w:after="0" w:line="285" w:lineRule="auto"/>
        <w:tabs>
          <w:tab w:leader="none" w:pos="1164" w:val="left"/>
        </w:tabs>
        <w:numPr>
          <w:ilvl w:val="1"/>
          <w:numId w:val="99"/>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auto"/>
        </w:rPr>
        <w:t>Upon request, Supplier will make available to Enphase all Product test data relating to qualification as well as production yield to evidence conformance to specifications and quality control. Supplier will facilitate product sampling for ongoing reliability testing (“ORT”) for Enphase. Sampling program is detailed in Exhibit B. Supplier will provide resources at their facility to perform 1st level failure</w:t>
      </w:r>
    </w:p>
    <w:p>
      <w:pPr>
        <w:sectPr>
          <w:pgSz w:w="11900" w:h="16838" w:orient="portrait"/>
          <w:cols w:equalWidth="0" w:num="1">
            <w:col w:w="9500"/>
          </w:cols>
          <w:pgMar w:left="1040" w:top="1179" w:right="1359" w:bottom="1440" w:gutter="0" w:footer="0" w:header="0"/>
        </w:sectPr>
      </w:pPr>
    </w:p>
    <w:bookmarkStart w:id="176" w:name="page177"/>
    <w:bookmarkEnd w:id="176"/>
    <w:p>
      <w:pPr>
        <w:ind w:left="120" w:right="20"/>
        <w:spacing w:after="0" w:line="302" w:lineRule="auto"/>
        <w:rPr>
          <w:sz w:val="20"/>
          <w:szCs w:val="20"/>
          <w:color w:val="auto"/>
        </w:rPr>
      </w:pPr>
      <w:r>
        <w:rPr>
          <w:rFonts w:ascii="Times New Roman" w:cs="Times New Roman" w:eastAsia="Times New Roman" w:hAnsi="Times New Roman"/>
          <w:sz w:val="19"/>
          <w:szCs w:val="19"/>
          <w:color w:val="auto"/>
        </w:rPr>
        <w:t>analysis for any failures that occur in ORT. Supplier will provide a weekly ORT report which tracks the status of the units submitted to the chambers, and the failure status by week.</w:t>
      </w:r>
    </w:p>
    <w:p>
      <w:pPr>
        <w:spacing w:after="0" w:line="1" w:lineRule="exact"/>
        <w:rPr>
          <w:sz w:val="20"/>
          <w:szCs w:val="20"/>
          <w:color w:val="auto"/>
        </w:rPr>
      </w:pPr>
    </w:p>
    <w:p>
      <w:pPr>
        <w:jc w:val="both"/>
        <w:ind w:left="120" w:right="20" w:firstLine="596"/>
        <w:spacing w:after="0" w:line="279" w:lineRule="auto"/>
        <w:tabs>
          <w:tab w:leader="none" w:pos="1288" w:val="left"/>
        </w:tabs>
        <w:numPr>
          <w:ilvl w:val="1"/>
          <w:numId w:val="100"/>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auto"/>
        </w:rPr>
        <w:t>The Parties will meet on a weekly basis, to conduct an ongoing review of the steps required to ensure Product quality as envisaged by this Agreement. Supplier will track yield at each process step/test station, and perform pareto analysis, root cause analysis and corrective action per week to address the top items causing first pass yield loss (including NTF) per week. Data will be presented in a format as prescribed by Enphase to demonstrate the yield results, paretos, and action taken to address issues. This data will be reviewed in a joint weekly meeting between the Parties.</w:t>
      </w:r>
    </w:p>
    <w:p>
      <w:pPr>
        <w:spacing w:after="0" w:line="67" w:lineRule="exact"/>
        <w:rPr>
          <w:rFonts w:ascii="Times New Roman" w:cs="Times New Roman" w:eastAsia="Times New Roman" w:hAnsi="Times New Roman"/>
          <w:sz w:val="19"/>
          <w:szCs w:val="19"/>
          <w:color w:val="111111"/>
        </w:rPr>
      </w:pPr>
    </w:p>
    <w:p>
      <w:pPr>
        <w:jc w:val="both"/>
        <w:ind w:left="120" w:firstLine="641"/>
        <w:spacing w:after="0" w:line="276" w:lineRule="auto"/>
        <w:tabs>
          <w:tab w:leader="none" w:pos="1285" w:val="left"/>
        </w:tabs>
        <w:numPr>
          <w:ilvl w:val="2"/>
          <w:numId w:val="100"/>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auto"/>
        </w:rPr>
        <w:t>For the purpose of ensuring quality and effective compliance to each Party’s obligations under this Agreement, a quarterly business review (“</w:t>
      </w:r>
      <w:r>
        <w:rPr>
          <w:rFonts w:ascii="Times New Roman" w:cs="Times New Roman" w:eastAsia="Times New Roman" w:hAnsi="Times New Roman"/>
          <w:sz w:val="19"/>
          <w:szCs w:val="19"/>
          <w:b w:val="1"/>
          <w:bCs w:val="1"/>
          <w:color w:val="auto"/>
        </w:rPr>
        <w:t>QBR</w:t>
      </w:r>
      <w:r>
        <w:rPr>
          <w:rFonts w:ascii="Times New Roman" w:cs="Times New Roman" w:eastAsia="Times New Roman" w:hAnsi="Times New Roman"/>
          <w:sz w:val="19"/>
          <w:szCs w:val="19"/>
          <w:color w:val="auto"/>
        </w:rPr>
        <w:t xml:space="preserve">”) shall be held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9"/>
          <w:szCs w:val="19"/>
          <w:color w:val="auto"/>
        </w:rPr>
        <w:t>, face-to-face in a mutually agreed location, generally at one of Supplier’s locations (i.e. a factory currently performing Work for Enphase). It may on occasion be held at an Enphase office. Conference call participation should be limited. To maintain focus and ensure direct and open communication, only key participants shall be present and shall include senior management representation from both Parties. The purpose of the QBR includes, but is not limited to reviewing Supplier performance, business trends, quality performance, improvement initiatives and strategic direction. The items to be reviewed shall, at either Party’s request, include items such as cost savings initiatives, Product pricing, Special Inventory and Lead Times. In general, these meetings shall assess the future outlook and review the previous period.</w:t>
      </w:r>
    </w:p>
    <w:p>
      <w:pPr>
        <w:spacing w:after="0" w:line="72" w:lineRule="exact"/>
        <w:rPr>
          <w:rFonts w:ascii="Times New Roman" w:cs="Times New Roman" w:eastAsia="Times New Roman" w:hAnsi="Times New Roman"/>
          <w:sz w:val="19"/>
          <w:szCs w:val="19"/>
          <w:color w:val="111111"/>
        </w:rPr>
      </w:pPr>
    </w:p>
    <w:p>
      <w:pPr>
        <w:jc w:val="both"/>
        <w:ind w:left="120" w:right="20" w:firstLine="641"/>
        <w:spacing w:after="0" w:line="280" w:lineRule="auto"/>
        <w:tabs>
          <w:tab w:leader="none" w:pos="1284" w:val="left"/>
        </w:tabs>
        <w:numPr>
          <w:ilvl w:val="2"/>
          <w:numId w:val="100"/>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auto"/>
        </w:rPr>
        <w:t>During the warranty period, (under Section 6.2) Supplier will compensate Enphase for all documented, reasonable, direct costs incurred by Enphase in rectifying any quality issues in an affected Product purchased by Enphase. Reasonable, direct costs incurred by Enphase will include, without limitation, the labor costs incurred by Enphase for any such rectification of quality issues</w:t>
      </w:r>
    </w:p>
    <w:p>
      <w:pPr>
        <w:spacing w:after="0" w:line="171" w:lineRule="exact"/>
        <w:rPr>
          <w:rFonts w:ascii="Times New Roman" w:cs="Times New Roman" w:eastAsia="Times New Roman" w:hAnsi="Times New Roman"/>
          <w:sz w:val="19"/>
          <w:szCs w:val="19"/>
          <w:color w:val="111111"/>
        </w:rPr>
      </w:pPr>
    </w:p>
    <w:p>
      <w:pPr>
        <w:ind w:left="500" w:hanging="337"/>
        <w:spacing w:after="0"/>
        <w:tabs>
          <w:tab w:leader="none" w:pos="500" w:val="left"/>
        </w:tabs>
        <w:numPr>
          <w:ilvl w:val="0"/>
          <w:numId w:val="101"/>
        </w:numPr>
        <w:rPr>
          <w:rFonts w:ascii="Times New Roman" w:cs="Times New Roman" w:eastAsia="Times New Roman" w:hAnsi="Times New Roman"/>
          <w:sz w:val="19"/>
          <w:szCs w:val="19"/>
          <w:b w:val="1"/>
          <w:bCs w:val="1"/>
          <w:color w:val="111111"/>
        </w:rPr>
      </w:pPr>
      <w:r>
        <w:rPr>
          <w:rFonts w:ascii="Times New Roman" w:cs="Times New Roman" w:eastAsia="Times New Roman" w:hAnsi="Times New Roman"/>
          <w:sz w:val="19"/>
          <w:szCs w:val="19"/>
          <w:b w:val="1"/>
          <w:bCs w:val="1"/>
          <w:color w:val="111111"/>
        </w:rPr>
        <w:t>FORECASTS; ORDERS; FEES; PAYMENT</w:t>
      </w:r>
    </w:p>
    <w:p>
      <w:pPr>
        <w:spacing w:after="0" w:line="162" w:lineRule="exact"/>
        <w:rPr>
          <w:sz w:val="20"/>
          <w:szCs w:val="20"/>
          <w:color w:val="auto"/>
        </w:rPr>
      </w:pPr>
    </w:p>
    <w:p>
      <w:pPr>
        <w:jc w:val="both"/>
        <w:ind w:left="120" w:right="20" w:firstLine="629"/>
        <w:spacing w:after="0" w:line="275"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b w:val="1"/>
          <w:bCs w:val="1"/>
          <w:u w:val="single" w:color="auto"/>
          <w:color w:val="auto"/>
        </w:rPr>
        <w:t>Forecast.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Enphase shall provide Supplier, on a monthly basis, a non-binding rolling twelve (12) month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 xml:space="preserve">forecast indicating Enphase's estimated Product requirements (“Forecast”). </w:t>
      </w:r>
      <w:r>
        <w:rPr>
          <w:rFonts w:ascii="Times New Roman" w:cs="Times New Roman" w:eastAsia="Times New Roman" w:hAnsi="Times New Roman"/>
          <w:sz w:val="19"/>
          <w:szCs w:val="19"/>
          <w:color w:val="000000"/>
        </w:rPr>
        <w:t>The Parties will mutually agree upon the</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00000"/>
        </w:rPr>
        <w:t>method for Forecast submission. Supplier will coordinate with Enphase to meet any Forecast increases or decreases, by managing its inventory at the lowest, longest lead time component or raw material level to minimize risk throughout the supply chain, and ensure maximum flexibility and scalability to Enphase’s demand. Enphase will not be liable or responsible for any costs incurred by Supplier to meet the volume increases/decreases unless otherwise agreed upon in advance and in writing by the Parties. No request for Products will be binding on Enphase unless Enphase submits a corresponding Purchase Order.</w:t>
      </w:r>
    </w:p>
    <w:p>
      <w:pPr>
        <w:spacing w:after="0" w:line="372" w:lineRule="exact"/>
        <w:rPr>
          <w:sz w:val="20"/>
          <w:szCs w:val="20"/>
          <w:color w:val="auto"/>
        </w:rPr>
      </w:pPr>
    </w:p>
    <w:p>
      <w:pPr>
        <w:jc w:val="both"/>
        <w:ind w:left="120" w:right="20" w:firstLine="629"/>
        <w:spacing w:after="0" w:line="271"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b w:val="1"/>
          <w:bCs w:val="1"/>
          <w:u w:val="single" w:color="auto"/>
          <w:color w:val="auto"/>
        </w:rPr>
        <w:t>Purchase Orders; Precedence.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Enphase may use its standard purchase order form for any notice 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for hereunder; provided that all purchase orders must reference this Agreement and the Specifications (if applicable). The Parties agree that the terms and conditions contained in this Agreement shall prevail over any terms and conditions of any such purchase order, acknowledgment form or other instrument, unless specifically agreed in writing by both Parties.</w:t>
      </w:r>
    </w:p>
    <w:p>
      <w:pPr>
        <w:spacing w:after="0" w:line="1" w:lineRule="exact"/>
        <w:rPr>
          <w:sz w:val="20"/>
          <w:szCs w:val="20"/>
          <w:color w:val="auto"/>
        </w:rPr>
      </w:pPr>
    </w:p>
    <w:p>
      <w:pPr>
        <w:jc w:val="both"/>
        <w:ind w:left="120" w:right="20" w:firstLine="629"/>
        <w:spacing w:after="0" w:line="266"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b w:val="1"/>
          <w:bCs w:val="1"/>
          <w:u w:val="single" w:color="auto"/>
          <w:color w:val="auto"/>
        </w:rPr>
        <w:t>Purchase Order Acceptance.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Purchase orders shall normally be deemed accepted by Supplier unless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Supplier notifies Enphase of Supplier’s objections to any purchase order within three (3) days of receipt of such purchase order.</w:t>
      </w:r>
    </w:p>
    <w:p>
      <w:pPr>
        <w:spacing w:after="0" w:line="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color w:val="auto"/>
        </w:rPr>
        <w:t>3.4.</w:t>
      </w:r>
      <w:r>
        <w:rPr>
          <w:sz w:val="20"/>
          <w:szCs w:val="20"/>
          <w:color w:val="auto"/>
        </w:rPr>
        <w:tab/>
      </w:r>
      <w:r>
        <w:rPr>
          <w:rFonts w:ascii="Times New Roman" w:cs="Times New Roman" w:eastAsia="Times New Roman" w:hAnsi="Times New Roman"/>
          <w:sz w:val="18"/>
          <w:szCs w:val="18"/>
          <w:b w:val="1"/>
          <w:bCs w:val="1"/>
          <w:u w:val="single" w:color="auto"/>
          <w:color w:val="auto"/>
        </w:rPr>
        <w:t>Fees; Changes; Taxes.</w:t>
      </w:r>
    </w:p>
    <w:p>
      <w:pPr>
        <w:spacing w:after="0" w:line="218" w:lineRule="exact"/>
        <w:rPr>
          <w:sz w:val="20"/>
          <w:szCs w:val="20"/>
          <w:color w:val="auto"/>
        </w:rPr>
      </w:pPr>
    </w:p>
    <w:p>
      <w:pPr>
        <w:jc w:val="both"/>
        <w:ind w:left="40" w:right="20" w:firstLine="800"/>
        <w:spacing w:after="0" w:line="222" w:lineRule="auto"/>
        <w:tabs>
          <w:tab w:leader="none" w:pos="1291" w:val="left"/>
        </w:tabs>
        <w:numPr>
          <w:ilvl w:val="0"/>
          <w:numId w:val="102"/>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 xml:space="preserve">The fees will be agreed by the Parties and will be indicated on the purchase orders issued by Enphase and accepted by Supplier. The initial fees shall be as set forth on the Fee List attached hereto and incorporated herein as Exhibit C (the </w:t>
      </w:r>
      <w:r>
        <w:rPr>
          <w:rFonts w:ascii="Times New Roman" w:cs="Times New Roman" w:eastAsia="Times New Roman" w:hAnsi="Times New Roman"/>
          <w:sz w:val="19"/>
          <w:szCs w:val="19"/>
          <w:b w:val="1"/>
          <w:bCs w:val="1"/>
          <w:color w:val="111111"/>
        </w:rPr>
        <w:t>"Fee List").</w:t>
      </w:r>
      <w:r>
        <w:rPr>
          <w:rFonts w:ascii="Times New Roman" w:cs="Times New Roman" w:eastAsia="Times New Roman" w:hAnsi="Times New Roman"/>
          <w:sz w:val="19"/>
          <w:szCs w:val="19"/>
          <w:color w:val="111111"/>
        </w:rPr>
        <w:t xml:space="preserve"> Supplier will use commercially reasonable efforts to continuously seek ways to reduce the cost of manufacturing the Products without affecting the Product quality, and will cooperate with Enphase in good faith to implement cost savings. Supplier will</w:t>
      </w:r>
    </w:p>
    <w:p>
      <w:pPr>
        <w:sectPr>
          <w:pgSz w:w="11900" w:h="16838" w:orient="portrait"/>
          <w:cols w:equalWidth="0" w:num="1">
            <w:col w:w="9620"/>
          </w:cols>
          <w:pgMar w:left="920" w:top="1179" w:right="1359" w:bottom="1440" w:gutter="0" w:footer="0" w:header="0"/>
        </w:sectPr>
      </w:pPr>
    </w:p>
    <w:bookmarkStart w:id="177" w:name="page178"/>
    <w:bookmarkEnd w:id="177"/>
    <w:p>
      <w:pPr>
        <w:spacing w:after="0" w:line="220" w:lineRule="auto"/>
        <w:rPr>
          <w:sz w:val="20"/>
          <w:szCs w:val="20"/>
          <w:color w:val="auto"/>
        </w:rPr>
      </w:pPr>
      <w:r>
        <w:rPr>
          <w:rFonts w:ascii="Times New Roman" w:cs="Times New Roman" w:eastAsia="Times New Roman" w:hAnsi="Times New Roman"/>
          <w:sz w:val="19"/>
          <w:szCs w:val="19"/>
          <w:color w:val="111111"/>
        </w:rPr>
        <w:t>extend to Enphase all Product cost decreases achieved by Supplier. Prices stated in the Purchase Order are in U.S. dollars and exclude applicable withholding, excise, value-add, use and similar taxes, fees, charges, duties, and assessments, in each</w:t>
      </w:r>
    </w:p>
    <w:p>
      <w:pPr>
        <w:spacing w:after="0" w:line="218" w:lineRule="auto"/>
        <w:rPr>
          <w:sz w:val="20"/>
          <w:szCs w:val="20"/>
          <w:color w:val="auto"/>
        </w:rPr>
      </w:pPr>
      <w:r>
        <w:rPr>
          <w:rFonts w:ascii="Times New Roman" w:cs="Times New Roman" w:eastAsia="Times New Roman" w:hAnsi="Times New Roman"/>
          <w:sz w:val="19"/>
          <w:szCs w:val="19"/>
          <w:color w:val="111111"/>
        </w:rPr>
        <w:t>case imposed by any governmental authority on the transactions, shipments, or amounts payable hereunder (except taxes on</w:t>
      </w:r>
    </w:p>
    <w:p>
      <w:pPr>
        <w:spacing w:after="0" w:line="226" w:lineRule="auto"/>
        <w:rPr>
          <w:sz w:val="20"/>
          <w:szCs w:val="20"/>
          <w:color w:val="auto"/>
        </w:rPr>
      </w:pPr>
      <w:r>
        <w:rPr>
          <w:rFonts w:ascii="Times New Roman" w:cs="Times New Roman" w:eastAsia="Times New Roman" w:hAnsi="Times New Roman"/>
          <w:sz w:val="19"/>
          <w:szCs w:val="19"/>
          <w:color w:val="111111"/>
        </w:rPr>
        <w:t>Supplier’s income which shall be Supplier’s responsibility) (collectively, “Taxes”). Supplier will invoice Enphase for any applicable Taxes, stating the heads of such Taxes separately.</w:t>
      </w:r>
    </w:p>
    <w:p>
      <w:pPr>
        <w:spacing w:after="0" w:line="52" w:lineRule="exact"/>
        <w:rPr>
          <w:sz w:val="20"/>
          <w:szCs w:val="20"/>
          <w:color w:val="auto"/>
        </w:rPr>
      </w:pPr>
    </w:p>
    <w:p>
      <w:pPr>
        <w:ind w:left="1320" w:hanging="608"/>
        <w:spacing w:after="0"/>
        <w:tabs>
          <w:tab w:leader="none" w:pos="132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IRA incentive</w:t>
      </w:r>
    </w:p>
    <w:p>
      <w:pPr>
        <w:spacing w:after="0" w:line="136" w:lineRule="exact"/>
        <w:rPr>
          <w:sz w:val="20"/>
          <w:szCs w:val="20"/>
          <w:color w:val="auto"/>
        </w:rPr>
      </w:pPr>
    </w:p>
    <w:p>
      <w:pPr>
        <w:jc w:val="both"/>
        <w:ind w:left="80" w:firstLine="768"/>
        <w:spacing w:after="0" w:line="270" w:lineRule="auto"/>
        <w:rPr>
          <w:sz w:val="20"/>
          <w:szCs w:val="20"/>
          <w:color w:val="auto"/>
        </w:rPr>
      </w:pPr>
      <w:r>
        <w:rPr>
          <w:rFonts w:ascii="Times New Roman" w:cs="Times New Roman" w:eastAsia="Times New Roman" w:hAnsi="Times New Roman"/>
          <w:sz w:val="19"/>
          <w:szCs w:val="19"/>
          <w:color w:val="auto"/>
        </w:rPr>
        <w:t xml:space="preserve">Supplier acknowledges that the tax incentives (“PTC”) including, but not limited to, those available under the Inflation Reduction Act of 2022 (the “IRA”) is a primary motivation for Enphase to engage the Supplier for manufacturing the Products. Enphase and Supplier agrees and intend that Enphase is entitled to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9"/>
          <w:szCs w:val="19"/>
          <w:color w:val="auto"/>
        </w:rPr>
        <w:t xml:space="preserve"> related to the production activities contemplated in this agreement. To the extent that Supplier is the party to which such tax incentives are attributable, then,</w:t>
      </w:r>
    </w:p>
    <w:p>
      <w:pPr>
        <w:spacing w:after="0" w:line="2" w:lineRule="exact"/>
        <w:rPr>
          <w:sz w:val="20"/>
          <w:szCs w:val="20"/>
          <w:color w:val="auto"/>
        </w:rPr>
      </w:pPr>
    </w:p>
    <w:p>
      <w:pPr>
        <w:jc w:val="both"/>
        <w:ind w:left="80" w:firstLine="2"/>
        <w:spacing w:after="0" w:line="283" w:lineRule="auto"/>
        <w:tabs>
          <w:tab w:leader="none" w:pos="32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Parties acknowledge and agree that Enphase shall remain entitled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9"/>
          <w:szCs w:val="19"/>
          <w:color w:val="auto"/>
        </w:rPr>
        <w:t xml:space="preserve">, and (ii) Enphase may, at its option, elect for Supplier to pass through to Enphase all (or, if incentive sharing is agreed upon by the parties, the applicable portion to Enphase shall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9"/>
          <w:szCs w:val="19"/>
          <w:color w:val="auto"/>
        </w:rPr>
        <w:t xml:space="preserve"> of the PTC claimed by Supplier in a manner reasonably requested by Enphase.</w:t>
      </w:r>
    </w:p>
    <w:p>
      <w:pPr>
        <w:spacing w:after="0" w:line="64" w:lineRule="exact"/>
        <w:rPr>
          <w:rFonts w:ascii="Times New Roman" w:cs="Times New Roman" w:eastAsia="Times New Roman" w:hAnsi="Times New Roman"/>
          <w:sz w:val="19"/>
          <w:szCs w:val="19"/>
          <w:color w:val="auto"/>
        </w:rPr>
      </w:pPr>
    </w:p>
    <w:p>
      <w:pPr>
        <w:jc w:val="both"/>
        <w:ind w:left="400" w:hanging="317"/>
        <w:spacing w:after="0" w:line="278" w:lineRule="auto"/>
        <w:tabs>
          <w:tab w:leader="none" w:pos="397"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Supplier shall not pursue a tax credit allocation under 26 U.S.C. 48c for investments in the production facility that would impair the value of the PTC Enphase may capture related to the activities contemplated in this agreement. Additionally, Supplier and Enphase recognize that future tax credit provisions and regulations may limit Enphase’s ability to capture PTC for the production activities. As such, should the Supplier wish to pursue such PTC, Supplier must provide Enphase with advanced write notice prior to applying for or claiming any PTC related to the production activities contemplated herein.</w:t>
      </w:r>
    </w:p>
    <w:p>
      <w:pPr>
        <w:spacing w:after="0" w:line="68" w:lineRule="exact"/>
        <w:rPr>
          <w:rFonts w:ascii="Times New Roman" w:cs="Times New Roman" w:eastAsia="Times New Roman" w:hAnsi="Times New Roman"/>
          <w:sz w:val="19"/>
          <w:szCs w:val="19"/>
          <w:color w:val="auto"/>
        </w:rPr>
      </w:pPr>
    </w:p>
    <w:p>
      <w:pPr>
        <w:jc w:val="both"/>
        <w:ind w:left="400" w:hanging="317"/>
        <w:spacing w:after="0" w:line="271" w:lineRule="auto"/>
        <w:tabs>
          <w:tab w:leader="none" w:pos="398"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Enphase shall calculate the PTCs from microinverter units sold each quarter and provide Supplier with a schedule setting forth the calculation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9"/>
          <w:szCs w:val="19"/>
          <w:color w:val="auto"/>
        </w:rPr>
        <w:t xml:space="preserve"> (quarters end on the last day of March, June, September, and December of each year). After the end of each applicable calendar year, Enphase shall inform Supplier of the estimated full previous year’s unit numbers (“Annual estimate”) by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9"/>
          <w:szCs w:val="19"/>
          <w:color w:val="auto"/>
        </w:rPr>
        <w:t>. Supplier shall have the right to review and comment on the Annual Estimate and Enphase shall use commercially reasonable efforts to cooperate with any information reasonably requested by Supplier to confirm the Annual Estimate. Within thirty (30) days after the filing of Enphase’s U.S. federal income tax return, Enphase shall provide Supplier with a schedule setting forth (i) the computation of the PTC amount claimed on Enphase’s tax return for the immediately preceding tax year, (ii) the aggregate amount of any PTC credit carry-forward, (iii) the amount of the Supplier PTC Payment and (iv) explanation of any variances between the PTC claimed on Enphase’s tax return and Annual Estimate (“Final Calculation”). The Parties shall cooperate in good faith to resolve any disputes with respect to the Final Calculation PTC and Enphase shall use commercially reasonable efforts to cooperate with any information reasonably requested by Supplier to confirm the Final Calculation. If there is a dispute regarding the PTC benefit, payments or Final Calculation, either Party may initiate negotiation proceedings by written notice to the other Party setting forth the particulars of the dispute. The Parties agree to meet in good faith to jointly define the scope and a method to remedy the dispute and shall also have the applicable senior management of Supplier and Enphase to meet and confer in a bona fide attempt to resolve the matter. If the dispute cannot be resolved within thirty (30) days of such negotiation process being initiated, either Party may submit the dispute to arbitration pursuant to Section 10.20 of the MSA. The Parties acknowledge and agree that the PTC amounts and rates are defined by the IRA s and applicable IRC sections, including available Treasury Regulations and relevant Internal Revenue Service (“IRS”) guidance that may be published, all of which are subject to change.</w:t>
      </w:r>
    </w:p>
    <w:p>
      <w:pPr>
        <w:sectPr>
          <w:pgSz w:w="11900" w:h="16838" w:orient="portrait"/>
          <w:cols w:equalWidth="0" w:num="1">
            <w:col w:w="9560"/>
          </w:cols>
          <w:pgMar w:left="960" w:top="1074" w:right="1379" w:bottom="1440" w:gutter="0" w:footer="0" w:header="0"/>
        </w:sectPr>
      </w:pPr>
    </w:p>
    <w:bookmarkStart w:id="178" w:name="page179"/>
    <w:bookmarkEnd w:id="178"/>
    <w:p>
      <w:pPr>
        <w:jc w:val="both"/>
        <w:ind w:left="320" w:hanging="317"/>
        <w:spacing w:after="0" w:line="280" w:lineRule="auto"/>
        <w:tabs>
          <w:tab w:leader="none" w:pos="319"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Customer shall remit the initial PTC Payment based on the Annual estimate to Salcomp no later than March 15th (2.5 months) after the end of the tax year. A true up will be performed to true up the initial PTC payment with Final Calculations. Customer shall provide Salcomp with the relevant portions, including schedules and workpapers, of its U.S. federal income tax return to support the Final Calculations.</w:t>
      </w:r>
    </w:p>
    <w:p>
      <w:pPr>
        <w:spacing w:after="0" w:line="68" w:lineRule="exact"/>
        <w:rPr>
          <w:rFonts w:ascii="Times New Roman" w:cs="Times New Roman" w:eastAsia="Times New Roman" w:hAnsi="Times New Roman"/>
          <w:sz w:val="19"/>
          <w:szCs w:val="19"/>
          <w:color w:val="auto"/>
        </w:rPr>
      </w:pPr>
    </w:p>
    <w:p>
      <w:pPr>
        <w:ind w:left="320" w:hanging="317"/>
        <w:spacing w:after="0" w:line="309" w:lineRule="auto"/>
        <w:tabs>
          <w:tab w:leader="none" w:pos="308"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that Enphase determines that the Tax incentives under the IRA are not available with respect to the manufacturing services performed under this Agreement, Enphase may at its option either: (i)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9"/>
          <w:szCs w:val="19"/>
          <w:color w:val="auto"/>
        </w:rPr>
        <w:t xml:space="preserve">; or (ii)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9"/>
          <w:szCs w:val="19"/>
          <w:color w:val="auto"/>
        </w:rPr>
        <w:t>.</w:t>
      </w:r>
    </w:p>
    <w:p>
      <w:pPr>
        <w:spacing w:after="0" w:line="40" w:lineRule="exact"/>
        <w:rPr>
          <w:rFonts w:ascii="Times New Roman" w:cs="Times New Roman" w:eastAsia="Times New Roman" w:hAnsi="Times New Roman"/>
          <w:sz w:val="19"/>
          <w:szCs w:val="19"/>
          <w:color w:val="auto"/>
        </w:rPr>
      </w:pPr>
    </w:p>
    <w:p>
      <w:pPr>
        <w:jc w:val="both"/>
        <w:ind w:left="320" w:hanging="317"/>
        <w:spacing w:after="0" w:line="279" w:lineRule="auto"/>
        <w:tabs>
          <w:tab w:leader="none" w:pos="307"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based upon guidance from the US Department of Treasury or other regulatory body with respect to the IRA, it is determined that the tax incentives under the IRA would require a different transaction structure for the manufacturing of Products than that which is contemplated under this Agreement, the Parties shall work together in good faith to amend this Agreement to find an alternate structure for the manufacturing of Products that would qualify for such tax incentives.</w:t>
      </w:r>
    </w:p>
    <w:p>
      <w:pPr>
        <w:spacing w:after="0" w:line="54" w:lineRule="exact"/>
        <w:rPr>
          <w:rFonts w:ascii="Times New Roman" w:cs="Times New Roman" w:eastAsia="Times New Roman" w:hAnsi="Times New Roman"/>
          <w:sz w:val="19"/>
          <w:szCs w:val="19"/>
          <w:color w:val="auto"/>
        </w:rPr>
      </w:pPr>
    </w:p>
    <w:p>
      <w:pPr>
        <w:jc w:val="both"/>
        <w:ind w:firstLine="808"/>
        <w:spacing w:after="0" w:line="278" w:lineRule="auto"/>
        <w:tabs>
          <w:tab w:leader="none" w:pos="1318" w:val="left"/>
        </w:tabs>
        <w:numPr>
          <w:ilvl w:val="2"/>
          <w:numId w:val="106"/>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All costs and fees will be evaluated quarterly during the QBR. The Parties shall agree to such costs, including but not limited to any BOM costs for a subsequent quarter during the aforementioned review. Any changes and timing of changes shall be agreed by the Parties, such agreement not to be unreasonably withheld or delayed. By way of example only, the fees may be increased if the market price of fuels, Materials, equipment, labor and other production costs, increase beyond normal variations in pricing or currency exchange rates as demonstrated by Supplier, to the satisfaction of Enphase.</w:t>
      </w:r>
    </w:p>
    <w:p>
      <w:pPr>
        <w:spacing w:after="0" w:line="68" w:lineRule="exact"/>
        <w:rPr>
          <w:rFonts w:ascii="Times New Roman" w:cs="Times New Roman" w:eastAsia="Times New Roman" w:hAnsi="Times New Roman"/>
          <w:sz w:val="19"/>
          <w:szCs w:val="19"/>
          <w:color w:val="111111"/>
        </w:rPr>
      </w:pPr>
    </w:p>
    <w:p>
      <w:pPr>
        <w:jc w:val="both"/>
        <w:ind w:firstLine="808"/>
        <w:spacing w:after="0" w:line="274" w:lineRule="auto"/>
        <w:tabs>
          <w:tab w:leader="none" w:pos="1227" w:val="left"/>
        </w:tabs>
        <w:numPr>
          <w:ilvl w:val="2"/>
          <w:numId w:val="106"/>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 xml:space="preserve">Undisputed invoices will be paid by the Customer </w:t>
      </w:r>
      <w:r>
        <w:rPr>
          <w:rFonts w:ascii="Times New Roman" w:cs="Times New Roman" w:eastAsia="Times New Roman" w:hAnsi="Times New Roman"/>
          <w:sz w:val="19"/>
          <w:szCs w:val="19"/>
          <w:color w:val="000000"/>
        </w:rPr>
        <w:t>within forty five (45)</w:t>
      </w:r>
      <w:r>
        <w:rPr>
          <w:rFonts w:ascii="Times New Roman" w:cs="Times New Roman" w:eastAsia="Times New Roman" w:hAnsi="Times New Roman"/>
          <w:sz w:val="19"/>
          <w:szCs w:val="19"/>
          <w:color w:val="111111"/>
        </w:rPr>
        <w:t xml:space="preserve"> days from the later of (i) receipt of such invoice, or (ii) date of receipt by Enphase of the shipment made by the Supplier of Products under a relevant purchase order.</w:t>
      </w:r>
    </w:p>
    <w:p>
      <w:pPr>
        <w:spacing w:after="0" w:line="1" w:lineRule="exact"/>
        <w:rPr>
          <w:rFonts w:ascii="Times New Roman" w:cs="Times New Roman" w:eastAsia="Times New Roman" w:hAnsi="Times New Roman"/>
          <w:sz w:val="19"/>
          <w:szCs w:val="19"/>
          <w:color w:val="111111"/>
        </w:rPr>
      </w:pPr>
    </w:p>
    <w:p>
      <w:pPr>
        <w:jc w:val="both"/>
        <w:ind w:firstLine="632"/>
        <w:spacing w:after="0" w:line="223" w:lineRule="auto"/>
        <w:tabs>
          <w:tab w:leader="none" w:pos="1099" w:val="left"/>
        </w:tabs>
        <w:numPr>
          <w:ilvl w:val="1"/>
          <w:numId w:val="106"/>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 xml:space="preserve">If Enphase disputes any invoiced amount Enphase will notify Supplier of the dispute within </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9"/>
          <w:szCs w:val="19"/>
          <w:color w:val="111111"/>
        </w:rPr>
        <w:t xml:space="preserve"> of invoice receipt and the Parties will promptly review the dispute and negotiate in good faith to reach resolution on the amount properly due. Once resolution has been reached, Enphase will pay the previously disputed amount </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9"/>
          <w:szCs w:val="19"/>
          <w:color w:val="111111"/>
        </w:rPr>
        <w:t xml:space="preserve"> of confirming such resolution (and such confirmation will not be delayed or withheld unreasonably).</w:t>
      </w:r>
    </w:p>
    <w:p>
      <w:pPr>
        <w:spacing w:after="0" w:line="194"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9"/>
          <w:szCs w:val="19"/>
          <w:b w:val="1"/>
          <w:bCs w:val="1"/>
          <w:color w:val="111111"/>
        </w:rPr>
        <w:t>4.</w:t>
        <w:tab/>
        <w:t>MATERIALS PROCUREMENT; ENPHASE’S RESPONSIBILITY FOR MATERIALS</w:t>
      </w:r>
    </w:p>
    <w:p>
      <w:pPr>
        <w:spacing w:after="0" w:line="122" w:lineRule="exact"/>
        <w:rPr>
          <w:sz w:val="20"/>
          <w:szCs w:val="20"/>
          <w:color w:val="auto"/>
        </w:rPr>
      </w:pPr>
    </w:p>
    <w:p>
      <w:pPr>
        <w:jc w:val="both"/>
        <w:ind w:firstLine="942"/>
        <w:spacing w:after="0" w:line="275"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b w:val="1"/>
          <w:bCs w:val="1"/>
          <w:u w:val="single" w:color="auto"/>
          <w:color w:val="auto"/>
        </w:rPr>
        <w:t>Authorization to Procure Materials, Inventory and Special Inventory.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Enphase's purchase orders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and forecast will constitute authorization for Supplier to procure: (a) Inventory to manufacture the Products covered by such purchase orders based on the Lead Time and (b) certain Special Inventory based on Enphase's purchase orders and forecast as follows: Long Lead-Time Materials as required based on the Lead Time when such purchase orders are placed and Minimum Order Inventory as required by the third party supplier. Supplier will only purchase Economic Order Inventory with the prior approval of Enphase. Supplier will provide to Enphase each quarter a list of all Long Lead Time Materials (greater than 8 weeks) and the total quantity on order for each long lead time part.</w:t>
      </w:r>
    </w:p>
    <w:p>
      <w:pPr>
        <w:spacing w:after="0" w:line="70" w:lineRule="exact"/>
        <w:rPr>
          <w:sz w:val="20"/>
          <w:szCs w:val="20"/>
          <w:color w:val="auto"/>
        </w:rPr>
      </w:pPr>
    </w:p>
    <w:p>
      <w:pPr>
        <w:jc w:val="both"/>
        <w:ind w:firstLine="935"/>
        <w:spacing w:after="0" w:line="276"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b w:val="1"/>
          <w:bCs w:val="1"/>
          <w:u w:val="single" w:color="auto"/>
          <w:color w:val="auto"/>
        </w:rPr>
        <w:t>Preferred Supplier.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Enphase shall provide to Supplier and maintain an Approved Vendor List (or AVL).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Supplier shall purchase from vendors on a current AVL the Materials required to manufacture the Product. Enphase shall give Supplier an opportunity to be included on AVL's for Materials that Supplier can supply, and if Supplier is competitive with other approved vendors as determined by Enphase, Supplier shall be included on such AVL's. If Enphase determines that the Supplier is on an AVL and its prices and quality are competitive with other vendors, Enphase will raise no objection to Supplier sourcing Materials from itself. Notwithstanding anything else contained in the Agreement, unless otherwise agreed by Enphase in writing, the Supplier shall be bound to: (i) follow any Enphase approved splits to an AVL; and (ii) to the extent applicable and instructed by Enphase, purchase Materials only from those vendors listed in a current AVL. For the purposes of this Section 4.2 only, the term</w:t>
      </w:r>
    </w:p>
    <w:p>
      <w:pPr>
        <w:sectPr>
          <w:pgSz w:w="11900" w:h="16838" w:orient="portrait"/>
          <w:cols w:equalWidth="0" w:num="1">
            <w:col w:w="9480"/>
          </w:cols>
          <w:pgMar w:left="1040" w:top="1074" w:right="1379" w:bottom="1440" w:gutter="0" w:footer="0" w:header="0"/>
        </w:sectPr>
      </w:pPr>
    </w:p>
    <w:bookmarkStart w:id="179" w:name="page180"/>
    <w:bookmarkEnd w:id="179"/>
    <w:p>
      <w:pPr>
        <w:jc w:val="both"/>
        <w:spacing w:after="0" w:line="291" w:lineRule="auto"/>
        <w:rPr>
          <w:sz w:val="20"/>
          <w:szCs w:val="20"/>
          <w:color w:val="auto"/>
        </w:rPr>
      </w:pPr>
      <w:r>
        <w:rPr>
          <w:rFonts w:ascii="Times New Roman" w:cs="Times New Roman" w:eastAsia="Times New Roman" w:hAnsi="Times New Roman"/>
          <w:sz w:val="19"/>
          <w:szCs w:val="19"/>
          <w:color w:val="0D0D0D"/>
        </w:rPr>
        <w:t>"Supplier" includes any companies affiliated with Supplier including the Supplier’s subsidiaries. For Supplier sourced material, Supplier must either: (i) provide a reasonable annual cost reduction based upon comparison to similar commodities; or (ii) provide proof of competitive bidding on the Supplier sourced parts on an annual basis.</w:t>
      </w:r>
    </w:p>
    <w:p>
      <w:pPr>
        <w:spacing w:after="0" w:line="43" w:lineRule="exact"/>
        <w:rPr>
          <w:sz w:val="20"/>
          <w:szCs w:val="20"/>
          <w:color w:val="auto"/>
        </w:rPr>
      </w:pPr>
    </w:p>
    <w:p>
      <w:pPr>
        <w:jc w:val="both"/>
        <w:ind w:firstLine="940"/>
        <w:spacing w:after="0" w:line="275"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b w:val="1"/>
          <w:bCs w:val="1"/>
          <w:u w:val="single" w:color="auto"/>
          <w:color w:val="auto"/>
        </w:rPr>
        <w:t>Enphase Responsibility for Inventory and Special Inventory.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Enphase is responsible under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conditions provided in this Agreement for all Materials, Inventory and Special Inventory purchased by Supplier under this Section 4, to the extent that such Materials, Inventory and Special Inventory have been purchased: (i) at Enphase’s request; or (ii) solely for performing the Work. Notwithstanding the foregoing, the Supplier shall implement industry standard practices, for the storage and safety of such Materials, Inventory or Special Inventory. The Supplier shall maintain the minimum quantities of Materials, Inventory and Special Inventory as outlined in Exhibit F to this Agreement, in order to ensure timely fulfilment of purchase orders issued by Enphase.</w:t>
      </w:r>
    </w:p>
    <w:p>
      <w:pPr>
        <w:spacing w:after="0" w:line="57" w:lineRule="exact"/>
        <w:rPr>
          <w:sz w:val="20"/>
          <w:szCs w:val="20"/>
          <w:color w:val="auto"/>
        </w:rPr>
      </w:pPr>
    </w:p>
    <w:p>
      <w:pPr>
        <w:jc w:val="both"/>
        <w:ind w:firstLine="935"/>
        <w:spacing w:after="0" w:line="275"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b w:val="1"/>
          <w:bCs w:val="1"/>
          <w:u w:val="single" w:color="auto"/>
          <w:color w:val="auto"/>
        </w:rPr>
        <w:t>Materials Warranties.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Supplier shall use its best efforts to obtain and pass through to Enphase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 xml:space="preserve">following warranties with regard to the Materials (other than the Enphase Controlled Materials) for a period of at least </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9"/>
          <w:szCs w:val="19"/>
          <w:color w:val="0D0D0D"/>
        </w:rPr>
        <w:t>:</w:t>
      </w:r>
    </w:p>
    <w:p>
      <w:pPr>
        <w:spacing w:after="0" w:line="2" w:lineRule="exact"/>
        <w:rPr>
          <w:sz w:val="20"/>
          <w:szCs w:val="20"/>
          <w:color w:val="auto"/>
        </w:rPr>
      </w:pPr>
    </w:p>
    <w:p>
      <w:pPr>
        <w:jc w:val="both"/>
        <w:ind w:firstLine="2"/>
        <w:spacing w:after="0" w:line="270" w:lineRule="auto"/>
        <w:tabs>
          <w:tab w:leader="none" w:pos="173" w:val="left"/>
        </w:tabs>
        <w:numPr>
          <w:ilvl w:val="0"/>
          <w:numId w:val="107"/>
        </w:numPr>
        <w:rPr>
          <w:rFonts w:ascii="Times New Roman" w:cs="Times New Roman" w:eastAsia="Times New Roman" w:hAnsi="Times New Roman"/>
          <w:sz w:val="19"/>
          <w:szCs w:val="19"/>
          <w:color w:val="0D0D0D"/>
        </w:rPr>
      </w:pPr>
      <w:r>
        <w:rPr>
          <w:rFonts w:ascii="Times New Roman" w:cs="Times New Roman" w:eastAsia="Times New Roman" w:hAnsi="Times New Roman"/>
          <w:sz w:val="19"/>
          <w:szCs w:val="19"/>
          <w:color w:val="0D0D0D"/>
        </w:rPr>
        <w:t xml:space="preserve">conformance of the Materials with the vendor's specifications and with the Specifications; (ii) that the Materials will be free from defects in workmanship; (iii) that the Materials will comply with Environmental Regulations and all applicable Laws; and (iv) that the Materials will not infringe the intellectual property rights of third-parties. Supplier shall promptly </w:t>
      </w:r>
      <w:r>
        <w:rPr>
          <w:rFonts w:ascii="Times New Roman" w:cs="Times New Roman" w:eastAsia="Times New Roman" w:hAnsi="Times New Roman"/>
          <w:sz w:val="19"/>
          <w:szCs w:val="19"/>
          <w:color w:val="212121"/>
        </w:rPr>
        <w:t xml:space="preserve">inform </w:t>
      </w:r>
      <w:r>
        <w:rPr>
          <w:rFonts w:ascii="Times New Roman" w:cs="Times New Roman" w:eastAsia="Times New Roman" w:hAnsi="Times New Roman"/>
          <w:sz w:val="19"/>
          <w:szCs w:val="19"/>
          <w:color w:val="0D0D0D"/>
        </w:rPr>
        <w:t>Enphase if it</w:t>
      </w:r>
      <w:r>
        <w:rPr>
          <w:rFonts w:ascii="Times New Roman" w:cs="Times New Roman" w:eastAsia="Times New Roman" w:hAnsi="Times New Roman"/>
          <w:sz w:val="19"/>
          <w:szCs w:val="19"/>
          <w:color w:val="212121"/>
        </w:rPr>
        <w:t xml:space="preserve"> is </w:t>
      </w:r>
      <w:r>
        <w:rPr>
          <w:rFonts w:ascii="Times New Roman" w:cs="Times New Roman" w:eastAsia="Times New Roman" w:hAnsi="Times New Roman"/>
          <w:sz w:val="19"/>
          <w:szCs w:val="19"/>
          <w:color w:val="0D0D0D"/>
        </w:rPr>
        <w:t>not able to obtain and pass through the foregoing warranties with regard to any Materials.</w:t>
      </w:r>
    </w:p>
    <w:p>
      <w:pPr>
        <w:ind w:left="360" w:hanging="309"/>
        <w:spacing w:after="0"/>
        <w:tabs>
          <w:tab w:leader="none" w:pos="360" w:val="left"/>
        </w:tabs>
        <w:numPr>
          <w:ilvl w:val="1"/>
          <w:numId w:val="107"/>
        </w:numPr>
        <w:rPr>
          <w:rFonts w:ascii="Times New Roman" w:cs="Times New Roman" w:eastAsia="Times New Roman" w:hAnsi="Times New Roman"/>
          <w:sz w:val="19"/>
          <w:szCs w:val="19"/>
          <w:b w:val="1"/>
          <w:bCs w:val="1"/>
          <w:color w:val="111111"/>
        </w:rPr>
      </w:pPr>
      <w:r>
        <w:rPr>
          <w:rFonts w:ascii="Times New Roman" w:cs="Times New Roman" w:eastAsia="Times New Roman" w:hAnsi="Times New Roman"/>
          <w:sz w:val="19"/>
          <w:szCs w:val="19"/>
          <w:b w:val="1"/>
          <w:bCs w:val="1"/>
          <w:color w:val="0D0D0D"/>
        </w:rPr>
        <w:t>SHIPMENTS, SCHEDULE CHANGE, CANCELLATION, STORAGE</w:t>
      </w:r>
    </w:p>
    <w:p>
      <w:pPr>
        <w:spacing w:after="0" w:line="79" w:lineRule="exact"/>
        <w:rPr>
          <w:sz w:val="20"/>
          <w:szCs w:val="20"/>
          <w:color w:val="auto"/>
        </w:rPr>
      </w:pPr>
    </w:p>
    <w:p>
      <w:pPr>
        <w:jc w:val="both"/>
        <w:ind w:firstLine="944"/>
        <w:spacing w:after="0" w:line="273" w:lineRule="auto"/>
        <w:rPr>
          <w:sz w:val="20"/>
          <w:szCs w:val="20"/>
          <w:color w:val="auto"/>
        </w:rPr>
      </w:pPr>
      <w:r>
        <w:rPr>
          <w:rFonts w:ascii="Times New Roman" w:cs="Times New Roman" w:eastAsia="Times New Roman" w:hAnsi="Times New Roman"/>
          <w:sz w:val="19"/>
          <w:szCs w:val="19"/>
          <w:color w:val="auto"/>
        </w:rPr>
        <w:t xml:space="preserve">5.1. </w:t>
      </w:r>
      <w:r>
        <w:rPr>
          <w:rFonts w:ascii="Times New Roman" w:cs="Times New Roman" w:eastAsia="Times New Roman" w:hAnsi="Times New Roman"/>
          <w:sz w:val="19"/>
          <w:szCs w:val="19"/>
          <w:b w:val="1"/>
          <w:bCs w:val="1"/>
          <w:u w:val="single" w:color="auto"/>
          <w:color w:val="auto"/>
        </w:rPr>
        <w:t>Shipments.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All Products delivered pursuant to the terms of this Agreement shall be suitably packed for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shipment in accordance with the Specifications (</w:t>
      </w:r>
      <w:r>
        <w:rPr>
          <w:rFonts w:ascii="Times New Roman" w:cs="Times New Roman" w:eastAsia="Times New Roman" w:hAnsi="Times New Roman"/>
          <w:sz w:val="19"/>
          <w:szCs w:val="19"/>
          <w:color w:val="000000"/>
        </w:rPr>
        <w:t>in a manner that is (i) in accordance with international export packaging</w:t>
      </w:r>
      <w:r>
        <w:rPr>
          <w:rFonts w:ascii="Times New Roman" w:cs="Times New Roman" w:eastAsia="Times New Roman" w:hAnsi="Times New Roman"/>
          <w:sz w:val="19"/>
          <w:szCs w:val="19"/>
          <w:color w:val="0D0D0D"/>
        </w:rPr>
        <w:t xml:space="preserve"> </w:t>
      </w:r>
      <w:r>
        <w:rPr>
          <w:rFonts w:ascii="Times New Roman" w:cs="Times New Roman" w:eastAsia="Times New Roman" w:hAnsi="Times New Roman"/>
          <w:sz w:val="19"/>
          <w:szCs w:val="19"/>
          <w:color w:val="000000"/>
        </w:rPr>
        <w:t xml:space="preserve">based on the mode of shipment and good commercial practice, (ii) is acceptable to common carriers for shipment, and (iii) adequate to ensure undamaged arrival at the destination set forth in the applicable Purchase Order) </w:t>
      </w:r>
      <w:r>
        <w:rPr>
          <w:rFonts w:ascii="Times New Roman" w:cs="Times New Roman" w:eastAsia="Times New Roman" w:hAnsi="Times New Roman"/>
          <w:sz w:val="19"/>
          <w:szCs w:val="19"/>
          <w:color w:val="0D0D0D"/>
        </w:rPr>
        <w:t>and marked for</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D0D0D"/>
        </w:rPr>
        <w:t xml:space="preserve">shipment to Enphase's destination specified in the applicable purchase order. Shipments will be made DDP + </w:t>
      </w:r>
      <w:r>
        <w:rPr>
          <w:rFonts w:ascii="Times New Roman" w:cs="Times New Roman" w:eastAsia="Times New Roman" w:hAnsi="Times New Roman"/>
          <w:sz w:val="19"/>
          <w:szCs w:val="19"/>
          <w:color w:val="000000"/>
        </w:rPr>
        <w:t>45</w:t>
      </w:r>
      <w:r>
        <w:rPr>
          <w:rFonts w:ascii="Times New Roman" w:cs="Times New Roman" w:eastAsia="Times New Roman" w:hAnsi="Times New Roman"/>
          <w:sz w:val="19"/>
          <w:szCs w:val="19"/>
          <w:color w:val="0D0D0D"/>
        </w:rPr>
        <w:t xml:space="preserve"> days (lncoterms 2000) by the Supplier and will be received by Enphase at locations specified by Enphase in the purchase order, at which time risk of loss and title will pass to Enphase. The Supplier and Enphase shall mutually agree on the cost of such shipments during the QBR. The costs for shipments as a result of any new Products or additional Work requested by Enphase, shall be mutually agreed to between the Parties, as and when applicable. </w:t>
      </w:r>
      <w:r>
        <w:rPr>
          <w:rFonts w:ascii="Times New Roman" w:cs="Times New Roman" w:eastAsia="Times New Roman" w:hAnsi="Times New Roman"/>
          <w:sz w:val="19"/>
          <w:szCs w:val="19"/>
          <w:color w:val="000000"/>
        </w:rPr>
        <w:t>Supplier will notify Enphase of all</w:t>
      </w:r>
      <w:r>
        <w:rPr>
          <w:rFonts w:ascii="Times New Roman" w:cs="Times New Roman" w:eastAsia="Times New Roman" w:hAnsi="Times New Roman"/>
          <w:sz w:val="19"/>
          <w:szCs w:val="19"/>
          <w:color w:val="0D0D0D"/>
        </w:rPr>
        <w:t xml:space="preserve"> </w:t>
      </w:r>
      <w:r>
        <w:rPr>
          <w:rFonts w:ascii="Times New Roman" w:cs="Times New Roman" w:eastAsia="Times New Roman" w:hAnsi="Times New Roman"/>
          <w:sz w:val="19"/>
          <w:szCs w:val="19"/>
          <w:color w:val="000000"/>
        </w:rPr>
        <w:t>shipment information within twenty-four (24) hours of pick-up by the applicable carrier and all deliveries will be made to Enphase during normal business hours, as applicable.</w:t>
      </w:r>
    </w:p>
    <w:p>
      <w:pPr>
        <w:spacing w:after="0" w:line="7" w:lineRule="exact"/>
        <w:rPr>
          <w:sz w:val="20"/>
          <w:szCs w:val="20"/>
          <w:color w:val="auto"/>
        </w:rPr>
      </w:pPr>
    </w:p>
    <w:p>
      <w:pPr>
        <w:ind w:left="940"/>
        <w:spacing w:after="0"/>
        <w:tabs>
          <w:tab w:leader="none" w:pos="1400" w:val="left"/>
        </w:tabs>
        <w:rPr>
          <w:sz w:val="20"/>
          <w:szCs w:val="20"/>
          <w:color w:val="auto"/>
        </w:rPr>
      </w:pPr>
      <w:r>
        <w:rPr>
          <w:rFonts w:ascii="Times New Roman" w:cs="Times New Roman" w:eastAsia="Times New Roman" w:hAnsi="Times New Roman"/>
          <w:sz w:val="19"/>
          <w:szCs w:val="19"/>
          <w:color w:val="auto"/>
        </w:rPr>
        <w:t>5.2.</w:t>
      </w:r>
      <w:r>
        <w:rPr>
          <w:sz w:val="20"/>
          <w:szCs w:val="20"/>
          <w:color w:val="auto"/>
        </w:rPr>
        <w:tab/>
      </w:r>
      <w:r>
        <w:rPr>
          <w:rFonts w:ascii="Times New Roman" w:cs="Times New Roman" w:eastAsia="Times New Roman" w:hAnsi="Times New Roman"/>
          <w:sz w:val="19"/>
          <w:szCs w:val="19"/>
          <w:b w:val="1"/>
          <w:bCs w:val="1"/>
          <w:u w:val="single" w:color="auto"/>
          <w:color w:val="auto"/>
        </w:rPr>
        <w:t>Quantity Increases and Shipment Schedule Changes.</w:t>
      </w:r>
    </w:p>
    <w:p>
      <w:pPr>
        <w:spacing w:after="0" w:line="151" w:lineRule="exact"/>
        <w:rPr>
          <w:sz w:val="20"/>
          <w:szCs w:val="20"/>
          <w:color w:val="auto"/>
        </w:rPr>
      </w:pPr>
    </w:p>
    <w:p>
      <w:pPr>
        <w:jc w:val="both"/>
        <w:ind w:right="20" w:firstLine="630"/>
        <w:spacing w:after="0" w:line="284" w:lineRule="auto"/>
        <w:tabs>
          <w:tab w:leader="none" w:pos="1169" w:val="left"/>
        </w:tabs>
        <w:numPr>
          <w:ilvl w:val="0"/>
          <w:numId w:val="108"/>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Supplier will use reasonable commercial efforts to meet any quantity increases as requested by Enphase at no additional cost to Enphase apart from the applicable fees, provided that such quantity increases are subject to availability of Materials.</w:t>
      </w:r>
    </w:p>
    <w:p>
      <w:pPr>
        <w:spacing w:after="0" w:line="63" w:lineRule="exact"/>
        <w:rPr>
          <w:rFonts w:ascii="Times New Roman" w:cs="Times New Roman" w:eastAsia="Times New Roman" w:hAnsi="Times New Roman"/>
          <w:sz w:val="19"/>
          <w:szCs w:val="19"/>
          <w:color w:val="111111"/>
        </w:rPr>
      </w:pPr>
    </w:p>
    <w:p>
      <w:pPr>
        <w:ind w:right="20" w:firstLine="630"/>
        <w:spacing w:after="0" w:line="309" w:lineRule="auto"/>
        <w:tabs>
          <w:tab w:leader="none" w:pos="1166" w:val="left"/>
        </w:tabs>
        <w:numPr>
          <w:ilvl w:val="0"/>
          <w:numId w:val="108"/>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For purposes of calculating the amount of Inventory and Special Inventory subject to subsection (b), the "Lead Time" shall be calculated as the Lead Time at the time of procurement of the Inventory and Special Inventory.</w:t>
      </w:r>
    </w:p>
    <w:p>
      <w:pPr>
        <w:spacing w:after="0" w:line="39" w:lineRule="exact"/>
        <w:rPr>
          <w:sz w:val="20"/>
          <w:szCs w:val="20"/>
          <w:color w:val="auto"/>
        </w:rPr>
      </w:pPr>
    </w:p>
    <w:p>
      <w:pPr>
        <w:jc w:val="both"/>
        <w:ind w:firstLine="942"/>
        <w:spacing w:after="0" w:line="278" w:lineRule="auto"/>
        <w:rPr>
          <w:sz w:val="20"/>
          <w:szCs w:val="20"/>
          <w:color w:val="auto"/>
        </w:rPr>
      </w:pPr>
      <w:r>
        <w:rPr>
          <w:rFonts w:ascii="Times New Roman" w:cs="Times New Roman" w:eastAsia="Times New Roman" w:hAnsi="Times New Roman"/>
          <w:sz w:val="19"/>
          <w:szCs w:val="19"/>
          <w:color w:val="auto"/>
        </w:rPr>
        <w:t xml:space="preserve">5.3. </w:t>
      </w:r>
      <w:r>
        <w:rPr>
          <w:rFonts w:ascii="Times New Roman" w:cs="Times New Roman" w:eastAsia="Times New Roman" w:hAnsi="Times New Roman"/>
          <w:sz w:val="19"/>
          <w:szCs w:val="19"/>
          <w:b w:val="1"/>
          <w:bCs w:val="1"/>
          <w:u w:val="single" w:color="auto"/>
          <w:color w:val="auto"/>
        </w:rPr>
        <w:t>Mitigation of Inventory and Special Inventory.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Prior to invoicing Enphase for the amounts due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pursuant to Sections 5.1 or 5.2, Supplier will use its best efforts for a period of thirty (30) days, to return unused Inventory and Special Inventory and to cancel pending orders for such items, and to otherwise mitigate the amounts payable by Enphase. Enphase shall pay amounts due under this Section 5 within sixty (60) days of receipt of an invoice. Supplier will ship the Inventory and Special Inventory paid for by Enphase under this Section 5.3 to Enphase promptly upon said payment by Enphase. In the event</w:t>
      </w:r>
    </w:p>
    <w:p>
      <w:pPr>
        <w:sectPr>
          <w:pgSz w:w="11900" w:h="16838" w:orient="portrait"/>
          <w:cols w:equalWidth="0" w:num="1">
            <w:col w:w="9480"/>
          </w:cols>
          <w:pgMar w:left="1040" w:top="1179" w:right="1379" w:bottom="1440" w:gutter="0" w:footer="0" w:header="0"/>
        </w:sectPr>
      </w:pPr>
    </w:p>
    <w:bookmarkStart w:id="180" w:name="page181"/>
    <w:bookmarkEnd w:id="180"/>
    <w:p>
      <w:pPr>
        <w:jc w:val="both"/>
        <w:spacing w:after="0" w:line="282" w:lineRule="auto"/>
        <w:rPr>
          <w:sz w:val="20"/>
          <w:szCs w:val="20"/>
          <w:color w:val="auto"/>
        </w:rPr>
      </w:pPr>
      <w:r>
        <w:rPr>
          <w:rFonts w:ascii="Times New Roman" w:cs="Times New Roman" w:eastAsia="Times New Roman" w:hAnsi="Times New Roman"/>
          <w:sz w:val="19"/>
          <w:szCs w:val="19"/>
          <w:color w:val="111111"/>
        </w:rPr>
        <w:t>Enphase does not pay within sixty (60) days from the date of expiry of the aforementioned payment term, Supplier will be entitled to dispose of such Inventory and Special Inventory in a commercially reasonable manner and credit to Enphase any monies received from third-parties</w:t>
      </w:r>
      <w:r>
        <w:rPr>
          <w:rFonts w:ascii="Times New Roman" w:cs="Times New Roman" w:eastAsia="Times New Roman" w:hAnsi="Times New Roman"/>
          <w:sz w:val="19"/>
          <w:szCs w:val="19"/>
          <w:color w:val="383838"/>
        </w:rPr>
        <w:t>. The Supplier will make available to Enphase on a quarterly basis, a report</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383838"/>
        </w:rPr>
        <w:t>containing details of any excess or obsolete Inventory held by the Supplier. The Parties will mutually agree on a course of action to deal with such Inventory.</w:t>
      </w:r>
    </w:p>
    <w:p>
      <w:pPr>
        <w:spacing w:after="0" w:line="52" w:lineRule="exact"/>
        <w:rPr>
          <w:sz w:val="20"/>
          <w:szCs w:val="20"/>
          <w:color w:val="auto"/>
        </w:rPr>
      </w:pPr>
    </w:p>
    <w:p>
      <w:pPr>
        <w:jc w:val="both"/>
        <w:ind w:firstLine="942"/>
        <w:spacing w:after="0" w:line="276"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19"/>
          <w:szCs w:val="19"/>
          <w:b w:val="1"/>
          <w:bCs w:val="1"/>
          <w:u w:val="single" w:color="auto"/>
          <w:color w:val="auto"/>
        </w:rPr>
        <w:t>Delivery performance.</w:t>
      </w:r>
      <w:r>
        <w:rPr>
          <w:rFonts w:ascii="Times New Roman" w:cs="Times New Roman" w:eastAsia="Times New Roman" w:hAnsi="Times New Roman"/>
          <w:sz w:val="19"/>
          <w:szCs w:val="19"/>
          <w:color w:val="auto"/>
        </w:rPr>
        <w:t xml:space="preserve"> Time is of the essence in Supplier’s performance under this Agreement. </w:t>
      </w:r>
      <w:r>
        <w:rPr>
          <w:rFonts w:ascii="Times New Roman" w:cs="Times New Roman" w:eastAsia="Times New Roman" w:hAnsi="Times New Roman"/>
          <w:sz w:val="19"/>
          <w:szCs w:val="19"/>
          <w:color w:val="111111"/>
        </w:rPr>
        <w:t>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 xml:space="preserve">time delivery shall be measured and reported to Enphase on a monthly basis. Orders shall be considered on time if they are shipped </w:t>
      </w:r>
      <w:r>
        <w:rPr>
          <w:rFonts w:ascii="Times New Roman" w:cs="Times New Roman" w:eastAsia="Times New Roman" w:hAnsi="Times New Roman"/>
          <w:sz w:val="19"/>
          <w:szCs w:val="19"/>
          <w:color w:val="000000"/>
        </w:rPr>
        <w:t>between (i) one (1) week before the shipment date set forth in the accepted Purchase Order; and (ii) on the</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00000"/>
        </w:rPr>
        <w:t>shipment date set forth in the Purchase Order</w:t>
      </w:r>
      <w:r>
        <w:rPr>
          <w:rFonts w:ascii="Times New Roman" w:cs="Times New Roman" w:eastAsia="Times New Roman" w:hAnsi="Times New Roman"/>
          <w:sz w:val="19"/>
          <w:szCs w:val="19"/>
          <w:color w:val="111111"/>
        </w:rPr>
        <w:t>. If Supplier cannot meet the on-time delivery requirement for any order due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111111"/>
        </w:rPr>
        <w:t>to Supplier's failure to make a timely shipment, then Supplier will ship that Order at Supplier’s' own expense via air transportation or other expedient means acceptable to Enphase, at the earliest, to minimize the delay in delivery. Notwithstanding anything else contained in this Agreement, if a shipment of Products is delayed by more than thirty (30) days Enphase shall have the right to terminate this Agreement with no further liability to the Supplier except for payments to be made for shipments already delivered.</w:t>
      </w:r>
    </w:p>
    <w:p>
      <w:pPr>
        <w:spacing w:after="0" w:line="178"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9"/>
          <w:szCs w:val="19"/>
          <w:b w:val="1"/>
          <w:bCs w:val="1"/>
          <w:color w:val="111111"/>
        </w:rPr>
        <w:t>6.</w:t>
        <w:tab/>
        <w:t>PRODUCT ACCEPTANCE AND EXPRESS LIMITED WARRANTY</w:t>
      </w:r>
    </w:p>
    <w:p>
      <w:pPr>
        <w:spacing w:after="0" w:line="149" w:lineRule="exact"/>
        <w:rPr>
          <w:sz w:val="20"/>
          <w:szCs w:val="20"/>
          <w:color w:val="auto"/>
        </w:rPr>
      </w:pPr>
    </w:p>
    <w:p>
      <w:pPr>
        <w:jc w:val="both"/>
        <w:ind w:firstLine="938"/>
        <w:spacing w:after="0" w:line="274"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b w:val="1"/>
          <w:bCs w:val="1"/>
          <w:u w:val="single" w:color="auto"/>
          <w:color w:val="auto"/>
        </w:rPr>
        <w:t>Product Acceptance.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The Products delivered by Supplier will be accepted upon delivery provided that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they meet the criteria, in accordance with section 5.1 of this Agreement. If Products do not comply with the terms of the PO or the express limited warranty set forth in Section 6.2 below, Enphase has the right to reject such Products during said period. Products not rejected during said period will be deemed accepted. Enphase may return defective Products, freight collect, after obtaining a return material authorization number from Supplier to be displayed on the shipping container and completing a failure report. Rejected Products will be promptly repaired or replaced, at Enphase's option, and returned freight pre-paid, at the Supplier’s expense. In the event Enphase chooses not to accept a repaired or replacement Product, then Supplier will refund the price paid by Enphase for such Product, net fifteen (15) days from Enphase’s written request for refund.</w:t>
      </w:r>
    </w:p>
    <w:p>
      <w:pPr>
        <w:spacing w:after="0" w:line="76" w:lineRule="exact"/>
        <w:rPr>
          <w:sz w:val="20"/>
          <w:szCs w:val="20"/>
          <w:color w:val="auto"/>
        </w:rPr>
      </w:pPr>
    </w:p>
    <w:p>
      <w:pPr>
        <w:jc w:val="both"/>
        <w:ind w:firstLine="944"/>
        <w:spacing w:after="0" w:line="311"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b w:val="1"/>
          <w:bCs w:val="1"/>
          <w:u w:val="single" w:color="auto"/>
          <w:color w:val="auto"/>
        </w:rPr>
        <w:t>Express Warranty.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This Section 6.2 sets forth the Supplier's Product warranty and Enphase's remedies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with respect to a breach by Supplier of such Product warranty.</w:t>
      </w:r>
    </w:p>
    <w:p>
      <w:pPr>
        <w:spacing w:after="0" w:line="39" w:lineRule="exact"/>
        <w:rPr>
          <w:sz w:val="20"/>
          <w:szCs w:val="20"/>
          <w:color w:val="auto"/>
        </w:rPr>
      </w:pPr>
    </w:p>
    <w:p>
      <w:pPr>
        <w:jc w:val="both"/>
        <w:ind w:firstLine="632"/>
        <w:spacing w:after="0" w:line="279" w:lineRule="auto"/>
        <w:tabs>
          <w:tab w:leader="none" w:pos="1171" w:val="left"/>
        </w:tabs>
        <w:numPr>
          <w:ilvl w:val="0"/>
          <w:numId w:val="109"/>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 xml:space="preserve">Supplier warrants that the Products will have been manufactured in accordance with the applicable Specifications and will be free from defects in materials and workmanship for a period of </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9"/>
          <w:szCs w:val="19"/>
          <w:color w:val="111111"/>
        </w:rPr>
        <w:t xml:space="preserve"> from the date of delivery of the Product. In addition, Supplier warrants that (A) Production Materials shall be used in compliance with Environmental Regulations, (B) Supplier will not manufacture Products using Materials from vendors that are not on the Approved Vendor List, unless otherwise agreed in writing by Enphase.</w:t>
      </w:r>
    </w:p>
    <w:p>
      <w:pPr>
        <w:spacing w:after="0" w:line="67" w:lineRule="exact"/>
        <w:rPr>
          <w:rFonts w:ascii="Times New Roman" w:cs="Times New Roman" w:eastAsia="Times New Roman" w:hAnsi="Times New Roman"/>
          <w:sz w:val="19"/>
          <w:szCs w:val="19"/>
          <w:color w:val="111111"/>
        </w:rPr>
      </w:pPr>
    </w:p>
    <w:p>
      <w:pPr>
        <w:jc w:val="both"/>
        <w:ind w:firstLine="634"/>
        <w:spacing w:after="0" w:line="284" w:lineRule="auto"/>
        <w:tabs>
          <w:tab w:leader="none" w:pos="1170" w:val="left"/>
        </w:tabs>
        <w:numPr>
          <w:ilvl w:val="0"/>
          <w:numId w:val="109"/>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0D0D0D"/>
        </w:rPr>
        <w:t>Upon any failure of a Product to comply with this express limited warranty, Supplier will, at Enphase’s option, either refund the amount paid for such Products by Enphase, or promptly repair or replace such unit and return it to Enphase freight prepaid.</w:t>
      </w:r>
    </w:p>
    <w:p>
      <w:pPr>
        <w:spacing w:after="0" w:line="62" w:lineRule="exact"/>
        <w:rPr>
          <w:sz w:val="20"/>
          <w:szCs w:val="20"/>
          <w:color w:val="auto"/>
        </w:rPr>
      </w:pPr>
    </w:p>
    <w:p>
      <w:pPr>
        <w:ind w:left="940"/>
        <w:spacing w:after="0"/>
        <w:tabs>
          <w:tab w:leader="none" w:pos="1440" w:val="left"/>
        </w:tabs>
        <w:rPr>
          <w:sz w:val="20"/>
          <w:szCs w:val="20"/>
          <w:color w:val="auto"/>
        </w:rPr>
      </w:pPr>
      <w:r>
        <w:rPr>
          <w:rFonts w:ascii="Times New Roman" w:cs="Times New Roman" w:eastAsia="Times New Roman" w:hAnsi="Times New Roman"/>
          <w:sz w:val="19"/>
          <w:szCs w:val="19"/>
          <w:color w:val="auto"/>
        </w:rPr>
        <w:t>6.3.</w:t>
      </w:r>
      <w:r>
        <w:rPr>
          <w:sz w:val="20"/>
          <w:szCs w:val="20"/>
          <w:color w:val="auto"/>
        </w:rPr>
        <w:tab/>
      </w:r>
      <w:r>
        <w:rPr>
          <w:rFonts w:ascii="Times New Roman" w:cs="Times New Roman" w:eastAsia="Times New Roman" w:hAnsi="Times New Roman"/>
          <w:sz w:val="19"/>
          <w:szCs w:val="19"/>
          <w:b w:val="1"/>
          <w:bCs w:val="1"/>
          <w:u w:val="single" w:color="auto"/>
          <w:color w:val="auto"/>
        </w:rPr>
        <w:t xml:space="preserve">General Warranties. </w:t>
      </w:r>
      <w:r>
        <w:rPr>
          <w:rFonts w:ascii="Times New Roman" w:cs="Times New Roman" w:eastAsia="Times New Roman" w:hAnsi="Times New Roman"/>
          <w:sz w:val="19"/>
          <w:szCs w:val="19"/>
          <w:color w:val="111111"/>
        </w:rPr>
        <w:t>As on the Effective Date of this Agreement, each Party represents and warrants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11111"/>
        </w:rPr>
        <w:t>that: (a) it is a corporation duly incorporated, validly existing and in good standing under the laws of the state or country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11111"/>
        </w:rPr>
        <w:t>which it was incorporated; (b) it has all necessary corporate power and authority to enter into this Agreement and that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11111"/>
        </w:rPr>
        <w:t>execution, delivery and the consummation of the transactions contemplated thereby have each been authorized by all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11111"/>
        </w:rPr>
        <w:t>necessary corporate action and do not violate any judgment, order, or decree; (c) the execution, delivery, performance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11111"/>
        </w:rPr>
        <w:t>consummation of the transactions contemplated by this Agreement do not and will not constitute a material default under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11111"/>
        </w:rPr>
        <w:t>any contract by which it or any of its material assets are bound; and (d) they will comply with the Enphase</w:t>
      </w:r>
    </w:p>
    <w:p>
      <w:pPr>
        <w:sectPr>
          <w:pgSz w:w="11900" w:h="16838" w:orient="portrait"/>
          <w:cols w:equalWidth="0" w:num="1">
            <w:col w:w="9480"/>
          </w:cols>
          <w:pgMar w:left="1040" w:top="1179" w:right="1379" w:bottom="1440" w:gutter="0" w:footer="0" w:header="0"/>
        </w:sectPr>
      </w:pPr>
    </w:p>
    <w:bookmarkStart w:id="181" w:name="page182"/>
    <w:bookmarkEnd w:id="181"/>
    <w:p>
      <w:pPr>
        <w:jc w:val="both"/>
        <w:spacing w:after="0" w:line="273" w:lineRule="auto"/>
        <w:rPr>
          <w:sz w:val="20"/>
          <w:szCs w:val="20"/>
          <w:color w:val="auto"/>
        </w:rPr>
      </w:pPr>
      <w:r>
        <w:rPr>
          <w:rFonts w:ascii="Times New Roman" w:cs="Times New Roman" w:eastAsia="Times New Roman" w:hAnsi="Times New Roman"/>
          <w:sz w:val="19"/>
          <w:szCs w:val="19"/>
          <w:color w:val="111111"/>
        </w:rPr>
        <w:t>Energy Supplier Code of Conduct, available at https://enphase.com/code-conduct, as may be updated from time to time. The Supplier further represents and warrants that: (i) it will comply with its obligations under Section 10.9 of this Agreement; (ii) all information provided by the Supplier in any proposal, offer or other document prior to execution of this Agreement in relation to the subject matter of this Agreement, to the best of Supplier’s knowledge, is true, accurate and complete; (iii) no claim, litigation, proceeding, arbitration, investigation, or material controversy is pending, has been threatened, or is contemplated which would have a material adverse effect on the Supplier’s ability to enter into the Agreement or perform the Work and/or manufacture, test or assemble the Products or fulfil any or all its obligations under this Agreement; (iv) it shall perform the Work with promptness, diligence and in a workmanlike and professional manner, in accordance with the terms of the Agreement and with the practices and professional standards used in well-managed operations performing services similar to the Work; (iv) it has the required personnel who are duly qualified, and are suitably trained, educated, experienced, and skilled to perform the Work and shall only deploy such trained, experienced and skilled personnel to provide the Work; (v) that it has obtained and will maintain for the term of this Agreement: (a) ISO 9001:2015 certification, (b) ISO 14001:2015 certification, and (c) ISO 45001:2018 certification, or the latest industry standard equivalent of these certifications, as applicable; and (vi) it is in compliance with, and will continue to be in compliance with all applicable Laws.</w:t>
      </w:r>
    </w:p>
    <w:p>
      <w:pPr>
        <w:spacing w:after="0" w:line="309" w:lineRule="exact"/>
        <w:rPr>
          <w:sz w:val="20"/>
          <w:szCs w:val="20"/>
          <w:color w:val="auto"/>
        </w:rPr>
      </w:pPr>
    </w:p>
    <w:p>
      <w:pPr>
        <w:ind w:left="360" w:hanging="309"/>
        <w:spacing w:after="0"/>
        <w:tabs>
          <w:tab w:leader="none" w:pos="360" w:val="left"/>
        </w:tabs>
        <w:numPr>
          <w:ilvl w:val="0"/>
          <w:numId w:val="110"/>
        </w:numPr>
        <w:rPr>
          <w:rFonts w:ascii="Times New Roman" w:cs="Times New Roman" w:eastAsia="Times New Roman" w:hAnsi="Times New Roman"/>
          <w:sz w:val="19"/>
          <w:szCs w:val="19"/>
          <w:b w:val="1"/>
          <w:bCs w:val="1"/>
          <w:color w:val="111111"/>
        </w:rPr>
      </w:pPr>
      <w:r>
        <w:rPr>
          <w:rFonts w:ascii="Times New Roman" w:cs="Times New Roman" w:eastAsia="Times New Roman" w:hAnsi="Times New Roman"/>
          <w:sz w:val="19"/>
          <w:szCs w:val="19"/>
          <w:b w:val="1"/>
          <w:bCs w:val="1"/>
          <w:color w:val="0D0D0D"/>
        </w:rPr>
        <w:t>INTELLECTUAL PROPERTY LICENSES</w:t>
      </w:r>
    </w:p>
    <w:p>
      <w:pPr>
        <w:spacing w:after="0" w:line="83" w:lineRule="exact"/>
        <w:rPr>
          <w:sz w:val="20"/>
          <w:szCs w:val="20"/>
          <w:color w:val="auto"/>
        </w:rPr>
      </w:pPr>
    </w:p>
    <w:p>
      <w:pPr>
        <w:jc w:val="both"/>
        <w:ind w:firstLine="944"/>
        <w:spacing w:after="0" w:line="274" w:lineRule="auto"/>
        <w:rPr>
          <w:sz w:val="20"/>
          <w:szCs w:val="20"/>
          <w:color w:val="auto"/>
        </w:rPr>
      </w:pPr>
      <w:r>
        <w:rPr>
          <w:rFonts w:ascii="Times New Roman" w:cs="Times New Roman" w:eastAsia="Times New Roman" w:hAnsi="Times New Roman"/>
          <w:sz w:val="19"/>
          <w:szCs w:val="19"/>
          <w:color w:val="auto"/>
        </w:rPr>
        <w:t xml:space="preserve">7.1. </w:t>
      </w:r>
      <w:r>
        <w:rPr>
          <w:rFonts w:ascii="Times New Roman" w:cs="Times New Roman" w:eastAsia="Times New Roman" w:hAnsi="Times New Roman"/>
          <w:sz w:val="19"/>
          <w:szCs w:val="19"/>
          <w:b w:val="1"/>
          <w:bCs w:val="1"/>
          <w:u w:val="single" w:color="auto"/>
          <w:color w:val="auto"/>
        </w:rPr>
        <w:t>Licenses.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Enphase hereby grants Supplier a non-exclusive, limited, revocable, non- transferable, non-sublicensable right and license (unless permitted by Enphase) during the term of this Agreement to use Enphase's patents, trade secrets and other intellectual property solely as necessary to perform Supplier's obligations under this Agreement. For the avoidance of doubt, any such intellectual property will be considered the Confidential Information of Enphase. If and to the extent the Products contains Supplier’s intellectual property, the Supplier grants to Enphase an unrestricted, perpetual, irrevocable, worldwide, sub- licensable, royalty-free license to such Supplier intellectual property to use, copy, modify, revise, distribute, publicly display, publicly perform, import, manufacture, have made, sell, offer to sell (whether directly or through channels of distribution), to the extent they are needed for Enphase to exercise its rights in the Products. Any such license shall include Enphase's right to grant an unrestricted, royalty-free license to its Subsidiaries or other affiliates for the purposes stated herein.</w:t>
      </w:r>
    </w:p>
    <w:p>
      <w:pPr>
        <w:spacing w:after="0" w:line="76" w:lineRule="exact"/>
        <w:rPr>
          <w:sz w:val="20"/>
          <w:szCs w:val="20"/>
          <w:color w:val="auto"/>
        </w:rPr>
      </w:pPr>
    </w:p>
    <w:p>
      <w:pPr>
        <w:jc w:val="both"/>
        <w:ind w:right="140" w:firstLine="944"/>
        <w:spacing w:after="0" w:line="285"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b w:val="1"/>
          <w:bCs w:val="1"/>
          <w:u w:val="single" w:color="auto"/>
          <w:color w:val="auto"/>
        </w:rPr>
        <w:t>No Other Licenses.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Except as otherwise specifically provided in this Agreement, each Party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acknowledges and agrees that no licenses or rights under any of the intellectual property rights of the other Party are given or intended to be given to such other Party.</w:t>
      </w:r>
    </w:p>
    <w:p>
      <w:pPr>
        <w:spacing w:after="0" w:line="297" w:lineRule="exact"/>
        <w:rPr>
          <w:sz w:val="20"/>
          <w:szCs w:val="20"/>
          <w:color w:val="auto"/>
        </w:rPr>
      </w:pPr>
    </w:p>
    <w:p>
      <w:pPr>
        <w:ind w:left="360" w:hanging="309"/>
        <w:spacing w:after="0"/>
        <w:tabs>
          <w:tab w:leader="none" w:pos="360" w:val="left"/>
        </w:tabs>
        <w:numPr>
          <w:ilvl w:val="0"/>
          <w:numId w:val="111"/>
        </w:numPr>
        <w:rPr>
          <w:rFonts w:ascii="Times New Roman" w:cs="Times New Roman" w:eastAsia="Times New Roman" w:hAnsi="Times New Roman"/>
          <w:sz w:val="19"/>
          <w:szCs w:val="19"/>
          <w:b w:val="1"/>
          <w:bCs w:val="1"/>
          <w:color w:val="111111"/>
        </w:rPr>
      </w:pPr>
      <w:r>
        <w:rPr>
          <w:rFonts w:ascii="Times New Roman" w:cs="Times New Roman" w:eastAsia="Times New Roman" w:hAnsi="Times New Roman"/>
          <w:sz w:val="19"/>
          <w:szCs w:val="19"/>
          <w:b w:val="1"/>
          <w:bCs w:val="1"/>
          <w:color w:val="0D0D0D"/>
        </w:rPr>
        <w:t>TERM AND TERMINATION</w:t>
      </w:r>
    </w:p>
    <w:p>
      <w:pPr>
        <w:spacing w:after="0" w:line="149" w:lineRule="exact"/>
        <w:rPr>
          <w:sz w:val="20"/>
          <w:szCs w:val="20"/>
          <w:color w:val="auto"/>
        </w:rPr>
      </w:pPr>
    </w:p>
    <w:p>
      <w:pPr>
        <w:ind w:right="140" w:firstLine="956"/>
        <w:spacing w:after="0" w:line="311" w:lineRule="auto"/>
        <w:rPr>
          <w:sz w:val="20"/>
          <w:szCs w:val="20"/>
          <w:color w:val="auto"/>
        </w:rPr>
      </w:pPr>
      <w:r>
        <w:rPr>
          <w:rFonts w:ascii="Times New Roman" w:cs="Times New Roman" w:eastAsia="Times New Roman" w:hAnsi="Times New Roman"/>
          <w:sz w:val="19"/>
          <w:szCs w:val="19"/>
          <w:color w:val="auto"/>
        </w:rPr>
        <w:t xml:space="preserve">8.1. </w:t>
      </w:r>
      <w:r>
        <w:rPr>
          <w:rFonts w:ascii="Times New Roman" w:cs="Times New Roman" w:eastAsia="Times New Roman" w:hAnsi="Times New Roman"/>
          <w:sz w:val="19"/>
          <w:szCs w:val="19"/>
          <w:b w:val="1"/>
          <w:bCs w:val="1"/>
          <w:u w:val="single" w:color="auto"/>
          <w:color w:val="auto"/>
        </w:rPr>
        <w:t>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The term of this Agreement shall commence on the Effective Date and shall continue unless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terminated earlier as provided in Section 8.2 (Termination) or 10.8 (Force Majeure).</w:t>
      </w:r>
    </w:p>
    <w:p>
      <w:pPr>
        <w:spacing w:after="0" w:line="24" w:lineRule="exact"/>
        <w:rPr>
          <w:sz w:val="20"/>
          <w:szCs w:val="20"/>
          <w:color w:val="auto"/>
        </w:rPr>
      </w:pPr>
    </w:p>
    <w:p>
      <w:pPr>
        <w:jc w:val="both"/>
        <w:ind w:firstLine="953"/>
        <w:spacing w:after="0" w:line="277"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19"/>
          <w:szCs w:val="19"/>
          <w:b w:val="1"/>
          <w:bCs w:val="1"/>
          <w:u w:val="single" w:color="auto"/>
          <w:color w:val="auto"/>
        </w:rPr>
        <w:t>Termination</w:t>
      </w:r>
      <w:r>
        <w:rPr>
          <w:rFonts w:ascii="Times New Roman" w:cs="Times New Roman" w:eastAsia="Times New Roman" w:hAnsi="Times New Roman"/>
          <w:sz w:val="19"/>
          <w:szCs w:val="19"/>
          <w:b w:val="1"/>
          <w:bCs w:val="1"/>
          <w:u w:val="single" w:color="auto"/>
          <w:color w:val="0D0D0D"/>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This Agreement may be terminated: (a) by Enphase for convenience upon thirty (30) days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written notice to the Supplier; (b) by either Party if the other Party defaults in any payment to the terminating Party and such default continues without a cure for a period of sixty (60) days after the delivery of written notice thereof by the terminating Party to the other Party; (c) by a Party if the other Party defaults in the performance of any other material term or condition of this Agreement and such default continues unremedied for a period of thirty (30) days after the delivery of written notice thereof by the terminating Party to the other Party (d) pursuant to Section 10.8 (Force Majeure); or (e) by a Party if the other Party becomes insolvent, unable to pay debts when due, or the</w:t>
      </w:r>
    </w:p>
    <w:p>
      <w:pPr>
        <w:sectPr>
          <w:pgSz w:w="11900" w:h="16838" w:orient="portrait"/>
          <w:cols w:equalWidth="0" w:num="1">
            <w:col w:w="9480"/>
          </w:cols>
          <w:pgMar w:left="1040" w:top="1179" w:right="1379" w:bottom="1440" w:gutter="0" w:footer="0" w:header="0"/>
        </w:sectPr>
      </w:pPr>
    </w:p>
    <w:bookmarkStart w:id="182" w:name="page183"/>
    <w:bookmarkEnd w:id="182"/>
    <w:p>
      <w:pPr>
        <w:jc w:val="both"/>
        <w:ind w:left="311"/>
        <w:spacing w:after="0" w:line="295" w:lineRule="auto"/>
        <w:rPr>
          <w:sz w:val="20"/>
          <w:szCs w:val="20"/>
          <w:color w:val="auto"/>
        </w:rPr>
      </w:pPr>
      <w:r>
        <w:rPr>
          <w:rFonts w:ascii="Times New Roman" w:cs="Times New Roman" w:eastAsia="Times New Roman" w:hAnsi="Times New Roman"/>
          <w:sz w:val="19"/>
          <w:szCs w:val="19"/>
          <w:color w:val="0D0D0D"/>
        </w:rPr>
        <w:t>subject of bankruptcy proceedings not terminated within thirty (30) days of any filing; or makes a general assignment for the benefit of creditors; or if a receiver is appointed for substantially all of its property.</w:t>
      </w:r>
    </w:p>
    <w:p>
      <w:pPr>
        <w:spacing w:after="0" w:line="51" w:lineRule="exact"/>
        <w:rPr>
          <w:sz w:val="20"/>
          <w:szCs w:val="20"/>
          <w:color w:val="auto"/>
        </w:rPr>
      </w:pPr>
    </w:p>
    <w:p>
      <w:pPr>
        <w:jc w:val="both"/>
        <w:ind w:left="311" w:firstLine="949"/>
        <w:spacing w:after="0" w:line="273" w:lineRule="auto"/>
        <w:rPr>
          <w:sz w:val="20"/>
          <w:szCs w:val="20"/>
          <w:color w:val="auto"/>
        </w:rPr>
      </w:pPr>
      <w:r>
        <w:rPr>
          <w:rFonts w:ascii="Times New Roman" w:cs="Times New Roman" w:eastAsia="Times New Roman" w:hAnsi="Times New Roman"/>
          <w:sz w:val="19"/>
          <w:szCs w:val="19"/>
          <w:color w:val="auto"/>
        </w:rPr>
        <w:t xml:space="preserve">8.3. </w:t>
      </w:r>
      <w:r>
        <w:rPr>
          <w:rFonts w:ascii="Times New Roman" w:cs="Times New Roman" w:eastAsia="Times New Roman" w:hAnsi="Times New Roman"/>
          <w:sz w:val="19"/>
          <w:szCs w:val="19"/>
          <w:b w:val="1"/>
          <w:bCs w:val="1"/>
          <w:u w:val="single" w:color="auto"/>
          <w:color w:val="auto"/>
        </w:rPr>
        <w:t>Effect of Expiration or Termination.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Expiration or termination of this Agreement under any of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D0D0D"/>
        </w:rPr>
        <w:t xml:space="preserve">foregoing provisions: (a) shall not affect the undisputed amounts due under this Agreement by either Party that exist as of the date of expiration or termination, and (b) as of such date the provisions of Sections 5.3, and 5.4 shall apply with respect to payment and shipment to Enphase of finished Products,Inventory, and Special Inventory in existence as of such date, (c) shall not affect Supplier's express limited warranty in Section 6 above; and (d) </w:t>
      </w:r>
      <w:r>
        <w:rPr>
          <w:rFonts w:ascii="Times New Roman" w:cs="Times New Roman" w:eastAsia="Times New Roman" w:hAnsi="Times New Roman"/>
          <w:sz w:val="19"/>
          <w:szCs w:val="19"/>
          <w:color w:val="000000"/>
        </w:rPr>
        <w:t>the terms of this Agreement will continue to</w:t>
      </w:r>
      <w:r>
        <w:rPr>
          <w:rFonts w:ascii="Times New Roman" w:cs="Times New Roman" w:eastAsia="Times New Roman" w:hAnsi="Times New Roman"/>
          <w:sz w:val="19"/>
          <w:szCs w:val="19"/>
          <w:color w:val="0D0D0D"/>
        </w:rPr>
        <w:t xml:space="preserve"> </w:t>
      </w:r>
      <w:r>
        <w:rPr>
          <w:rFonts w:ascii="Times New Roman" w:cs="Times New Roman" w:eastAsia="Times New Roman" w:hAnsi="Times New Roman"/>
          <w:sz w:val="19"/>
          <w:szCs w:val="19"/>
          <w:color w:val="000000"/>
        </w:rPr>
        <w:t xml:space="preserve">apply to any Purchase Order placed in accordance with this Agreement, till each Party’s obligations under such Purchase Order are fulfilled. Upon termination of this Agreement in its entirety, for any reason, Supplier agrees to: (i) return to Enphase all copies of any Confidential Information received from Enphase; and (ii) return to Enphase, or Enphase’s designee, all Enphase Controlled Equipment used to perform the Work; </w:t>
      </w:r>
      <w:r>
        <w:rPr>
          <w:rFonts w:ascii="Times New Roman" w:cs="Times New Roman" w:eastAsia="Times New Roman" w:hAnsi="Times New Roman"/>
          <w:sz w:val="19"/>
          <w:szCs w:val="19"/>
          <w:color w:val="0D0D0D"/>
        </w:rPr>
        <w:t>Termination of this Agreement, settling of</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D0D0D"/>
        </w:rPr>
        <w:t>accounts in the manner set forth in the foregoing sentence shall be the exclusive remedy of the Parties for breach of this Agreement, except for breaches of Section 6, 9.1, 10.1 or a Party’s indemnification obligations under this Agreement. Sections 1, 5.4, 6.2, 6.3, 7, 8, 9, and 10 shall be the only terms that shall survive any termination or expiration of this Agreement.</w:t>
      </w:r>
    </w:p>
    <w:p>
      <w:pPr>
        <w:spacing w:after="0" w:line="200" w:lineRule="exact"/>
        <w:rPr>
          <w:sz w:val="20"/>
          <w:szCs w:val="20"/>
          <w:color w:val="auto"/>
        </w:rPr>
      </w:pPr>
    </w:p>
    <w:p>
      <w:pPr>
        <w:spacing w:after="0" w:line="345" w:lineRule="exact"/>
        <w:rPr>
          <w:sz w:val="20"/>
          <w:szCs w:val="20"/>
          <w:color w:val="auto"/>
        </w:rPr>
      </w:pPr>
    </w:p>
    <w:p>
      <w:pPr>
        <w:ind w:left="671" w:hanging="309"/>
        <w:spacing w:after="0"/>
        <w:tabs>
          <w:tab w:leader="none" w:pos="671" w:val="left"/>
        </w:tabs>
        <w:numPr>
          <w:ilvl w:val="0"/>
          <w:numId w:val="112"/>
        </w:numPr>
        <w:rPr>
          <w:rFonts w:ascii="Times New Roman" w:cs="Times New Roman" w:eastAsia="Times New Roman" w:hAnsi="Times New Roman"/>
          <w:sz w:val="19"/>
          <w:szCs w:val="19"/>
          <w:b w:val="1"/>
          <w:bCs w:val="1"/>
          <w:color w:val="111111"/>
        </w:rPr>
      </w:pPr>
      <w:r>
        <w:rPr>
          <w:rFonts w:ascii="Times New Roman" w:cs="Times New Roman" w:eastAsia="Times New Roman" w:hAnsi="Times New Roman"/>
          <w:sz w:val="19"/>
          <w:szCs w:val="19"/>
          <w:b w:val="1"/>
          <w:bCs w:val="1"/>
          <w:color w:val="0D0D0D"/>
        </w:rPr>
        <w:t>INDEMNIFICATION; LIABILITY LIMITATION</w:t>
      </w:r>
    </w:p>
    <w:p>
      <w:pPr>
        <w:spacing w:after="0" w:line="96" w:lineRule="exact"/>
        <w:rPr>
          <w:sz w:val="20"/>
          <w:szCs w:val="20"/>
          <w:color w:val="auto"/>
        </w:rPr>
      </w:pPr>
    </w:p>
    <w:p>
      <w:pPr>
        <w:jc w:val="both"/>
        <w:ind w:left="311" w:firstLine="944"/>
        <w:spacing w:after="0" w:line="281" w:lineRule="auto"/>
        <w:rPr>
          <w:sz w:val="20"/>
          <w:szCs w:val="20"/>
          <w:color w:val="auto"/>
        </w:rPr>
      </w:pPr>
      <w:r>
        <w:rPr>
          <w:rFonts w:ascii="Times New Roman" w:cs="Times New Roman" w:eastAsia="Times New Roman" w:hAnsi="Times New Roman"/>
          <w:sz w:val="19"/>
          <w:szCs w:val="19"/>
          <w:color w:val="auto"/>
        </w:rPr>
        <w:t xml:space="preserve">9.1. </w:t>
      </w:r>
      <w:r>
        <w:rPr>
          <w:rFonts w:ascii="Times New Roman" w:cs="Times New Roman" w:eastAsia="Times New Roman" w:hAnsi="Times New Roman"/>
          <w:sz w:val="19"/>
          <w:szCs w:val="19"/>
          <w:b w:val="1"/>
          <w:bCs w:val="1"/>
          <w:u w:val="single" w:color="auto"/>
          <w:color w:val="auto"/>
        </w:rPr>
        <w:t>Indemnification by Supplier.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Supplier agrees to defend, indemnify and hold harmless, Enphase and all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 xml:space="preserve">directors, officers, employees, and agents (each, </w:t>
      </w:r>
      <w:r>
        <w:rPr>
          <w:rFonts w:ascii="Times New Roman" w:cs="Times New Roman" w:eastAsia="Times New Roman" w:hAnsi="Times New Roman"/>
          <w:sz w:val="19"/>
          <w:szCs w:val="19"/>
          <w:b w:val="1"/>
          <w:bCs w:val="1"/>
          <w:color w:val="111111"/>
        </w:rPr>
        <w:t>an "Enphase lndemnitee")</w:t>
      </w:r>
      <w:r>
        <w:rPr>
          <w:rFonts w:ascii="Times New Roman" w:cs="Times New Roman" w:eastAsia="Times New Roman" w:hAnsi="Times New Roman"/>
          <w:sz w:val="19"/>
          <w:szCs w:val="19"/>
          <w:color w:val="111111"/>
        </w:rPr>
        <w:t xml:space="preserve"> from and against all claims, actions, losses, expenses, damages or other liabilities, including reasonable attorneys' fees (collectively, </w:t>
      </w:r>
      <w:r>
        <w:rPr>
          <w:rFonts w:ascii="Times New Roman" w:cs="Times New Roman" w:eastAsia="Times New Roman" w:hAnsi="Times New Roman"/>
          <w:sz w:val="19"/>
          <w:szCs w:val="19"/>
          <w:b w:val="1"/>
          <w:bCs w:val="1"/>
          <w:color w:val="111111"/>
        </w:rPr>
        <w:t>"Damages")</w:t>
      </w:r>
      <w:r>
        <w:rPr>
          <w:rFonts w:ascii="Times New Roman" w:cs="Times New Roman" w:eastAsia="Times New Roman" w:hAnsi="Times New Roman"/>
          <w:sz w:val="19"/>
          <w:szCs w:val="19"/>
          <w:color w:val="111111"/>
        </w:rPr>
        <w:t xml:space="preserve"> incurred by or assessed against any of the foregoing:</w:t>
      </w:r>
    </w:p>
    <w:p>
      <w:pPr>
        <w:spacing w:after="0" w:line="54" w:lineRule="exact"/>
        <w:rPr>
          <w:sz w:val="20"/>
          <w:szCs w:val="20"/>
          <w:color w:val="auto"/>
        </w:rPr>
      </w:pPr>
    </w:p>
    <w:p>
      <w:pPr>
        <w:ind w:left="311" w:firstLine="632"/>
        <w:spacing w:after="0" w:line="309" w:lineRule="auto"/>
        <w:tabs>
          <w:tab w:leader="none" w:pos="1482" w:val="left"/>
        </w:tabs>
        <w:numPr>
          <w:ilvl w:val="2"/>
          <w:numId w:val="113"/>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any actual or threatened injury or damage to any person or property caused, or alleged to be caused, by a Product sold by Supplier to Enphase hereunder;</w:t>
      </w:r>
    </w:p>
    <w:p>
      <w:pPr>
        <w:spacing w:after="0" w:line="40" w:lineRule="exact"/>
        <w:rPr>
          <w:rFonts w:ascii="Times New Roman" w:cs="Times New Roman" w:eastAsia="Times New Roman" w:hAnsi="Times New Roman"/>
          <w:sz w:val="19"/>
          <w:szCs w:val="19"/>
          <w:color w:val="111111"/>
        </w:rPr>
      </w:pPr>
    </w:p>
    <w:p>
      <w:pPr>
        <w:jc w:val="both"/>
        <w:ind w:left="311" w:firstLine="632"/>
        <w:spacing w:after="0" w:line="291" w:lineRule="auto"/>
        <w:tabs>
          <w:tab w:leader="none" w:pos="1479" w:val="left"/>
        </w:tabs>
        <w:numPr>
          <w:ilvl w:val="2"/>
          <w:numId w:val="113"/>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 xml:space="preserve">any infringement of the intellectual property rights of any third-party but solely to the extent that such infringement is caused by: (i) a process that Supplier uses to manufacture, assemble and/or test the Products; and/or (ii) </w:t>
      </w:r>
      <w:r>
        <w:rPr>
          <w:rFonts w:ascii="Times New Roman" w:cs="Times New Roman" w:eastAsia="Times New Roman" w:hAnsi="Times New Roman"/>
          <w:sz w:val="19"/>
          <w:szCs w:val="19"/>
          <w:color w:val="000000"/>
        </w:rPr>
        <w:t>patented materials, apparati, or any other patented concepts contributed solely by Supplier</w:t>
      </w:r>
      <w:r>
        <w:rPr>
          <w:rFonts w:ascii="Times New Roman" w:cs="Times New Roman" w:eastAsia="Times New Roman" w:hAnsi="Times New Roman"/>
          <w:sz w:val="19"/>
          <w:szCs w:val="19"/>
          <w:color w:val="111111"/>
        </w:rPr>
        <w:t>; or</w:t>
      </w:r>
    </w:p>
    <w:p>
      <w:pPr>
        <w:spacing w:after="0" w:line="57" w:lineRule="exact"/>
        <w:rPr>
          <w:rFonts w:ascii="Times New Roman" w:cs="Times New Roman" w:eastAsia="Times New Roman" w:hAnsi="Times New Roman"/>
          <w:sz w:val="19"/>
          <w:szCs w:val="19"/>
          <w:color w:val="111111"/>
        </w:rPr>
      </w:pPr>
    </w:p>
    <w:p>
      <w:pPr>
        <w:ind w:left="311" w:firstLine="627"/>
        <w:spacing w:after="0" w:line="295" w:lineRule="auto"/>
        <w:tabs>
          <w:tab w:leader="none" w:pos="1477" w:val="left"/>
        </w:tabs>
        <w:numPr>
          <w:ilvl w:val="2"/>
          <w:numId w:val="113"/>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noncompliance with any Environmental Regulations but solely to the extent that such non- compliance is caused by a process or Production Materials that Supplier uses to manufacture the Products.</w:t>
      </w:r>
    </w:p>
    <w:p>
      <w:pPr>
        <w:spacing w:after="0" w:line="26" w:lineRule="exact"/>
        <w:rPr>
          <w:rFonts w:ascii="Times New Roman" w:cs="Times New Roman" w:eastAsia="Times New Roman" w:hAnsi="Times New Roman"/>
          <w:sz w:val="19"/>
          <w:szCs w:val="19"/>
          <w:color w:val="111111"/>
        </w:rPr>
      </w:pPr>
    </w:p>
    <w:p>
      <w:pPr>
        <w:ind w:left="271" w:hanging="271"/>
        <w:spacing w:after="0"/>
        <w:tabs>
          <w:tab w:leader="none" w:pos="271"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Supplier’s breach of any warranty contained herein; and</w:t>
      </w:r>
    </w:p>
    <w:p>
      <w:pPr>
        <w:spacing w:after="0" w:line="109" w:lineRule="exact"/>
        <w:rPr>
          <w:rFonts w:ascii="Times New Roman" w:cs="Times New Roman" w:eastAsia="Times New Roman" w:hAnsi="Times New Roman"/>
          <w:sz w:val="19"/>
          <w:szCs w:val="19"/>
          <w:color w:val="auto"/>
        </w:rPr>
      </w:pPr>
    </w:p>
    <w:p>
      <w:pPr>
        <w:ind w:left="891" w:hanging="266"/>
        <w:spacing w:after="0"/>
        <w:tabs>
          <w:tab w:leader="none" w:pos="891"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Supplier’s breach of applicable law.</w:t>
      </w:r>
    </w:p>
    <w:p>
      <w:pPr>
        <w:spacing w:after="0" w:line="200" w:lineRule="exact"/>
        <w:rPr>
          <w:sz w:val="20"/>
          <w:szCs w:val="20"/>
          <w:color w:val="auto"/>
        </w:rPr>
      </w:pPr>
    </w:p>
    <w:p>
      <w:pPr>
        <w:spacing w:after="0" w:line="261" w:lineRule="exact"/>
        <w:rPr>
          <w:sz w:val="20"/>
          <w:szCs w:val="20"/>
          <w:color w:val="auto"/>
        </w:rPr>
      </w:pPr>
    </w:p>
    <w:p>
      <w:pPr>
        <w:ind w:left="1271"/>
        <w:spacing w:after="0"/>
        <w:tabs>
          <w:tab w:leader="none" w:pos="1731" w:val="left"/>
        </w:tabs>
        <w:rPr>
          <w:sz w:val="20"/>
          <w:szCs w:val="20"/>
          <w:color w:val="auto"/>
        </w:rPr>
      </w:pPr>
      <w:r>
        <w:rPr>
          <w:rFonts w:ascii="Times New Roman" w:cs="Times New Roman" w:eastAsia="Times New Roman" w:hAnsi="Times New Roman"/>
          <w:sz w:val="19"/>
          <w:szCs w:val="19"/>
          <w:color w:val="auto"/>
        </w:rPr>
        <w:t>9.2.</w:t>
      </w:r>
      <w:r>
        <w:rPr>
          <w:sz w:val="20"/>
          <w:szCs w:val="20"/>
          <w:color w:val="auto"/>
        </w:rPr>
        <w:tab/>
      </w:r>
      <w:r>
        <w:rPr>
          <w:rFonts w:ascii="Times New Roman" w:cs="Times New Roman" w:eastAsia="Times New Roman" w:hAnsi="Times New Roman"/>
          <w:sz w:val="19"/>
          <w:szCs w:val="19"/>
          <w:b w:val="1"/>
          <w:bCs w:val="1"/>
          <w:u w:val="single" w:color="auto"/>
          <w:color w:val="auto"/>
        </w:rPr>
        <w:t xml:space="preserve">Sale of Products Enjoined. </w:t>
      </w:r>
      <w:r>
        <w:rPr>
          <w:rFonts w:ascii="Times New Roman" w:cs="Times New Roman" w:eastAsia="Times New Roman" w:hAnsi="Times New Roman"/>
          <w:sz w:val="19"/>
          <w:szCs w:val="19"/>
          <w:color w:val="111111"/>
        </w:rPr>
        <w:t>Should the use of any Products be enjoined for a cause stated in Section 9.1</w:t>
      </w:r>
    </w:p>
    <w:p>
      <w:pPr>
        <w:spacing w:after="0" w:line="35" w:lineRule="exact"/>
        <w:rPr>
          <w:sz w:val="20"/>
          <w:szCs w:val="20"/>
          <w:color w:val="auto"/>
        </w:rPr>
      </w:pPr>
    </w:p>
    <w:p>
      <w:pPr>
        <w:jc w:val="both"/>
        <w:ind w:left="311" w:firstLine="2"/>
        <w:spacing w:after="0" w:line="276" w:lineRule="auto"/>
        <w:tabs>
          <w:tab w:leader="none" w:pos="598" w:val="left"/>
        </w:tabs>
        <w:numPr>
          <w:ilvl w:val="0"/>
          <w:numId w:val="115"/>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or 9.1 (c) above, or in the event the Supplier desires to minimize its liabilities under this Section 9, in addition to its indemnification obligations set forth in this Section 9, the Supplier shall either: (a) substitute a fully equivalent Product or process (as applicable) not subject to such injunction, modify such Product or process (as applicable) so that it no longer is subject to such injunction; or (b) obtain the right to continue using the enjoined process or Product (as applicable). In the event that any of the foregoing remedies cannot be effected on commercially reasonable terms, then, all accepted purchase orders and the current forecast will be considered cancelled and Enphase shall have no obligation to purchase all Products, Inventory and Special Inventory as provided in Sections 5.3 hereof. Any changes to any Products or process must be made in accordance with Section 2.2 above.</w:t>
      </w:r>
    </w:p>
    <w:p>
      <w:pPr>
        <w:sectPr>
          <w:pgSz w:w="11900" w:h="16838" w:orient="portrait"/>
          <w:cols w:equalWidth="0" w:num="1">
            <w:col w:w="9791"/>
          </w:cols>
          <w:pgMar w:left="729" w:top="1179" w:right="1379" w:bottom="1440" w:gutter="0" w:footer="0" w:header="0"/>
        </w:sectPr>
      </w:pPr>
    </w:p>
    <w:bookmarkStart w:id="183" w:name="page184"/>
    <w:bookmarkEnd w:id="183"/>
    <w:p>
      <w:pPr>
        <w:ind w:left="960"/>
        <w:spacing w:after="0"/>
        <w:tabs>
          <w:tab w:leader="none" w:pos="1520" w:val="left"/>
        </w:tabs>
        <w:rPr>
          <w:sz w:val="20"/>
          <w:szCs w:val="20"/>
          <w:color w:val="auto"/>
        </w:rPr>
      </w:pPr>
      <w:r>
        <w:rPr>
          <w:rFonts w:ascii="Times New Roman" w:cs="Times New Roman" w:eastAsia="Times New Roman" w:hAnsi="Times New Roman"/>
          <w:sz w:val="19"/>
          <w:szCs w:val="19"/>
          <w:color w:val="auto"/>
        </w:rPr>
        <w:t>9.3.</w:t>
      </w:r>
      <w:r>
        <w:rPr>
          <w:sz w:val="20"/>
          <w:szCs w:val="20"/>
          <w:color w:val="auto"/>
        </w:rPr>
        <w:tab/>
      </w:r>
      <w:r>
        <w:rPr>
          <w:rFonts w:ascii="Times New Roman" w:cs="Times New Roman" w:eastAsia="Times New Roman" w:hAnsi="Times New Roman"/>
          <w:sz w:val="19"/>
          <w:szCs w:val="19"/>
          <w:b w:val="1"/>
          <w:bCs w:val="1"/>
          <w:u w:val="single" w:color="auto"/>
          <w:color w:val="auto"/>
        </w:rPr>
        <w:t xml:space="preserve">No Other Liability. </w:t>
      </w:r>
      <w:r>
        <w:rPr>
          <w:rFonts w:ascii="Times New Roman" w:cs="Times New Roman" w:eastAsia="Times New Roman" w:hAnsi="Times New Roman"/>
          <w:sz w:val="19"/>
          <w:szCs w:val="19"/>
          <w:b w:val="1"/>
          <w:bCs w:val="1"/>
          <w:color w:val="111111"/>
        </w:rPr>
        <w:t>EXCEPT WITH REGARD TO THE SUPPLIER’S INDEMNIFICATION</w:t>
      </w:r>
    </w:p>
    <w:p>
      <w:pPr>
        <w:spacing w:after="0" w:line="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color w:val="111111"/>
        </w:rPr>
        <w:t xml:space="preserve">OBLIGATIONS UNDER THIS AGREEMENT, </w:t>
      </w:r>
      <w:r>
        <w:rPr>
          <w:rFonts w:ascii="Times New Roman" w:cs="Times New Roman" w:eastAsia="Times New Roman" w:hAnsi="Times New Roman"/>
          <w:sz w:val="19"/>
          <w:szCs w:val="19"/>
          <w:b w:val="1"/>
          <w:bCs w:val="1"/>
          <w:color w:val="000000"/>
        </w:rPr>
        <w:t>LIABILITY FOR BODILY INJURY OF A PERSON, DEATH,</w:t>
      </w:r>
      <w:r>
        <w:rPr>
          <w:rFonts w:ascii="Times New Roman" w:cs="Times New Roman" w:eastAsia="Times New Roman" w:hAnsi="Times New Roman"/>
          <w:sz w:val="19"/>
          <w:szCs w:val="19"/>
          <w:b w:val="1"/>
          <w:bCs w:val="1"/>
          <w:color w:val="111111"/>
        </w:rPr>
        <w:t xml:space="preserve"> </w:t>
      </w:r>
      <w:r>
        <w:rPr>
          <w:rFonts w:ascii="Times New Roman" w:cs="Times New Roman" w:eastAsia="Times New Roman" w:hAnsi="Times New Roman"/>
          <w:sz w:val="19"/>
          <w:szCs w:val="19"/>
          <w:b w:val="1"/>
          <w:bCs w:val="1"/>
          <w:color w:val="000000"/>
        </w:rPr>
        <w:t xml:space="preserve">OR PHYSICAL DAMAGE TO PROPERTY, MISAPPROPRIATION OF INTELLECTUAL PROPERTY; SUPPLIER’S OBLIGATIONS UNDER SECTION 2.8(N) </w:t>
      </w:r>
      <w:r>
        <w:rPr>
          <w:rFonts w:ascii="Times New Roman" w:cs="Times New Roman" w:eastAsia="Times New Roman" w:hAnsi="Times New Roman"/>
          <w:sz w:val="19"/>
          <w:szCs w:val="19"/>
          <w:b w:val="1"/>
          <w:bCs w:val="1"/>
          <w:color w:val="111111"/>
        </w:rPr>
        <w:t>OR BREACH OF SECTION 10.1 BELOW</w:t>
      </w:r>
      <w:r>
        <w:rPr>
          <w:rFonts w:ascii="Times New Roman" w:cs="Times New Roman" w:eastAsia="Times New Roman" w:hAnsi="Times New Roman"/>
          <w:sz w:val="19"/>
          <w:szCs w:val="19"/>
          <w:b w:val="1"/>
          <w:bCs w:val="1"/>
          <w:color w:val="000000"/>
        </w:rPr>
        <w:t xml:space="preserve"> OR ANY SEPARATE NON-DISCLOSURE AND CONFIDENTIALITY AGREEMENT ENTERED INTO BY THE PARTIES</w:t>
      </w:r>
      <w:r>
        <w:rPr>
          <w:rFonts w:ascii="Times New Roman" w:cs="Times New Roman" w:eastAsia="Times New Roman" w:hAnsi="Times New Roman"/>
          <w:sz w:val="19"/>
          <w:szCs w:val="19"/>
          <w:b w:val="1"/>
          <w:bCs w:val="1"/>
          <w:color w:val="111111"/>
        </w:rPr>
        <w:t>, (I) IN NO EVENT SHALL EITHER PARTY BE LIABLE TO THE OTHER FOR ANY OR ANY</w:t>
      </w:r>
      <w:r>
        <w:rPr>
          <w:rFonts w:ascii="Times New Roman" w:cs="Times New Roman" w:eastAsia="Times New Roman" w:hAnsi="Times New Roman"/>
          <w:sz w:val="19"/>
          <w:szCs w:val="19"/>
          <w:b w:val="1"/>
          <w:bCs w:val="1"/>
          <w:color w:val="000000"/>
        </w:rPr>
        <w:t xml:space="preserve"> </w:t>
      </w:r>
      <w:r>
        <w:rPr>
          <w:rFonts w:ascii="Times New Roman" w:cs="Times New Roman" w:eastAsia="Times New Roman" w:hAnsi="Times New Roman"/>
          <w:sz w:val="19"/>
          <w:szCs w:val="19"/>
          <w:b w:val="1"/>
          <w:bCs w:val="1"/>
          <w:color w:val="111111"/>
        </w:rPr>
        <w:t>INCIDENTAL, CONSEQUENTIAL, SPECIAL OR PUNITIVE DAMAGES OF ANY KIND OR NATURE ARISING OUT OF THIS AGREEMENT OR THE SALE OF PRODUCTS, WHETHER SUCH LIABILITY IS ASSERTED ON THE BASIS OF CONTRACT, TORT (INCLUDING THE POSSIBILITY OF NEGLIGENCE OR STRICT LIABILITY), OR OTHERWISE, EVEN IF THE PARTY HAS BEEN WARNED OF THE POSSIBILITY OF ANY SUCH LOSS OR DAMAGE, AND EVEN IF ANY OF THE LIMITED REMEDIES IN THIS AGREEMENT FAIL OF THEIR ESSENTIAL PURPOSE; AND (II) ENPHASE’S MAXIMUM LIABILITY UNDER THIS AGREEMENT WILL NOT EXCEED THE PRICE PAID OR PAYABLE FOR PRODUCTS DELIVERED BY SUPPLIER TO ENPHASE UNDER THE PURCHASE ORDER DUE TO WHICH SUCH LIABILITY ARISES.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111111"/>
        </w:rPr>
        <w:t>10. MISCELLANEOUS</w:t>
      </w:r>
    </w:p>
    <w:p>
      <w:pPr>
        <w:spacing w:after="0" w:line="122" w:lineRule="exact"/>
        <w:rPr>
          <w:sz w:val="20"/>
          <w:szCs w:val="20"/>
          <w:color w:val="auto"/>
        </w:rPr>
      </w:pPr>
    </w:p>
    <w:p>
      <w:pPr>
        <w:ind w:left="940"/>
        <w:spacing w:after="0"/>
        <w:tabs>
          <w:tab w:leader="none" w:pos="1480" w:val="left"/>
        </w:tabs>
        <w:rPr>
          <w:sz w:val="20"/>
          <w:szCs w:val="20"/>
          <w:color w:val="auto"/>
        </w:rPr>
      </w:pPr>
      <w:r>
        <w:rPr>
          <w:rFonts w:ascii="Times New Roman" w:cs="Times New Roman" w:eastAsia="Times New Roman" w:hAnsi="Times New Roman"/>
          <w:sz w:val="19"/>
          <w:szCs w:val="19"/>
          <w:color w:val="auto"/>
        </w:rPr>
        <w:t>10.1.</w:t>
      </w:r>
      <w:r>
        <w:rPr>
          <w:sz w:val="20"/>
          <w:szCs w:val="20"/>
          <w:color w:val="auto"/>
        </w:rPr>
        <w:tab/>
      </w:r>
      <w:r>
        <w:rPr>
          <w:rFonts w:ascii="Times New Roman" w:cs="Times New Roman" w:eastAsia="Times New Roman" w:hAnsi="Times New Roman"/>
          <w:sz w:val="19"/>
          <w:szCs w:val="19"/>
          <w:b w:val="1"/>
          <w:bCs w:val="1"/>
          <w:u w:val="single" w:color="auto"/>
          <w:color w:val="auto"/>
        </w:rPr>
        <w:t>Confidentiality.</w:t>
      </w:r>
    </w:p>
    <w:p>
      <w:pPr>
        <w:spacing w:after="0" w:line="295" w:lineRule="exact"/>
        <w:rPr>
          <w:sz w:val="20"/>
          <w:szCs w:val="20"/>
          <w:color w:val="auto"/>
        </w:rPr>
      </w:pPr>
    </w:p>
    <w:p>
      <w:pPr>
        <w:jc w:val="both"/>
        <w:ind w:firstLine="638"/>
        <w:spacing w:after="0" w:line="272" w:lineRule="auto"/>
        <w:tabs>
          <w:tab w:leader="none" w:pos="1163" w:val="left"/>
        </w:tabs>
        <w:numPr>
          <w:ilvl w:val="0"/>
          <w:numId w:val="116"/>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Each Party shall not use any and all Confidential Information of the disclosing Party for any purposes or activities other than those specifically authorized in this Agreement</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111111"/>
        </w:rPr>
        <w:t xml:space="preserve"> Except as otherwise specifically permitted herein or pursuant to written permission of the Party to this Agreement owning the Confidential Information, no Party shall disclose or facilitate disclosure of Confidential Information of the </w:t>
      </w:r>
      <w:r>
        <w:rPr>
          <w:rFonts w:ascii="Times New Roman" w:cs="Times New Roman" w:eastAsia="Times New Roman" w:hAnsi="Times New Roman"/>
          <w:sz w:val="19"/>
          <w:szCs w:val="19"/>
          <w:color w:val="000000"/>
        </w:rPr>
        <w:t>d</w:t>
      </w:r>
      <w:r>
        <w:rPr>
          <w:rFonts w:ascii="Times New Roman" w:cs="Times New Roman" w:eastAsia="Times New Roman" w:hAnsi="Times New Roman"/>
          <w:sz w:val="19"/>
          <w:szCs w:val="19"/>
          <w:color w:val="111111"/>
        </w:rPr>
        <w:t>isclosing Party to anyone without the prior written consent of the disclosing Party, except to its employees, consultants, parent company, and subsidiaries of its parent company who need to know such information for carrying out the activities contemplated by this Agreement and who have agreed in writing to confidentiality terms that are no less restrictive than the requirements of this Section</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111111"/>
        </w:rPr>
        <w:t xml:space="preserve"> Notwithstanding the foregoing, the receiving Party may disclose Confidential Information of the disclosing Party pursuant to a subpoena or other court process only (i) after having given the disclosing Party prompt notice of the receiving Party's receipt of such subpoena or other process and (ii) after the receiving Party has given the disclosing Party a reasonable opportunity to oppose such subpoena or other process or to obtain a protective order. Confidential Information of the disclosing Party in the custody or control of the receiving Party shall be promptly returned or destroyed upon the earlier of(i) the disclosing Party's written request or (ii) termination of this Agreement. Confidential Information disclosed pursuant to this Agreement shall be maintained confidential for a period of </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9"/>
          <w:szCs w:val="19"/>
          <w:color w:val="111111"/>
        </w:rPr>
        <w:t xml:space="preserve"> after the termination of this Agreement. The existence and terms of this Agreement shall be confidential in perpetuity</w:t>
      </w:r>
      <w:r>
        <w:rPr>
          <w:rFonts w:ascii="Times New Roman" w:cs="Times New Roman" w:eastAsia="Times New Roman" w:hAnsi="Times New Roman"/>
          <w:sz w:val="19"/>
          <w:szCs w:val="19"/>
          <w:color w:val="3B3B3B"/>
        </w:rPr>
        <w:t>.</w:t>
      </w:r>
    </w:p>
    <w:p>
      <w:pPr>
        <w:spacing w:after="0" w:line="75" w:lineRule="exact"/>
        <w:rPr>
          <w:rFonts w:ascii="Times New Roman" w:cs="Times New Roman" w:eastAsia="Times New Roman" w:hAnsi="Times New Roman"/>
          <w:sz w:val="19"/>
          <w:szCs w:val="19"/>
          <w:color w:val="111111"/>
        </w:rPr>
      </w:pPr>
    </w:p>
    <w:p>
      <w:pPr>
        <w:jc w:val="both"/>
        <w:ind w:firstLine="636"/>
        <w:spacing w:after="0" w:line="285" w:lineRule="auto"/>
        <w:tabs>
          <w:tab w:leader="none" w:pos="1159" w:val="left"/>
        </w:tabs>
        <w:numPr>
          <w:ilvl w:val="0"/>
          <w:numId w:val="116"/>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Notwithstanding anything contained in this Section 10.1, a receiving Party may disclose the existence and terms of this Agreement if such information is required by Law to be disclosed under applicable Law, including without limitation pursuant to the rules and regulations promulgated by the United States Securities and Exchange Commission, provided that the disclosing party shall request the reduction of confidential terms in any such disclosure.</w:t>
      </w:r>
    </w:p>
    <w:p>
      <w:pPr>
        <w:spacing w:after="0" w:line="193" w:lineRule="exact"/>
        <w:rPr>
          <w:sz w:val="20"/>
          <w:szCs w:val="20"/>
          <w:color w:val="auto"/>
        </w:rPr>
      </w:pPr>
    </w:p>
    <w:p>
      <w:pPr>
        <w:jc w:val="both"/>
        <w:ind w:firstLine="953"/>
        <w:spacing w:after="0" w:line="281" w:lineRule="auto"/>
        <w:rPr>
          <w:sz w:val="20"/>
          <w:szCs w:val="20"/>
          <w:color w:val="auto"/>
        </w:rPr>
      </w:pPr>
      <w:r>
        <w:rPr>
          <w:rFonts w:ascii="Times New Roman" w:cs="Times New Roman" w:eastAsia="Times New Roman" w:hAnsi="Times New Roman"/>
          <w:sz w:val="19"/>
          <w:szCs w:val="19"/>
          <w:color w:val="auto"/>
        </w:rPr>
        <w:t xml:space="preserve">10.2. </w:t>
      </w:r>
      <w:r>
        <w:rPr>
          <w:rFonts w:ascii="Times New Roman" w:cs="Times New Roman" w:eastAsia="Times New Roman" w:hAnsi="Times New Roman"/>
          <w:sz w:val="19"/>
          <w:szCs w:val="19"/>
          <w:b w:val="1"/>
          <w:bCs w:val="1"/>
          <w:u w:val="single" w:color="auto"/>
          <w:color w:val="auto"/>
        </w:rPr>
        <w:t>Use of Name is Prohibited.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The existence and terms of this Agreement are Confidential Information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and protected pursuant to Section 10.1 above. Supplier may not use Enphase's name or identity or any other Confidential Information in any advertising, promotion or other public announcement without the express prior written consent of Enphase.</w:t>
      </w:r>
    </w:p>
    <w:p>
      <w:pPr>
        <w:sectPr>
          <w:pgSz w:w="11900" w:h="16838" w:orient="portrait"/>
          <w:cols w:equalWidth="0" w:num="1">
            <w:col w:w="9480"/>
          </w:cols>
          <w:pgMar w:left="1040" w:top="1203" w:right="1379" w:bottom="1440" w:gutter="0" w:footer="0" w:header="0"/>
        </w:sectPr>
      </w:pPr>
    </w:p>
    <w:bookmarkStart w:id="184" w:name="page185"/>
    <w:bookmarkEnd w:id="184"/>
    <w:p>
      <w:pPr>
        <w:jc w:val="both"/>
        <w:ind w:firstLine="949"/>
        <w:spacing w:after="0" w:line="275" w:lineRule="auto"/>
        <w:rPr>
          <w:sz w:val="20"/>
          <w:szCs w:val="20"/>
          <w:color w:val="auto"/>
        </w:rPr>
      </w:pPr>
      <w:r>
        <w:rPr>
          <w:rFonts w:ascii="Times New Roman" w:cs="Times New Roman" w:eastAsia="Times New Roman" w:hAnsi="Times New Roman"/>
          <w:sz w:val="19"/>
          <w:szCs w:val="19"/>
          <w:color w:val="auto"/>
        </w:rPr>
        <w:t xml:space="preserve">10.3. </w:t>
      </w:r>
      <w:r>
        <w:rPr>
          <w:rFonts w:ascii="Times New Roman" w:cs="Times New Roman" w:eastAsia="Times New Roman" w:hAnsi="Times New Roman"/>
          <w:sz w:val="19"/>
          <w:szCs w:val="19"/>
          <w:b w:val="1"/>
          <w:bCs w:val="1"/>
          <w:u w:val="single" w:color="auto"/>
          <w:color w:val="auto"/>
        </w:rPr>
        <w:t>Entire Agreement; Severability.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This Agreement constitutes the entire agreement between the Parties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with respect to the transactions contemplated hereby and supersedes all prior agreements and understandings between the Parties relating to such transactions. If the scope of any of the provisions of this Agreement is too broad in any respect whatsoever to permit enforcement to its full extent, then such provisions shall be enforced to the maximum extent permitted by Law, and the Parties hereto consent and agree that such scope may be judicially modified accordingly and that the whole of such provisions of this Agreement shall not thereby fail, but that the scope of such provisions shall be curtailed only to the extent necessary to conform to Law.</w:t>
      </w:r>
    </w:p>
    <w:p>
      <w:pPr>
        <w:spacing w:after="0" w:line="70" w:lineRule="exact"/>
        <w:rPr>
          <w:sz w:val="20"/>
          <w:szCs w:val="20"/>
          <w:color w:val="auto"/>
        </w:rPr>
      </w:pPr>
    </w:p>
    <w:p>
      <w:pPr>
        <w:jc w:val="both"/>
        <w:ind w:firstLine="953"/>
        <w:spacing w:after="0" w:line="286" w:lineRule="auto"/>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19"/>
          <w:szCs w:val="19"/>
          <w:b w:val="1"/>
          <w:bCs w:val="1"/>
          <w:u w:val="single" w:color="auto"/>
          <w:color w:val="auto"/>
        </w:rPr>
        <w:t>Amendments; Waiver.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This Agreement may be amended only by written consent of both Parties.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failure by either Party to enforce any provision of this Agreement will not constitute a waiver of future enforcement of that or any other provision. Neither Party will be deemed to have waived any rights or remedies hereunder unless such waiver is in writing and signed by a duly authorized representative of the Party against which such waiver is asserted.</w:t>
      </w:r>
    </w:p>
    <w:p>
      <w:pPr>
        <w:spacing w:after="0" w:line="60" w:lineRule="exact"/>
        <w:rPr>
          <w:sz w:val="20"/>
          <w:szCs w:val="20"/>
          <w:color w:val="auto"/>
        </w:rPr>
      </w:pPr>
    </w:p>
    <w:p>
      <w:pPr>
        <w:jc w:val="both"/>
        <w:ind w:firstLine="953"/>
        <w:spacing w:after="0" w:line="273" w:lineRule="auto"/>
        <w:rPr>
          <w:sz w:val="20"/>
          <w:szCs w:val="20"/>
          <w:color w:val="auto"/>
        </w:rPr>
      </w:pPr>
      <w:r>
        <w:rPr>
          <w:rFonts w:ascii="Times New Roman" w:cs="Times New Roman" w:eastAsia="Times New Roman" w:hAnsi="Times New Roman"/>
          <w:sz w:val="19"/>
          <w:szCs w:val="19"/>
          <w:color w:val="auto"/>
        </w:rPr>
        <w:t xml:space="preserve">10.5. </w:t>
      </w:r>
      <w:r>
        <w:rPr>
          <w:rFonts w:ascii="Times New Roman" w:cs="Times New Roman" w:eastAsia="Times New Roman" w:hAnsi="Times New Roman"/>
          <w:sz w:val="19"/>
          <w:szCs w:val="19"/>
          <w:b w:val="1"/>
          <w:bCs w:val="1"/>
          <w:u w:val="single" w:color="auto"/>
          <w:color w:val="auto"/>
        </w:rPr>
        <w:t>Independent Contractor.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Neither Party shall, for any purpose, be deemed to be an agent of the 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Party and the relationship between the Parties shall only be that of independent contractors</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111111"/>
        </w:rPr>
        <w:t xml:space="preserve"> Neither Party shall have any right or authority to assume or create any obligations or to make any representations or warranties on behalf of any other Party, whether express or implied, or to bind the other Party in any respect whatsoever. </w:t>
      </w:r>
      <w:r>
        <w:rPr>
          <w:rFonts w:ascii="Times New Roman" w:cs="Times New Roman" w:eastAsia="Times New Roman" w:hAnsi="Times New Roman"/>
          <w:sz w:val="19"/>
          <w:szCs w:val="19"/>
          <w:color w:val="000000"/>
        </w:rPr>
        <w:t>For the avoidance of doubt, any</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00000"/>
        </w:rPr>
        <w:t>personnel deployed by the Supplier for performing the Work (“Supplier Personnel”) shall continue to be employees of the Supplier at all times, and shall not, for any purpose, be considered employees of the and shall not be entitled to any employee benefits from the Supplier including, but not limited to, holiday, vacation, or sick pay, social security, unemployment or disability insurance, employees' compensation insurance, health and welfare benefits, profit sharing, or any employee stock option or stock purchase plans. Enphase shall not be liable to pay any amounts of any nature whatsoever to such resources of the Supplier. The Supplier shall indemnify Enphase in the event any Supplier Personnel make claims against Enphase in relation to any of the foregoing Enphase employee benefits or if any Supplier Personnel are later reclassified by any court of competent jurisdiction to be common law employees of Enphase.</w:t>
      </w:r>
    </w:p>
    <w:p>
      <w:pPr>
        <w:spacing w:after="0" w:line="73" w:lineRule="exact"/>
        <w:rPr>
          <w:sz w:val="20"/>
          <w:szCs w:val="20"/>
          <w:color w:val="auto"/>
        </w:rPr>
      </w:pPr>
    </w:p>
    <w:p>
      <w:pPr>
        <w:jc w:val="both"/>
        <w:ind w:right="20" w:firstLine="949"/>
        <w:spacing w:after="0" w:line="292" w:lineRule="auto"/>
        <w:rPr>
          <w:sz w:val="20"/>
          <w:szCs w:val="20"/>
          <w:color w:val="auto"/>
        </w:rPr>
      </w:pPr>
      <w:r>
        <w:rPr>
          <w:rFonts w:ascii="Times New Roman" w:cs="Times New Roman" w:eastAsia="Times New Roman" w:hAnsi="Times New Roman"/>
          <w:sz w:val="19"/>
          <w:szCs w:val="19"/>
          <w:color w:val="auto"/>
        </w:rPr>
        <w:t xml:space="preserve">10.6. </w:t>
      </w:r>
      <w:r>
        <w:rPr>
          <w:rFonts w:ascii="Times New Roman" w:cs="Times New Roman" w:eastAsia="Times New Roman" w:hAnsi="Times New Roman"/>
          <w:sz w:val="19"/>
          <w:szCs w:val="19"/>
          <w:b w:val="1"/>
          <w:bCs w:val="1"/>
          <w:u w:val="single" w:color="auto"/>
          <w:color w:val="auto"/>
        </w:rPr>
        <w:t>Expenses.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Each Party shall pay their own expenses in connection with the negotiation of this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Agreement. All fees and expenses incurred in connection with the resolution of Disputes shall be allocated as further provided in Section 10.20 below.</w:t>
      </w:r>
    </w:p>
    <w:p>
      <w:pPr>
        <w:spacing w:after="0" w:line="68" w:lineRule="exact"/>
        <w:rPr>
          <w:sz w:val="20"/>
          <w:szCs w:val="20"/>
          <w:color w:val="auto"/>
        </w:rPr>
      </w:pPr>
    </w:p>
    <w:p>
      <w:pPr>
        <w:jc w:val="both"/>
        <w:ind w:firstLine="944"/>
        <w:spacing w:after="0" w:line="273" w:lineRule="auto"/>
        <w:rPr>
          <w:sz w:val="20"/>
          <w:szCs w:val="20"/>
          <w:color w:val="auto"/>
        </w:rPr>
      </w:pPr>
      <w:r>
        <w:rPr>
          <w:rFonts w:ascii="Times New Roman" w:cs="Times New Roman" w:eastAsia="Times New Roman" w:hAnsi="Times New Roman"/>
          <w:sz w:val="19"/>
          <w:szCs w:val="19"/>
          <w:color w:val="auto"/>
        </w:rPr>
        <w:t xml:space="preserve">10.7. </w:t>
      </w:r>
      <w:r>
        <w:rPr>
          <w:rFonts w:ascii="Times New Roman" w:cs="Times New Roman" w:eastAsia="Times New Roman" w:hAnsi="Times New Roman"/>
          <w:sz w:val="19"/>
          <w:szCs w:val="19"/>
          <w:b w:val="1"/>
          <w:bCs w:val="1"/>
          <w:u w:val="single" w:color="auto"/>
          <w:color w:val="auto"/>
        </w:rPr>
        <w:t>Insurance.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Supplier shall procure and/or maintain at its own expense the following insurances::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 xml:space="preserve">commercial general liability insurance (including coverage for bodily injury, personal injury, property damage, contractual liability, products and completed operations) in an amount not less than </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9"/>
          <w:szCs w:val="19"/>
          <w:color w:val="111111"/>
        </w:rPr>
        <w:t xml:space="preserve">; (ii) umbrella excess liability insurance in an amount not less than </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9"/>
          <w:szCs w:val="19"/>
          <w:color w:val="111111"/>
        </w:rPr>
        <w:t xml:space="preserve">; (iii) an errors and omissions insurance policy which covers Supplier's obligations hereunder in an amount not less than </w:t>
      </w:r>
      <w:r>
        <w:rPr>
          <w:rFonts w:ascii="Times New Roman" w:cs="Times New Roman" w:eastAsia="Times New Roman" w:hAnsi="Times New Roman"/>
          <w:sz w:val="17"/>
          <w:szCs w:val="17"/>
          <w:b w:val="1"/>
          <w:bCs w:val="1"/>
          <w:color w:val="000000"/>
        </w:rPr>
        <w:t>[*]</w:t>
      </w:r>
      <w:r>
        <w:rPr>
          <w:rFonts w:ascii="Times New Roman" w:cs="Times New Roman" w:eastAsia="Times New Roman" w:hAnsi="Times New Roman"/>
          <w:sz w:val="19"/>
          <w:szCs w:val="19"/>
          <w:color w:val="111111"/>
        </w:rPr>
        <w:t xml:space="preserve">; and (iv) </w:t>
      </w:r>
      <w:r>
        <w:rPr>
          <w:rFonts w:ascii="Times New Roman" w:cs="Times New Roman" w:eastAsia="Times New Roman" w:hAnsi="Times New Roman"/>
          <w:sz w:val="19"/>
          <w:szCs w:val="19"/>
          <w:color w:val="000000"/>
        </w:rPr>
        <w:t>Workers’ Compensation insurance as required by applicable law or regulation of the</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00000"/>
        </w:rPr>
        <w:t>nation, state, territory, or province having jurisdiction over Supplier’s employees</w:t>
      </w:r>
      <w:r>
        <w:rPr>
          <w:rFonts w:ascii="Times New Roman" w:cs="Times New Roman" w:eastAsia="Times New Roman" w:hAnsi="Times New Roman"/>
          <w:sz w:val="19"/>
          <w:szCs w:val="19"/>
          <w:color w:val="111111"/>
        </w:rPr>
        <w:t>. Such insurance shall be written by an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111111"/>
        </w:rPr>
        <w:t xml:space="preserve">insurance company with a Best's rating of at least A-VIII who is licensed to do business in </w:t>
      </w:r>
      <w:r>
        <w:rPr>
          <w:rFonts w:ascii="Times New Roman" w:cs="Times New Roman" w:eastAsia="Times New Roman" w:hAnsi="Times New Roman"/>
          <w:sz w:val="19"/>
          <w:szCs w:val="19"/>
          <w:color w:val="000000"/>
        </w:rPr>
        <w:t>the jurisdiction in which</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00000"/>
        </w:rPr>
        <w:t>Supplier will perform its obligations hereunder</w:t>
      </w:r>
      <w:r>
        <w:rPr>
          <w:rFonts w:ascii="Times New Roman" w:cs="Times New Roman" w:eastAsia="Times New Roman" w:hAnsi="Times New Roman"/>
          <w:sz w:val="19"/>
          <w:szCs w:val="19"/>
          <w:color w:val="111111"/>
        </w:rPr>
        <w:t>. Supplier shall furnish certificates of insurance and such other appropriate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111111"/>
        </w:rPr>
        <w:t>documentation (including evidence of renewal of insurance) evidencing all insurance coverage</w:t>
      </w:r>
      <w:r>
        <w:rPr>
          <w:rFonts w:ascii="Times New Roman" w:cs="Times New Roman" w:eastAsia="Times New Roman" w:hAnsi="Times New Roman"/>
          <w:sz w:val="19"/>
          <w:szCs w:val="19"/>
          <w:color w:val="333333"/>
        </w:rPr>
        <w:t>'</w:t>
      </w:r>
      <w:r>
        <w:rPr>
          <w:rFonts w:ascii="Times New Roman" w:cs="Times New Roman" w:eastAsia="Times New Roman" w:hAnsi="Times New Roman"/>
          <w:sz w:val="19"/>
          <w:szCs w:val="19"/>
          <w:color w:val="111111"/>
        </w:rPr>
        <w:t>s set forth in this Section 10.7. Such certificates of insurance and other documentation shall name Enphase and its officers, directors and employees as additional insured</w:t>
      </w:r>
      <w:r>
        <w:rPr>
          <w:rFonts w:ascii="Times New Roman" w:cs="Times New Roman" w:eastAsia="Times New Roman" w:hAnsi="Times New Roman"/>
          <w:sz w:val="19"/>
          <w:szCs w:val="19"/>
          <w:color w:val="333333"/>
        </w:rPr>
        <w:t>.</w:t>
      </w:r>
      <w:r>
        <w:rPr>
          <w:rFonts w:ascii="Times New Roman" w:cs="Times New Roman" w:eastAsia="Times New Roman" w:hAnsi="Times New Roman"/>
          <w:sz w:val="19"/>
          <w:szCs w:val="19"/>
          <w:color w:val="111111"/>
        </w:rPr>
        <w:t xml:space="preserve"> Such certificates of insurance and other documentation shall contain a broad form naming Enphase and its officers</w:t>
      </w:r>
      <w:r>
        <w:rPr>
          <w:rFonts w:ascii="Times New Roman" w:cs="Times New Roman" w:eastAsia="Times New Roman" w:hAnsi="Times New Roman"/>
          <w:sz w:val="19"/>
          <w:szCs w:val="19"/>
          <w:color w:val="333333"/>
        </w:rPr>
        <w:t>,</w:t>
      </w:r>
      <w:r>
        <w:rPr>
          <w:rFonts w:ascii="Times New Roman" w:cs="Times New Roman" w:eastAsia="Times New Roman" w:hAnsi="Times New Roman"/>
          <w:sz w:val="19"/>
          <w:szCs w:val="19"/>
          <w:color w:val="111111"/>
        </w:rPr>
        <w:t xml:space="preserve"> directors and employees as an additional insured. Supplier will provide Enphase with at least thirty (30) days prior written notice of any cancellation or material alteration of the insurance coverage set forth in this Section 10.7</w:t>
      </w:r>
      <w:r>
        <w:rPr>
          <w:rFonts w:ascii="Times New Roman" w:cs="Times New Roman" w:eastAsia="Times New Roman" w:hAnsi="Times New Roman"/>
          <w:sz w:val="19"/>
          <w:szCs w:val="19"/>
          <w:color w:val="333333"/>
        </w:rPr>
        <w:t>.</w:t>
      </w:r>
      <w:r>
        <w:rPr>
          <w:rFonts w:ascii="Times New Roman" w:cs="Times New Roman" w:eastAsia="Times New Roman" w:hAnsi="Times New Roman"/>
          <w:sz w:val="19"/>
          <w:szCs w:val="19"/>
          <w:color w:val="111111"/>
        </w:rPr>
        <w:t xml:space="preserve"> Failure by Enphase to receive or request the aforementioned certificates of insurance and other documentation shall not represent a waiver of the requirements for insurance coverage set forth in this Section 10</w:t>
      </w:r>
      <w:r>
        <w:rPr>
          <w:rFonts w:ascii="Times New Roman" w:cs="Times New Roman" w:eastAsia="Times New Roman" w:hAnsi="Times New Roman"/>
          <w:sz w:val="19"/>
          <w:szCs w:val="19"/>
          <w:color w:val="333333"/>
        </w:rPr>
        <w:t>.</w:t>
      </w:r>
      <w:r>
        <w:rPr>
          <w:rFonts w:ascii="Times New Roman" w:cs="Times New Roman" w:eastAsia="Times New Roman" w:hAnsi="Times New Roman"/>
          <w:sz w:val="19"/>
          <w:szCs w:val="19"/>
          <w:color w:val="111111"/>
        </w:rPr>
        <w:t xml:space="preserve">7. </w:t>
      </w:r>
      <w:r>
        <w:rPr>
          <w:rFonts w:ascii="Times New Roman" w:cs="Times New Roman" w:eastAsia="Times New Roman" w:hAnsi="Times New Roman"/>
          <w:sz w:val="19"/>
          <w:szCs w:val="19"/>
          <w:color w:val="000000"/>
        </w:rPr>
        <w:t>Except</w:t>
      </w:r>
    </w:p>
    <w:p>
      <w:pPr>
        <w:sectPr>
          <w:pgSz w:w="11900" w:h="16838" w:orient="portrait"/>
          <w:cols w:equalWidth="0" w:num="1">
            <w:col w:w="9480"/>
          </w:cols>
          <w:pgMar w:left="1040" w:top="1125" w:right="1379" w:bottom="1440" w:gutter="0" w:footer="0" w:header="0"/>
        </w:sectPr>
      </w:pPr>
    </w:p>
    <w:bookmarkStart w:id="185" w:name="page186"/>
    <w:bookmarkEnd w:id="185"/>
    <w:p>
      <w:pPr>
        <w:jc w:val="both"/>
        <w:ind w:right="100"/>
        <w:spacing w:after="0" w:line="280" w:lineRule="auto"/>
        <w:rPr>
          <w:sz w:val="20"/>
          <w:szCs w:val="20"/>
          <w:color w:val="auto"/>
        </w:rPr>
      </w:pPr>
      <w:r>
        <w:rPr>
          <w:rFonts w:ascii="Times New Roman" w:cs="Times New Roman" w:eastAsia="Times New Roman" w:hAnsi="Times New Roman"/>
          <w:sz w:val="19"/>
          <w:szCs w:val="19"/>
          <w:color w:val="auto"/>
        </w:rPr>
        <w:t>where prohibited by law, Supplier will, and will ensure that its insurers will, waive all rights of recovery or subrogation against Enphase, its officers, directors, employees, agents, and insurers. The policies provided under this Agreement will provide that Supplier’s insurance will be primary to and non-contributory with any and all other insurance maintained or otherwise afforded to Enphase.</w:t>
      </w:r>
    </w:p>
    <w:p>
      <w:pPr>
        <w:spacing w:after="0" w:line="80" w:lineRule="exact"/>
        <w:rPr>
          <w:sz w:val="20"/>
          <w:szCs w:val="20"/>
          <w:color w:val="auto"/>
        </w:rPr>
      </w:pPr>
    </w:p>
    <w:p>
      <w:pPr>
        <w:jc w:val="both"/>
        <w:ind w:right="100" w:firstLine="953"/>
        <w:spacing w:after="0" w:line="274" w:lineRule="auto"/>
        <w:rPr>
          <w:sz w:val="20"/>
          <w:szCs w:val="20"/>
          <w:color w:val="auto"/>
        </w:rPr>
      </w:pPr>
      <w:r>
        <w:rPr>
          <w:rFonts w:ascii="Times New Roman" w:cs="Times New Roman" w:eastAsia="Times New Roman" w:hAnsi="Times New Roman"/>
          <w:sz w:val="19"/>
          <w:szCs w:val="19"/>
          <w:color w:val="auto"/>
        </w:rPr>
        <w:t xml:space="preserve">10.8. </w:t>
      </w:r>
      <w:r>
        <w:rPr>
          <w:rFonts w:ascii="Times New Roman" w:cs="Times New Roman" w:eastAsia="Times New Roman" w:hAnsi="Times New Roman"/>
          <w:sz w:val="19"/>
          <w:szCs w:val="19"/>
          <w:b w:val="1"/>
          <w:bCs w:val="1"/>
          <w:u w:val="single" w:color="auto"/>
          <w:color w:val="auto"/>
        </w:rPr>
        <w:t>Force Majeure.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In the event that either Party is prevented from performing or is unable to perform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11111"/>
        </w:rPr>
        <w:t xml:space="preserve">of its obligations under this Agreement (other than a payment obligation) due to any act of God, acts or decrees of governmental or military bodies, fire, casualty, flood, earthquake, war, strike, lockout, epidemic, destruction of production facilities, riot, insurrection, Materials unavailability, or any other cause beyond the reasonable control of the Party invoking this section (collectively, a </w:t>
      </w:r>
      <w:r>
        <w:rPr>
          <w:rFonts w:ascii="Times New Roman" w:cs="Times New Roman" w:eastAsia="Times New Roman" w:hAnsi="Times New Roman"/>
          <w:sz w:val="19"/>
          <w:szCs w:val="19"/>
          <w:b w:val="1"/>
          <w:bCs w:val="1"/>
          <w:color w:val="111111"/>
        </w:rPr>
        <w:t>"Force Majeure"),</w:t>
      </w:r>
      <w:r>
        <w:rPr>
          <w:rFonts w:ascii="Times New Roman" w:cs="Times New Roman" w:eastAsia="Times New Roman" w:hAnsi="Times New Roman"/>
          <w:sz w:val="19"/>
          <w:szCs w:val="19"/>
          <w:color w:val="111111"/>
        </w:rPr>
        <w:t xml:space="preserve"> and if such Party shall have used its commercially reasonable efforts to mitigate its effects, such Party shall give prompt written notice to the other Party, its performance shall be excused </w:t>
      </w:r>
      <w:r>
        <w:rPr>
          <w:rFonts w:ascii="Times New Roman" w:cs="Times New Roman" w:eastAsia="Times New Roman" w:hAnsi="Times New Roman"/>
          <w:sz w:val="19"/>
          <w:szCs w:val="19"/>
          <w:color w:val="333333"/>
        </w:rPr>
        <w:t>,</w:t>
      </w:r>
      <w:r>
        <w:rPr>
          <w:rFonts w:ascii="Times New Roman" w:cs="Times New Roman" w:eastAsia="Times New Roman" w:hAnsi="Times New Roman"/>
          <w:sz w:val="19"/>
          <w:szCs w:val="19"/>
          <w:color w:val="111111"/>
        </w:rPr>
        <w:t xml:space="preserve"> and the time for the performance shall be extended for the period of delay or inability to perform due to such occurrences. Regardless of the excuse of Force Majeure, if such Party is not able to perform within ninety (90) days after such event, the other Party may terminate the Agreement.</w:t>
      </w:r>
    </w:p>
    <w:p>
      <w:pPr>
        <w:spacing w:after="0" w:line="63" w:lineRule="exact"/>
        <w:rPr>
          <w:sz w:val="20"/>
          <w:szCs w:val="20"/>
          <w:color w:val="auto"/>
        </w:rPr>
      </w:pPr>
    </w:p>
    <w:p>
      <w:pPr>
        <w:ind w:left="960"/>
        <w:spacing w:after="0"/>
        <w:tabs>
          <w:tab w:leader="none" w:pos="1520" w:val="left"/>
        </w:tabs>
        <w:rPr>
          <w:sz w:val="20"/>
          <w:szCs w:val="20"/>
          <w:color w:val="auto"/>
        </w:rPr>
      </w:pPr>
      <w:r>
        <w:rPr>
          <w:rFonts w:ascii="Times New Roman" w:cs="Times New Roman" w:eastAsia="Times New Roman" w:hAnsi="Times New Roman"/>
          <w:sz w:val="19"/>
          <w:szCs w:val="19"/>
          <w:color w:val="auto"/>
        </w:rPr>
        <w:t>10.9.</w:t>
      </w:r>
      <w:r>
        <w:rPr>
          <w:sz w:val="20"/>
          <w:szCs w:val="20"/>
          <w:color w:val="auto"/>
        </w:rPr>
        <w:tab/>
      </w:r>
      <w:r>
        <w:rPr>
          <w:rFonts w:ascii="Times New Roman" w:cs="Times New Roman" w:eastAsia="Times New Roman" w:hAnsi="Times New Roman"/>
          <w:sz w:val="19"/>
          <w:szCs w:val="19"/>
          <w:b w:val="1"/>
          <w:bCs w:val="1"/>
          <w:u w:val="single" w:color="auto"/>
          <w:color w:val="auto"/>
        </w:rPr>
        <w:t>Disaster Recovery and Business Continuity.</w:t>
      </w:r>
    </w:p>
    <w:p>
      <w:pPr>
        <w:spacing w:after="0" w:line="282"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9"/>
          <w:szCs w:val="19"/>
          <w:color w:val="111111"/>
        </w:rPr>
        <w:t xml:space="preserve">The Supplier agrees that it will throughout the duration of this Agreement implement, maintain and keep under regular review a business continuity plan for the Work it performs for Enphase, so far as is reasonably practicable, adherence to which will enable it to continue to operate in accordance with the Supplier’s obligations under this Agreement and in accordance with any regulatory requirements. The aforementioned business continuity plan shall be presented by the Supplier to Enphase, for Enphase’s approval at the beginning of each year during the term of this Agreement, starting with the Effective Date. The Supplier shall amend the business continuity plan as reasonably requested by Enphase, so as to secure Enphase’s approval on such plan. For the avoidance of doubt, the Supplier will not have satisfied its obligations under this Section 10.9, if it has </w:t>
      </w:r>
      <w:r>
        <w:rPr>
          <w:rFonts w:ascii="Times New Roman" w:cs="Times New Roman" w:eastAsia="Times New Roman" w:hAnsi="Times New Roman"/>
          <w:sz w:val="19"/>
          <w:szCs w:val="19"/>
          <w:color w:val="000000"/>
        </w:rPr>
        <w:t>n</w:t>
      </w:r>
      <w:r>
        <w:rPr>
          <w:rFonts w:ascii="Times New Roman" w:cs="Times New Roman" w:eastAsia="Times New Roman" w:hAnsi="Times New Roman"/>
          <w:sz w:val="19"/>
          <w:szCs w:val="19"/>
          <w:color w:val="111111"/>
        </w:rPr>
        <w:t xml:space="preserve">ot secured Enphase’s written approval on a business continuity plan. </w:t>
      </w:r>
      <w:r>
        <w:rPr>
          <w:rFonts w:ascii="Times New Roman" w:cs="Times New Roman" w:eastAsia="Times New Roman" w:hAnsi="Times New Roman"/>
          <w:sz w:val="19"/>
          <w:szCs w:val="19"/>
          <w:color w:val="000000"/>
        </w:rPr>
        <w:t>At a minimum, the</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00000"/>
        </w:rPr>
        <w:t>business continuity plan will identify alternative facilities, infrastructure, logistics, security, and preventative measures to minimize the impact to Enphase’s supply of Product.</w:t>
      </w:r>
    </w:p>
    <w:p>
      <w:pPr>
        <w:spacing w:after="0" w:line="61" w:lineRule="exact"/>
        <w:rPr>
          <w:sz w:val="20"/>
          <w:szCs w:val="20"/>
          <w:color w:val="auto"/>
        </w:rPr>
      </w:pPr>
    </w:p>
    <w:p>
      <w:pPr>
        <w:ind w:left="820"/>
        <w:spacing w:after="0"/>
        <w:tabs>
          <w:tab w:leader="none" w:pos="1660" w:val="left"/>
        </w:tabs>
        <w:rPr>
          <w:sz w:val="20"/>
          <w:szCs w:val="20"/>
          <w:color w:val="auto"/>
        </w:rPr>
      </w:pPr>
      <w:r>
        <w:rPr>
          <w:rFonts w:ascii="Times New Roman" w:cs="Times New Roman" w:eastAsia="Times New Roman" w:hAnsi="Times New Roman"/>
          <w:sz w:val="19"/>
          <w:szCs w:val="19"/>
          <w:color w:val="111111"/>
        </w:rPr>
        <w:t>10.10.</w:t>
      </w:r>
      <w:r>
        <w:rPr>
          <w:sz w:val="20"/>
          <w:szCs w:val="20"/>
          <w:color w:val="auto"/>
        </w:rPr>
        <w:tab/>
      </w:r>
      <w:r>
        <w:rPr>
          <w:rFonts w:ascii="Times New Roman" w:cs="Times New Roman" w:eastAsia="Times New Roman" w:hAnsi="Times New Roman"/>
          <w:sz w:val="19"/>
          <w:szCs w:val="19"/>
          <w:b w:val="1"/>
          <w:bCs w:val="1"/>
          <w:u w:val="single" w:color="auto"/>
          <w:color w:val="111111"/>
        </w:rPr>
        <w:t>Anti-Corruption and Anti Bribery.</w:t>
      </w:r>
    </w:p>
    <w:p>
      <w:pPr>
        <w:spacing w:after="0" w:line="269" w:lineRule="exact"/>
        <w:rPr>
          <w:sz w:val="20"/>
          <w:szCs w:val="20"/>
          <w:color w:val="auto"/>
        </w:rPr>
      </w:pPr>
    </w:p>
    <w:p>
      <w:pPr>
        <w:jc w:val="both"/>
        <w:ind w:firstLine="2"/>
        <w:spacing w:after="0" w:line="274" w:lineRule="auto"/>
        <w:tabs>
          <w:tab w:leader="none" w:pos="541" w:val="left"/>
        </w:tabs>
        <w:numPr>
          <w:ilvl w:val="0"/>
          <w:numId w:val="117"/>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auto"/>
        </w:rPr>
        <w:t>Each Party and its respective stockholders, directors, officers, employees, agents, representatives, consultants and subcontractors (each, a “Covered Representative”) acknowledge that they are subject to the U.S. Foreign Corrupt Practices Act, as well as other similar international, national, state, provincial and local anti-corruption and anti-bribery laws (the “Anti-Corruption Laws”) and that they will comply with such Anti-Corruption Laws. The Anti-Corruption Laws make it unlawful for such Party or its respective Covered Representatives or anyone acting on its behalf, to offer, pay, promise to pay or authorize the payment of any money, gift, entertainment or anything of value to any Government Official (as defined below) for the purpose of obtaining or retaining business or securing any improper advantage for such Party. “Government Official” includes:</w:t>
      </w:r>
    </w:p>
    <w:p>
      <w:pPr>
        <w:spacing w:after="0" w:line="24" w:lineRule="exact"/>
        <w:rPr>
          <w:rFonts w:ascii="Times New Roman" w:cs="Times New Roman" w:eastAsia="Times New Roman" w:hAnsi="Times New Roman"/>
          <w:sz w:val="19"/>
          <w:szCs w:val="19"/>
          <w:color w:val="111111"/>
        </w:rPr>
      </w:pPr>
    </w:p>
    <w:p>
      <w:pPr>
        <w:ind w:left="260" w:right="40" w:firstLine="621"/>
        <w:spacing w:after="0" w:line="309" w:lineRule="auto"/>
        <w:tabs>
          <w:tab w:leader="none" w:pos="1175"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Employees, directors, officers and agents of a business that is owned or controlled (whether in full or in part) by a government, such as a government energy company, refinery, airline, university or newspaper;</w:t>
      </w:r>
    </w:p>
    <w:p>
      <w:pPr>
        <w:spacing w:after="0" w:line="171" w:lineRule="exact"/>
        <w:rPr>
          <w:rFonts w:ascii="Times New Roman" w:cs="Times New Roman" w:eastAsia="Times New Roman" w:hAnsi="Times New Roman"/>
          <w:sz w:val="19"/>
          <w:szCs w:val="19"/>
          <w:color w:val="auto"/>
        </w:rPr>
      </w:pPr>
    </w:p>
    <w:p>
      <w:pPr>
        <w:ind w:left="260" w:right="380" w:firstLine="621"/>
        <w:spacing w:after="0" w:line="309" w:lineRule="auto"/>
        <w:tabs>
          <w:tab w:leader="none" w:pos="1176"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Employees, officials, and agents of public international organizations such as the World Bank, European Union, and the United Nations;</w:t>
      </w:r>
    </w:p>
    <w:p>
      <w:pPr>
        <w:spacing w:after="0" w:line="172" w:lineRule="exact"/>
        <w:rPr>
          <w:sz w:val="20"/>
          <w:szCs w:val="20"/>
          <w:color w:val="auto"/>
        </w:rPr>
      </w:pPr>
    </w:p>
    <w:p>
      <w:pPr>
        <w:ind w:left="260" w:firstLine="628"/>
        <w:spacing w:after="0" w:line="309" w:lineRule="auto"/>
        <w:rPr>
          <w:sz w:val="20"/>
          <w:szCs w:val="20"/>
          <w:color w:val="auto"/>
        </w:rPr>
      </w:pPr>
      <w:r>
        <w:rPr>
          <w:rFonts w:ascii="Times New Roman" w:cs="Times New Roman" w:eastAsia="Times New Roman" w:hAnsi="Times New Roman"/>
          <w:sz w:val="19"/>
          <w:szCs w:val="19"/>
          <w:color w:val="auto"/>
        </w:rPr>
        <w:t>(iii)All officials, employees, agents, and representatives of any branch or level of government (executive, legislative or judicial and whether national, state or local) or of any government department or</w:t>
      </w:r>
    </w:p>
    <w:p>
      <w:pPr>
        <w:sectPr>
          <w:pgSz w:w="11900" w:h="16838" w:orient="portrait"/>
          <w:cols w:equalWidth="0" w:num="1">
            <w:col w:w="9580"/>
          </w:cols>
          <w:pgMar w:left="1040" w:top="1205" w:right="1279" w:bottom="1440" w:gutter="0" w:footer="0" w:header="0"/>
        </w:sectPr>
      </w:pPr>
    </w:p>
    <w:bookmarkStart w:id="186" w:name="page187"/>
    <w:bookmarkEnd w:id="186"/>
    <w:p>
      <w:pPr>
        <w:ind w:left="260"/>
        <w:spacing w:after="0" w:line="309" w:lineRule="auto"/>
        <w:rPr>
          <w:sz w:val="20"/>
          <w:szCs w:val="20"/>
          <w:color w:val="auto"/>
        </w:rPr>
      </w:pPr>
      <w:r>
        <w:rPr>
          <w:rFonts w:ascii="Times New Roman" w:cs="Times New Roman" w:eastAsia="Times New Roman" w:hAnsi="Times New Roman"/>
          <w:sz w:val="19"/>
          <w:szCs w:val="19"/>
          <w:color w:val="auto"/>
        </w:rPr>
        <w:t>agency (including advisers to such agencies and branches), such as the employee of an agency responsible for regulating Enphase Energy Inc installations or services;</w:t>
      </w:r>
    </w:p>
    <w:p>
      <w:pPr>
        <w:spacing w:after="0" w:line="172" w:lineRule="exact"/>
        <w:rPr>
          <w:sz w:val="20"/>
          <w:szCs w:val="20"/>
          <w:color w:val="auto"/>
        </w:rPr>
      </w:pPr>
    </w:p>
    <w:p>
      <w:pPr>
        <w:ind w:left="260" w:firstLine="628"/>
        <w:spacing w:after="0" w:line="309" w:lineRule="auto"/>
        <w:rPr>
          <w:sz w:val="20"/>
          <w:szCs w:val="20"/>
          <w:color w:val="auto"/>
        </w:rPr>
      </w:pPr>
      <w:r>
        <w:rPr>
          <w:rFonts w:ascii="Times New Roman" w:cs="Times New Roman" w:eastAsia="Times New Roman" w:hAnsi="Times New Roman"/>
          <w:sz w:val="19"/>
          <w:szCs w:val="19"/>
          <w:color w:val="auto"/>
        </w:rPr>
        <w:t>(iv)Any political party official, employee or agent of a political party, or candidate for political office (or political party position); and</w:t>
      </w:r>
    </w:p>
    <w:p>
      <w:pPr>
        <w:spacing w:after="0" w:line="146" w:lineRule="exact"/>
        <w:rPr>
          <w:sz w:val="20"/>
          <w:szCs w:val="20"/>
          <w:color w:val="auto"/>
        </w:rPr>
      </w:pPr>
    </w:p>
    <w:p>
      <w:pPr>
        <w:ind w:left="1140" w:hanging="258"/>
        <w:spacing w:after="0"/>
        <w:tabs>
          <w:tab w:leader="none" w:pos="1140"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Any family</w:t>
      </w:r>
      <w:r>
        <w:rPr>
          <w:rFonts w:ascii="Times New Roman" w:cs="Times New Roman" w:eastAsia="Times New Roman" w:hAnsi="Times New Roman"/>
          <w:sz w:val="19"/>
          <w:szCs w:val="19"/>
          <w:color w:val="auto"/>
        </w:rPr>
        <w:t xml:space="preserve"> member or representative of any of the above.</w:t>
      </w:r>
    </w:p>
    <w:p>
      <w:pPr>
        <w:spacing w:after="0" w:line="292" w:lineRule="exact"/>
        <w:rPr>
          <w:rFonts w:ascii="Times New Roman" w:cs="Times New Roman" w:eastAsia="Times New Roman" w:hAnsi="Times New Roman"/>
          <w:sz w:val="19"/>
          <w:szCs w:val="19"/>
          <w:color w:val="auto"/>
        </w:rPr>
      </w:pPr>
    </w:p>
    <w:p>
      <w:pPr>
        <w:jc w:val="both"/>
        <w:ind w:firstLine="2"/>
        <w:spacing w:after="0" w:line="280" w:lineRule="auto"/>
        <w:tabs>
          <w:tab w:leader="none" w:pos="539" w:val="left"/>
        </w:tabs>
        <w:numPr>
          <w:ilvl w:val="0"/>
          <w:numId w:val="119"/>
        </w:numPr>
        <w:rPr>
          <w:rFonts w:ascii="Times New Roman" w:cs="Times New Roman" w:eastAsia="Times New Roman" w:hAnsi="Times New Roman"/>
          <w:sz w:val="19"/>
          <w:szCs w:val="19"/>
          <w:color w:val="111111"/>
        </w:rPr>
      </w:pPr>
      <w:r>
        <w:rPr>
          <w:rFonts w:ascii="Times New Roman" w:cs="Times New Roman" w:eastAsia="Times New Roman" w:hAnsi="Times New Roman"/>
          <w:sz w:val="19"/>
          <w:szCs w:val="19"/>
          <w:color w:val="111111"/>
        </w:rPr>
        <w:t>Certificate of Compliance. The Supplier will, upon request, promptly execute and provide Enphase with a Certificate of Compliance certifying that (i) the Supplier has read and understands the Anti-Corruption Laws; (ii) the supplier is in compliance with all applicable Laws in the performance of its obligations under this Agreement; or (iii) the Supplier is in compliance with or will comply with the Anti-Corruption Laws imposing obligations in connection with this Agreement.</w:t>
      </w:r>
    </w:p>
    <w:p>
      <w:pPr>
        <w:spacing w:after="0" w:line="211" w:lineRule="exact"/>
        <w:rPr>
          <w:sz w:val="20"/>
          <w:szCs w:val="20"/>
          <w:color w:val="auto"/>
        </w:rPr>
      </w:pPr>
    </w:p>
    <w:p>
      <w:pPr>
        <w:jc w:val="both"/>
        <w:ind w:right="100" w:firstLine="949"/>
        <w:spacing w:after="0" w:line="273" w:lineRule="auto"/>
        <w:rPr>
          <w:sz w:val="20"/>
          <w:szCs w:val="20"/>
          <w:color w:val="auto"/>
        </w:rPr>
      </w:pPr>
      <w:r>
        <w:rPr>
          <w:rFonts w:ascii="Times New Roman" w:cs="Times New Roman" w:eastAsia="Times New Roman" w:hAnsi="Times New Roman"/>
          <w:sz w:val="19"/>
          <w:szCs w:val="19"/>
          <w:color w:val="auto"/>
        </w:rPr>
        <w:t xml:space="preserve">10.11. </w:t>
      </w:r>
      <w:r>
        <w:rPr>
          <w:rFonts w:ascii="Times New Roman" w:cs="Times New Roman" w:eastAsia="Times New Roman" w:hAnsi="Times New Roman"/>
          <w:sz w:val="19"/>
          <w:szCs w:val="19"/>
          <w:b w:val="1"/>
          <w:bCs w:val="1"/>
          <w:u w:val="single" w:color="auto"/>
          <w:color w:val="auto"/>
        </w:rPr>
        <w:t>Conflict Minerals.</w:t>
      </w:r>
      <w:r>
        <w:rPr>
          <w:rFonts w:ascii="Times New Roman" w:cs="Times New Roman" w:eastAsia="Times New Roman" w:hAnsi="Times New Roman"/>
          <w:sz w:val="19"/>
          <w:szCs w:val="19"/>
          <w:color w:val="auto"/>
        </w:rPr>
        <w:t xml:space="preserve"> Supplier hereby represents and warrants that, to its knowledge after due inquiry to its suppliers, no tantalum, tin, tungsten and/or gold (“Conflict Minerals”), contained in any Products, originated from the Democratic Republic of the Congo or an adjoining country, unless the Conflict Minerals were processed by a facility listed as compliant pursuant to the CESI Conflict-Free Smelter Program. Upon request, Supplier will (i) provide Enphase with Conflict Minerals content and country of origin information on the Products; (ii) cooperate with Enphase (or an independent third party auditor) in any review of Supplier’s supply chain and procurement process, Conflict Mineral audits, and due diligence on Supplier’s own suppliers as required for Enphase’s annual SEC disclosure in compliance with the Dodd-Frank Act; and (iii) collaborate with Enphase in developing a chain of custody for Conflict Minerals in the supply chain and identifying and sourcing conflict-free sources for the minerals used in the Products. If any of the Products contain conflict minerals, Supplier will establish written policies, due diligence frameworks, and management systems consistent with the OECD Due Diligence Guidance for Responsible Supply Chains of Minerals from Conflict- Affected and High Risk-Areas (each as defined by the OECD Due Diligence Guidelines) that are designed to accomplish this goal, and require its own suppliers to do the same.</w:t>
      </w:r>
    </w:p>
    <w:p>
      <w:pPr>
        <w:spacing w:after="0" w:line="35" w:lineRule="exact"/>
        <w:rPr>
          <w:sz w:val="20"/>
          <w:szCs w:val="20"/>
          <w:color w:val="auto"/>
        </w:rPr>
      </w:pPr>
    </w:p>
    <w:p>
      <w:pPr>
        <w:ind w:left="960"/>
        <w:spacing w:after="0"/>
        <w:tabs>
          <w:tab w:leader="none" w:pos="1560" w:val="left"/>
        </w:tabs>
        <w:rPr>
          <w:sz w:val="20"/>
          <w:szCs w:val="20"/>
          <w:color w:val="auto"/>
        </w:rPr>
      </w:pPr>
      <w:r>
        <w:rPr>
          <w:rFonts w:ascii="Times New Roman" w:cs="Times New Roman" w:eastAsia="Times New Roman" w:hAnsi="Times New Roman"/>
          <w:sz w:val="19"/>
          <w:szCs w:val="19"/>
          <w:color w:val="auto"/>
        </w:rPr>
        <w:t>10.12</w:t>
      </w:r>
      <w:r>
        <w:rPr>
          <w:sz w:val="20"/>
          <w:szCs w:val="20"/>
          <w:color w:val="auto"/>
        </w:rPr>
        <w:tab/>
      </w:r>
      <w:r>
        <w:rPr>
          <w:rFonts w:ascii="Times New Roman" w:cs="Times New Roman" w:eastAsia="Times New Roman" w:hAnsi="Times New Roman"/>
          <w:sz w:val="19"/>
          <w:szCs w:val="19"/>
          <w:b w:val="1"/>
          <w:bCs w:val="1"/>
          <w:u w:val="single" w:color="auto"/>
          <w:color w:val="auto"/>
        </w:rPr>
        <w:t>Safety And Regulatory Compliance</w:t>
      </w:r>
    </w:p>
    <w:p>
      <w:pPr>
        <w:spacing w:after="0" w:line="295" w:lineRule="exact"/>
        <w:rPr>
          <w:sz w:val="20"/>
          <w:szCs w:val="20"/>
          <w:color w:val="auto"/>
        </w:rPr>
      </w:pPr>
    </w:p>
    <w:p>
      <w:pPr>
        <w:jc w:val="both"/>
        <w:ind w:right="100" w:firstLine="1119"/>
        <w:spacing w:after="0" w:line="274" w:lineRule="auto"/>
        <w:tabs>
          <w:tab w:leader="none" w:pos="1789"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Products, or the Enphase products into which they are incorporated, may need to comply with laws that restrict product content, including, but not limited to, the RoHS Requirements. Supplier will provide to Enphase, at Enphase’s request: (i) satisfactory documentation that all materials do not exceed the Restricted Values; (ii) certification of the exact concentration of each substance subject to the Restricted Values in all non-Enphase Materials so Enphase can determine if Enphase Materials combined with non- Enphase Materials do not exceed the Restricted Values; and (iii) reports on the occurrence of other substances that may require disclosure to governmental bodies, customers and/or recyclers by completing the supplier questionnaires provided by Enphase.</w:t>
      </w:r>
    </w:p>
    <w:p>
      <w:pPr>
        <w:spacing w:after="0" w:line="76" w:lineRule="exact"/>
        <w:rPr>
          <w:rFonts w:ascii="Times New Roman" w:cs="Times New Roman" w:eastAsia="Times New Roman" w:hAnsi="Times New Roman"/>
          <w:sz w:val="19"/>
          <w:szCs w:val="19"/>
          <w:color w:val="auto"/>
        </w:rPr>
      </w:pPr>
    </w:p>
    <w:p>
      <w:pPr>
        <w:jc w:val="both"/>
        <w:ind w:right="100" w:firstLine="1119"/>
        <w:spacing w:after="0" w:line="274" w:lineRule="auto"/>
        <w:tabs>
          <w:tab w:leader="none" w:pos="1799"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Enphase gives Supplier notice that the Restricted Values are changed in a manner that may negatively affect Supplier's obligations ("Revised Restricted Values"), and, within ten business days thereafter, Supplier does not give Enphase notice that its warranty and/or certification are no longer valid, then Supplier is deemed to have warranted that: (a) all non-Enphase Material will meet the Revised Restricted Values; and (b) its certification remains unaffected by the Revised Restricted Values. If any Product fails to meet any legal requirements for chemicals. the initial or Revised Restricted Values, then Enphase may, in addition to other available remedies and at its discretion, immediately on notice to Supplier, discontinue purchasing that Product or Product Service and any Enphase purchase commitment,</w:t>
      </w:r>
    </w:p>
    <w:p>
      <w:pPr>
        <w:sectPr>
          <w:pgSz w:w="11900" w:h="16838" w:orient="portrait"/>
          <w:cols w:equalWidth="0" w:num="1">
            <w:col w:w="9580"/>
          </w:cols>
          <w:pgMar w:left="1040" w:top="1074" w:right="1279" w:bottom="1440" w:gutter="0" w:footer="0" w:header="0"/>
        </w:sectPr>
      </w:pPr>
    </w:p>
    <w:bookmarkStart w:id="187" w:name="page188"/>
    <w:bookmarkEnd w:id="187"/>
    <w:p>
      <w:pPr>
        <w:spacing w:after="0" w:line="309" w:lineRule="auto"/>
        <w:rPr>
          <w:sz w:val="20"/>
          <w:szCs w:val="20"/>
          <w:color w:val="auto"/>
        </w:rPr>
      </w:pPr>
      <w:r>
        <w:rPr>
          <w:rFonts w:ascii="Times New Roman" w:cs="Times New Roman" w:eastAsia="Times New Roman" w:hAnsi="Times New Roman"/>
          <w:sz w:val="19"/>
          <w:szCs w:val="19"/>
          <w:color w:val="auto"/>
        </w:rPr>
        <w:t>Forecast, or Order relating to that Product or Product Service will be automatically revised to reflect Enphase's discontinuation of that purchase.</w:t>
      </w:r>
    </w:p>
    <w:p>
      <w:pPr>
        <w:spacing w:after="0" w:line="28" w:lineRule="exact"/>
        <w:rPr>
          <w:sz w:val="20"/>
          <w:szCs w:val="20"/>
          <w:color w:val="auto"/>
        </w:rPr>
      </w:pPr>
    </w:p>
    <w:p>
      <w:pPr>
        <w:jc w:val="both"/>
        <w:ind w:firstLine="1119"/>
        <w:spacing w:after="0" w:line="274" w:lineRule="auto"/>
        <w:tabs>
          <w:tab w:leader="none" w:pos="1789"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Before or at shipment of any Product that requires a Material Safety Data Sheet ("MSDS"), Supplier will deliver that MSDS to Enphase. Supplier will immediately provide Enphase with any update or revision to each MSDS. Supplier warrants that each Product is in compliance with, or exempt from, all applicable laws that govern the manufacture, processing, sale or distribution, import or export of chemical products, including, by way of example and without limitation, inventory, pre-market notification requirements, and other requirements imposed in the United States under the Toxic Substances Control Act, 15 U.S.C. Section 2601 et seq. and in the European Union under the Dangerous Substances Directive 67/548/ EEC and European Community Regulation on chemicals and their safe use (EC 1907/2006) (the "Chemical Control Laws"). Supplier will promptly inform Enphase in writing of any change in a Product's regulatory status under any Chemical Control Law.</w:t>
      </w:r>
    </w:p>
    <w:p>
      <w:pPr>
        <w:spacing w:after="0" w:line="74" w:lineRule="exact"/>
        <w:rPr>
          <w:sz w:val="20"/>
          <w:szCs w:val="20"/>
          <w:color w:val="auto"/>
        </w:rPr>
      </w:pPr>
    </w:p>
    <w:p>
      <w:pPr>
        <w:jc w:val="both"/>
        <w:ind w:firstLine="949"/>
        <w:spacing w:after="0" w:line="278" w:lineRule="auto"/>
        <w:rPr>
          <w:sz w:val="20"/>
          <w:szCs w:val="20"/>
          <w:color w:val="auto"/>
        </w:rPr>
      </w:pPr>
      <w:r>
        <w:rPr>
          <w:rFonts w:ascii="Times New Roman" w:cs="Times New Roman" w:eastAsia="Times New Roman" w:hAnsi="Times New Roman"/>
          <w:sz w:val="19"/>
          <w:szCs w:val="19"/>
          <w:color w:val="111111"/>
        </w:rPr>
        <w:t xml:space="preserve">10.13. </w:t>
      </w:r>
      <w:r>
        <w:rPr>
          <w:rFonts w:ascii="Times New Roman" w:cs="Times New Roman" w:eastAsia="Times New Roman" w:hAnsi="Times New Roman"/>
          <w:sz w:val="19"/>
          <w:szCs w:val="19"/>
          <w:b w:val="1"/>
          <w:bCs w:val="1"/>
          <w:u w:val="single" w:color="auto"/>
          <w:color w:val="111111"/>
        </w:rPr>
        <w:t>Successors, Assignment.</w:t>
      </w:r>
      <w:r>
        <w:rPr>
          <w:rFonts w:ascii="Times New Roman" w:cs="Times New Roman" w:eastAsia="Times New Roman" w:hAnsi="Times New Roman"/>
          <w:sz w:val="19"/>
          <w:szCs w:val="19"/>
          <w:color w:val="111111"/>
        </w:rPr>
        <w:t xml:space="preserve"> This Agreement shall be binding upon and inure to the benefit of the Party hereto and their respective successors, assigns and legal representatives</w:t>
      </w:r>
      <w:r>
        <w:rPr>
          <w:rFonts w:ascii="Times New Roman" w:cs="Times New Roman" w:eastAsia="Times New Roman" w:hAnsi="Times New Roman"/>
          <w:sz w:val="19"/>
          <w:szCs w:val="19"/>
          <w:color w:val="333333"/>
        </w:rPr>
        <w:t>. The Supplier</w:t>
      </w:r>
      <w:r>
        <w:rPr>
          <w:rFonts w:ascii="Times New Roman" w:cs="Times New Roman" w:eastAsia="Times New Roman" w:hAnsi="Times New Roman"/>
          <w:sz w:val="19"/>
          <w:szCs w:val="19"/>
          <w:color w:val="111111"/>
        </w:rPr>
        <w:t xml:space="preserve"> shall not have the right to assign or otherwise transfer its rights or obligations under this Agreement except with the prior written consent of Enphase. Any such attempt to assign or transfer without Enphase’s consent is void. For purposes of this section, any transfer by sale, merger, or other combination of ownership or control of more than fifty percent (50%) of the voting securities or control of Supplier will constitute and assignment.</w:t>
      </w:r>
    </w:p>
    <w:p>
      <w:pPr>
        <w:spacing w:after="0" w:line="55" w:lineRule="exact"/>
        <w:rPr>
          <w:sz w:val="20"/>
          <w:szCs w:val="20"/>
          <w:color w:val="auto"/>
        </w:rPr>
      </w:pPr>
    </w:p>
    <w:p>
      <w:pPr>
        <w:jc w:val="both"/>
        <w:ind w:firstLine="949"/>
        <w:spacing w:after="0" w:line="273" w:lineRule="auto"/>
        <w:rPr>
          <w:sz w:val="20"/>
          <w:szCs w:val="20"/>
          <w:color w:val="auto"/>
        </w:rPr>
      </w:pPr>
      <w:r>
        <w:rPr>
          <w:rFonts w:ascii="Times New Roman" w:cs="Times New Roman" w:eastAsia="Times New Roman" w:hAnsi="Times New Roman"/>
          <w:sz w:val="19"/>
          <w:szCs w:val="19"/>
          <w:color w:val="111111"/>
        </w:rPr>
        <w:t xml:space="preserve">10.14. </w:t>
      </w:r>
      <w:r>
        <w:rPr>
          <w:rFonts w:ascii="Times New Roman" w:cs="Times New Roman" w:eastAsia="Times New Roman" w:hAnsi="Times New Roman"/>
          <w:sz w:val="19"/>
          <w:szCs w:val="19"/>
          <w:b w:val="1"/>
          <w:bCs w:val="1"/>
          <w:u w:val="single" w:color="auto"/>
          <w:color w:val="111111"/>
        </w:rPr>
        <w:t>Audits and Inventory count reports.</w:t>
      </w:r>
      <w:r>
        <w:rPr>
          <w:rFonts w:ascii="Times New Roman" w:cs="Times New Roman" w:eastAsia="Times New Roman" w:hAnsi="Times New Roman"/>
          <w:sz w:val="19"/>
          <w:szCs w:val="19"/>
          <w:color w:val="111111"/>
        </w:rPr>
        <w:t xml:space="preserve"> Supplier will keep complete and accurate records of all matters relating to its performance under this Agreement, including Inventory count. In particular, the Supplier shall conduct an internal audit on a quarterly basis, on the Inventory maintained by the Supplier. The Supplier shall, at Enphase’s request, provide a report detailing the findings of the aforementioned internal audit to Enphase. All financial records relating to this Agreement will be maintained according to local regulation. Supplier will retain all such records for at least five years from the date of creation or longer if required by applicable Law or by a specific term of this Agreement. Supplier agrees that Enphase may, upon reasonable advance notice and at Enphase’s expense, audit and inspect such items in order to verify Supplier’s compliance with this Agreement, including Supplier’s documents, records, facilities and Enphase Owned Equipment (each, an “Audit”). If an Audit reveals any overcharges, Supplier will pay to Enphase, within 30 days of Supplier’s receipt of notice thereof from Enphase, (1) the amount of such overcharges, including interest thereon as provided in this section; and (2) Enphase’s reasonable cost of conducting such Audit. Interest willaccrue on any overcharges at the lesser of (1) the prime rate of interest published in the Wall Street Journal, as same will be published on the day on which the Audit is completed (or, if the prime rate of interest is not published on such date, the next business Day thereafter on which the prime rate of interest is so published), plus two percent; or (2) the highest amount allowed by Law. Such interest will accrue from the time such overcharge was paid by Enphase until Supplier repays such overcharge.</w:t>
      </w:r>
    </w:p>
    <w:p>
      <w:pPr>
        <w:spacing w:after="0" w:line="75" w:lineRule="exact"/>
        <w:rPr>
          <w:sz w:val="20"/>
          <w:szCs w:val="20"/>
          <w:color w:val="auto"/>
        </w:rPr>
      </w:pPr>
    </w:p>
    <w:p>
      <w:pPr>
        <w:jc w:val="both"/>
        <w:ind w:firstLine="949"/>
        <w:spacing w:after="0" w:line="279" w:lineRule="auto"/>
        <w:rPr>
          <w:sz w:val="20"/>
          <w:szCs w:val="20"/>
          <w:color w:val="auto"/>
        </w:rPr>
      </w:pPr>
      <w:r>
        <w:rPr>
          <w:rFonts w:ascii="Times New Roman" w:cs="Times New Roman" w:eastAsia="Times New Roman" w:hAnsi="Times New Roman"/>
          <w:sz w:val="19"/>
          <w:szCs w:val="19"/>
          <w:color w:val="111111"/>
        </w:rPr>
        <w:t xml:space="preserve">10.15. </w:t>
      </w:r>
      <w:r>
        <w:rPr>
          <w:rFonts w:ascii="Times New Roman" w:cs="Times New Roman" w:eastAsia="Times New Roman" w:hAnsi="Times New Roman"/>
          <w:sz w:val="19"/>
          <w:szCs w:val="19"/>
          <w:b w:val="1"/>
          <w:bCs w:val="1"/>
          <w:u w:val="single" w:color="auto"/>
          <w:color w:val="111111"/>
        </w:rPr>
        <w:t>Notices.</w:t>
      </w:r>
      <w:r>
        <w:rPr>
          <w:rFonts w:ascii="Times New Roman" w:cs="Times New Roman" w:eastAsia="Times New Roman" w:hAnsi="Times New Roman"/>
          <w:sz w:val="19"/>
          <w:szCs w:val="19"/>
          <w:color w:val="111111"/>
        </w:rPr>
        <w:t xml:space="preserve"> All notices required or permitted under this Agreement will be in writing and will be deemed received (a) when delivered personally; (b) when sent by confirmed facsimile; (c) five (5) days after having been sent by registered or certified mail, return receipt requested, postage prepaid; or (d) one (1) day after deposit with a commercial overnight carrier. All communications will be sent to the addresses set forth above or to such other address as may be designated by a Party by giving written notice to the other Party pursuant to this section.</w:t>
      </w:r>
    </w:p>
    <w:p>
      <w:pPr>
        <w:spacing w:after="0" w:line="68" w:lineRule="exact"/>
        <w:rPr>
          <w:sz w:val="20"/>
          <w:szCs w:val="20"/>
          <w:color w:val="auto"/>
        </w:rPr>
      </w:pPr>
    </w:p>
    <w:p>
      <w:pPr>
        <w:jc w:val="both"/>
        <w:ind w:firstLine="935"/>
        <w:spacing w:after="0" w:line="285" w:lineRule="auto"/>
        <w:rPr>
          <w:sz w:val="20"/>
          <w:szCs w:val="20"/>
          <w:color w:val="auto"/>
        </w:rPr>
      </w:pPr>
      <w:r>
        <w:rPr>
          <w:rFonts w:ascii="Times New Roman" w:cs="Times New Roman" w:eastAsia="Times New Roman" w:hAnsi="Times New Roman"/>
          <w:sz w:val="19"/>
          <w:szCs w:val="19"/>
          <w:color w:val="111111"/>
        </w:rPr>
        <w:t xml:space="preserve">10.16. </w:t>
      </w:r>
      <w:r>
        <w:rPr>
          <w:rFonts w:ascii="Times New Roman" w:cs="Times New Roman" w:eastAsia="Times New Roman" w:hAnsi="Times New Roman"/>
          <w:sz w:val="19"/>
          <w:szCs w:val="19"/>
          <w:b w:val="1"/>
          <w:bCs w:val="1"/>
          <w:u w:val="single" w:color="auto"/>
          <w:color w:val="111111"/>
        </w:rPr>
        <w:t>Even-Handed Construction.</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C0C0C"/>
        </w:rPr>
        <w:t>The terms and conditions as set forth in this Agreement have been</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C0C0C"/>
        </w:rPr>
        <w:t>arrived at after mutual negotiation, and it is the intention of the Party that its terms and conditions not be construed against any Party merely because it was prepared by one of the Party.</w:t>
      </w:r>
    </w:p>
    <w:p>
      <w:pPr>
        <w:sectPr>
          <w:pgSz w:w="11900" w:h="16838" w:orient="portrait"/>
          <w:cols w:equalWidth="0" w:num="1">
            <w:col w:w="9480"/>
          </w:cols>
          <w:pgMar w:left="1040" w:top="1179" w:right="1379" w:bottom="1440" w:gutter="0" w:footer="0" w:header="0"/>
        </w:sectPr>
      </w:pPr>
    </w:p>
    <w:bookmarkStart w:id="188" w:name="page189"/>
    <w:bookmarkEnd w:id="188"/>
    <w:p>
      <w:pPr>
        <w:jc w:val="both"/>
        <w:ind w:firstLine="935"/>
        <w:spacing w:after="0" w:line="277" w:lineRule="auto"/>
        <w:rPr>
          <w:sz w:val="20"/>
          <w:szCs w:val="20"/>
          <w:color w:val="auto"/>
        </w:rPr>
      </w:pPr>
      <w:r>
        <w:rPr>
          <w:rFonts w:ascii="Times New Roman" w:cs="Times New Roman" w:eastAsia="Times New Roman" w:hAnsi="Times New Roman"/>
          <w:sz w:val="19"/>
          <w:szCs w:val="19"/>
          <w:color w:val="111111"/>
        </w:rPr>
        <w:t xml:space="preserve">10.17. </w:t>
      </w:r>
      <w:r>
        <w:rPr>
          <w:rFonts w:ascii="Times New Roman" w:cs="Times New Roman" w:eastAsia="Times New Roman" w:hAnsi="Times New Roman"/>
          <w:sz w:val="19"/>
          <w:szCs w:val="19"/>
          <w:b w:val="1"/>
          <w:bCs w:val="1"/>
          <w:u w:val="single" w:color="auto"/>
          <w:color w:val="111111"/>
        </w:rPr>
        <w:t>Compliance with Laws.</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C0C0C"/>
        </w:rPr>
        <w:t>Supplier represents and warrants that the Products are and will be produced</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C0C0C"/>
        </w:rPr>
        <w:t>and delivered in accordance with all applicable Laws. Further, Supplier has implemented and maintains a comprehensive program for assuring environmental compliance in its operations according to recognized practices, such as ISO 14000 or comparable criteria. Both Parties will adhere to all applicable Laws and regulations governing such Party’s conduct in connection with this Agreement, including, any laws or regulations of the U.S. Department of Commerce Bureau of Industry and Security, and will not export or re- export any technical data or products received from a Party, or the direct product of such technical data, to any proscribed country listed in the U.S. Export Administration regulations unless properly authorized by the U.S. government.</w:t>
      </w:r>
    </w:p>
    <w:p>
      <w:pPr>
        <w:spacing w:after="0" w:line="68" w:lineRule="exact"/>
        <w:rPr>
          <w:sz w:val="20"/>
          <w:szCs w:val="20"/>
          <w:color w:val="auto"/>
        </w:rPr>
      </w:pPr>
    </w:p>
    <w:p>
      <w:pPr>
        <w:jc w:val="both"/>
        <w:ind w:firstLine="935"/>
        <w:spacing w:after="0" w:line="297" w:lineRule="auto"/>
        <w:rPr>
          <w:sz w:val="20"/>
          <w:szCs w:val="20"/>
          <w:color w:val="auto"/>
        </w:rPr>
      </w:pPr>
      <w:r>
        <w:rPr>
          <w:rFonts w:ascii="Times New Roman" w:cs="Times New Roman" w:eastAsia="Times New Roman" w:hAnsi="Times New Roman"/>
          <w:sz w:val="19"/>
          <w:szCs w:val="19"/>
          <w:color w:val="111111"/>
        </w:rPr>
        <w:t xml:space="preserve">10.18. </w:t>
      </w:r>
      <w:r>
        <w:rPr>
          <w:rFonts w:ascii="Times New Roman" w:cs="Times New Roman" w:eastAsia="Times New Roman" w:hAnsi="Times New Roman"/>
          <w:sz w:val="19"/>
          <w:szCs w:val="19"/>
          <w:b w:val="1"/>
          <w:bCs w:val="1"/>
          <w:u w:val="single" w:color="auto"/>
          <w:color w:val="111111"/>
        </w:rPr>
        <w:t>Controlling Language.</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C0C0C"/>
        </w:rPr>
        <w:t>This Agreement is in English only, which language shall be controlling in all</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0C0C0C"/>
        </w:rPr>
        <w:t>respects. All documents exchanged under this Agreement shall be in English.</w:t>
      </w:r>
    </w:p>
    <w:p>
      <w:pPr>
        <w:spacing w:after="0" w:line="49" w:lineRule="exact"/>
        <w:rPr>
          <w:sz w:val="20"/>
          <w:szCs w:val="20"/>
          <w:color w:val="auto"/>
        </w:rPr>
      </w:pPr>
    </w:p>
    <w:p>
      <w:pPr>
        <w:jc w:val="both"/>
        <w:ind w:firstLine="935"/>
        <w:spacing w:after="0" w:line="278" w:lineRule="auto"/>
        <w:rPr>
          <w:sz w:val="20"/>
          <w:szCs w:val="20"/>
          <w:color w:val="auto"/>
        </w:rPr>
      </w:pPr>
      <w:r>
        <w:rPr>
          <w:rFonts w:ascii="Times New Roman" w:cs="Times New Roman" w:eastAsia="Times New Roman" w:hAnsi="Times New Roman"/>
          <w:sz w:val="19"/>
          <w:szCs w:val="19"/>
          <w:color w:val="111111"/>
        </w:rPr>
        <w:t xml:space="preserve">10.19. </w:t>
      </w:r>
      <w:r>
        <w:rPr>
          <w:rFonts w:ascii="Times New Roman" w:cs="Times New Roman" w:eastAsia="Times New Roman" w:hAnsi="Times New Roman"/>
          <w:sz w:val="19"/>
          <w:szCs w:val="19"/>
          <w:b w:val="1"/>
          <w:bCs w:val="1"/>
          <w:u w:val="single" w:color="auto"/>
          <w:color w:val="111111"/>
        </w:rPr>
        <w:t>Controlling Law.</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111516"/>
        </w:rPr>
        <w:t>This Agreement shall be governed and construed in all respects in accordance with</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111516"/>
        </w:rPr>
        <w:t>the domestic Laws and regulations of the State of California, without regard to its conflicts of laws provisions. The courts in Santa Clara County, California will have jurisdiction over any disputes between the Parties, arising from this Agreement (</w:t>
      </w:r>
      <w:r>
        <w:rPr>
          <w:rFonts w:ascii="Times New Roman" w:cs="Times New Roman" w:eastAsia="Times New Roman" w:hAnsi="Times New Roman"/>
          <w:sz w:val="19"/>
          <w:szCs w:val="19"/>
          <w:b w:val="1"/>
          <w:bCs w:val="1"/>
          <w:color w:val="111516"/>
        </w:rPr>
        <w:t>“Disputes</w:t>
      </w:r>
      <w:r>
        <w:rPr>
          <w:rFonts w:ascii="Times New Roman" w:cs="Times New Roman" w:eastAsia="Times New Roman" w:hAnsi="Times New Roman"/>
          <w:sz w:val="19"/>
          <w:szCs w:val="19"/>
          <w:color w:val="111516"/>
        </w:rPr>
        <w:t>”). The Party specifically agree that the 1980 United Nations Convention on Contracts for the International Sale of Goods, as may be amended from time to time, shall not apply to this Agreement. The Party further acknowledge and confirm that the selection of the governing law is a material term of this Agreement.</w:t>
      </w:r>
    </w:p>
    <w:p>
      <w:pPr>
        <w:spacing w:after="0" w:line="68" w:lineRule="exact"/>
        <w:rPr>
          <w:sz w:val="20"/>
          <w:szCs w:val="20"/>
          <w:color w:val="auto"/>
        </w:rPr>
      </w:pPr>
    </w:p>
    <w:p>
      <w:pPr>
        <w:jc w:val="both"/>
        <w:ind w:firstLine="935"/>
        <w:spacing w:after="0" w:line="271" w:lineRule="auto"/>
        <w:rPr>
          <w:sz w:val="20"/>
          <w:szCs w:val="20"/>
          <w:color w:val="auto"/>
        </w:rPr>
      </w:pPr>
      <w:r>
        <w:rPr>
          <w:rFonts w:ascii="Times New Roman" w:cs="Times New Roman" w:eastAsia="Times New Roman" w:hAnsi="Times New Roman"/>
          <w:sz w:val="19"/>
          <w:szCs w:val="19"/>
          <w:color w:val="auto"/>
        </w:rPr>
        <w:t xml:space="preserve">10.20. </w:t>
      </w:r>
      <w:r>
        <w:rPr>
          <w:rFonts w:ascii="Times New Roman" w:cs="Times New Roman" w:eastAsia="Times New Roman" w:hAnsi="Times New Roman"/>
          <w:sz w:val="19"/>
          <w:szCs w:val="19"/>
          <w:b w:val="1"/>
          <w:bCs w:val="1"/>
          <w:u w:val="single" w:color="auto"/>
          <w:color w:val="auto"/>
        </w:rPr>
        <w:t>Dispute Resolutions.</w:t>
      </w:r>
      <w:r>
        <w:rPr>
          <w:rFonts w:ascii="Times New Roman" w:cs="Times New Roman" w:eastAsia="Times New Roman" w:hAnsi="Times New Roman"/>
          <w:sz w:val="19"/>
          <w:szCs w:val="19"/>
          <w:color w:val="auto"/>
        </w:rPr>
        <w:t xml:space="preserve"> Any legal action, suit proceeding or dispute arising from or relating to this Agreement or its breach by a Party, including those disputes relating to the validity, interpretation or termination of the Agreement that executives appointed by the Parties cannot amicably resolve within thirty (30) days, shall be referred to senior management executives of each Party. If the dispute cannot be referred by such senior management within thirty</w:t>
      </w:r>
    </w:p>
    <w:p>
      <w:pPr>
        <w:spacing w:after="0" w:line="1" w:lineRule="exact"/>
        <w:rPr>
          <w:sz w:val="20"/>
          <w:szCs w:val="20"/>
          <w:color w:val="auto"/>
        </w:rPr>
      </w:pPr>
    </w:p>
    <w:p>
      <w:pPr>
        <w:jc w:val="both"/>
        <w:ind w:firstLine="2"/>
        <w:spacing w:after="0" w:line="274" w:lineRule="auto"/>
        <w:tabs>
          <w:tab w:leader="none" w:pos="398"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it shall finally settled by arbitration in accordance with the Streamlined Arbitration Rules &amp; Procedures of JAMS, Inc., except that the foregoing shall not prevent either Party from seeking temporary injunctive relief from courts located in the State of California. The rules of JAMS shall be modified by the remainder of this Section 10.20. The arbitration will be conducted in the English by a single arbitrator, selected by the mutual agreement of the Parties; provided, if the Parties fail to reach such mutual agreement within 30 days of the receiving Party’s receipt of the notice of arbitration, then the selection of the single arbitrator shall be made by JAMS. The place of arbitration shall be San Francisco, California. The costs of arbitration are to be shared equally by the Parties; provided the arbitrator’s final award shall award to the prevailing Party its reasonable fees and costs (including attorney and other professionals fees and costs) incurred in connection with the arbitration to the extent the arbitrator deems the Party to have prevailed (but if the prevailing Party is not awarded all of the damages sought, only to the extent, pro rata, of its award compared to the damages sought) and may grant such other, further and different relief as authorized by the rules of JAMS.</w:t>
      </w:r>
    </w:p>
    <w:p>
      <w:pPr>
        <w:spacing w:after="0" w:line="72" w:lineRule="exact"/>
        <w:rPr>
          <w:sz w:val="20"/>
          <w:szCs w:val="20"/>
          <w:color w:val="auto"/>
        </w:rPr>
      </w:pPr>
    </w:p>
    <w:p>
      <w:pPr>
        <w:jc w:val="both"/>
        <w:ind w:firstLine="935"/>
        <w:spacing w:after="0" w:line="281" w:lineRule="auto"/>
        <w:rPr>
          <w:sz w:val="20"/>
          <w:szCs w:val="20"/>
          <w:color w:val="auto"/>
        </w:rPr>
      </w:pPr>
      <w:r>
        <w:rPr>
          <w:rFonts w:ascii="Times New Roman" w:cs="Times New Roman" w:eastAsia="Times New Roman" w:hAnsi="Times New Roman"/>
          <w:sz w:val="19"/>
          <w:szCs w:val="19"/>
          <w:color w:val="111111"/>
        </w:rPr>
        <w:t xml:space="preserve">10.21. </w:t>
      </w:r>
      <w:r>
        <w:rPr>
          <w:rFonts w:ascii="Times New Roman" w:cs="Times New Roman" w:eastAsia="Times New Roman" w:hAnsi="Times New Roman"/>
          <w:sz w:val="19"/>
          <w:szCs w:val="19"/>
          <w:b w:val="1"/>
          <w:bCs w:val="1"/>
          <w:u w:val="single" w:color="auto"/>
          <w:color w:val="111111"/>
        </w:rPr>
        <w:t>No Waiver.</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111516"/>
        </w:rPr>
        <w:t>No failure or delay on the part of any Party in exercising any right hereunder, irrespective</w:t>
      </w:r>
      <w:r>
        <w:rPr>
          <w:rFonts w:ascii="Times New Roman" w:cs="Times New Roman" w:eastAsia="Times New Roman" w:hAnsi="Times New Roman"/>
          <w:sz w:val="19"/>
          <w:szCs w:val="19"/>
          <w:color w:val="111111"/>
        </w:rPr>
        <w:t xml:space="preserve"> </w:t>
      </w:r>
      <w:r>
        <w:rPr>
          <w:rFonts w:ascii="Times New Roman" w:cs="Times New Roman" w:eastAsia="Times New Roman" w:hAnsi="Times New Roman"/>
          <w:sz w:val="19"/>
          <w:szCs w:val="19"/>
          <w:color w:val="111516"/>
        </w:rPr>
        <w:t>of the length of time for which such failure or delay shall continue, will operate as a waiver of, or impair, any such right. No single or partial exercise of any right hereunder shall preclude any other or further exercise thereof or the exercise of any other right. No waiver of any right hereunder will be effective unless given in a signed writing.</w:t>
      </w:r>
    </w:p>
    <w:p>
      <w:pPr>
        <w:spacing w:after="0" w:line="39" w:lineRule="exact"/>
        <w:rPr>
          <w:sz w:val="20"/>
          <w:szCs w:val="20"/>
          <w:color w:val="auto"/>
        </w:rPr>
      </w:pPr>
    </w:p>
    <w:p>
      <w:pPr>
        <w:ind w:left="940"/>
        <w:spacing w:after="0"/>
        <w:tabs>
          <w:tab w:leader="none" w:pos="1600" w:val="left"/>
        </w:tabs>
        <w:rPr>
          <w:sz w:val="20"/>
          <w:szCs w:val="20"/>
          <w:color w:val="auto"/>
        </w:rPr>
      </w:pPr>
      <w:r>
        <w:rPr>
          <w:rFonts w:ascii="Times New Roman" w:cs="Times New Roman" w:eastAsia="Times New Roman" w:hAnsi="Times New Roman"/>
          <w:sz w:val="19"/>
          <w:szCs w:val="19"/>
          <w:color w:val="111111"/>
        </w:rPr>
        <w:t>10.22.</w:t>
      </w:r>
      <w:r>
        <w:rPr>
          <w:sz w:val="20"/>
          <w:szCs w:val="20"/>
          <w:color w:val="auto"/>
        </w:rPr>
        <w:tab/>
      </w:r>
      <w:r>
        <w:rPr>
          <w:rFonts w:ascii="Times New Roman" w:cs="Times New Roman" w:eastAsia="Times New Roman" w:hAnsi="Times New Roman"/>
          <w:sz w:val="19"/>
          <w:szCs w:val="19"/>
          <w:b w:val="1"/>
          <w:bCs w:val="1"/>
          <w:u w:val="single" w:color="auto"/>
          <w:color w:val="111111"/>
        </w:rPr>
        <w:t xml:space="preserve">Counterparts. </w:t>
      </w:r>
      <w:r>
        <w:rPr>
          <w:rFonts w:ascii="Times New Roman" w:cs="Times New Roman" w:eastAsia="Times New Roman" w:hAnsi="Times New Roman"/>
          <w:sz w:val="19"/>
          <w:szCs w:val="19"/>
          <w:color w:val="111516"/>
        </w:rPr>
        <w:t>This Agreement may be executed in counterparts</w:t>
      </w:r>
      <w:r>
        <w:rPr>
          <w:rFonts w:ascii="Times New Roman" w:cs="Times New Roman" w:eastAsia="Times New Roman" w:hAnsi="Times New Roman"/>
          <w:sz w:val="19"/>
          <w:szCs w:val="19"/>
          <w:color w:val="3D4242"/>
        </w:rPr>
        <w:t>.</w:t>
      </w:r>
    </w:p>
    <w:p>
      <w:pPr>
        <w:sectPr>
          <w:pgSz w:w="11900" w:h="16838" w:orient="portrait"/>
          <w:cols w:equalWidth="0" w:num="1">
            <w:col w:w="9480"/>
          </w:cols>
          <w:pgMar w:left="1040" w:top="1177" w:right="1379" w:bottom="1440" w:gutter="0" w:footer="0" w:header="0"/>
        </w:sectPr>
      </w:pPr>
    </w:p>
    <w:bookmarkStart w:id="189" w:name="page190"/>
    <w:bookmarkEnd w:id="189"/>
    <w:p>
      <w:pPr>
        <w:ind w:hanging="313"/>
        <w:spacing w:after="0" w:line="238" w:lineRule="auto"/>
        <w:rPr>
          <w:sz w:val="20"/>
          <w:szCs w:val="20"/>
          <w:color w:val="auto"/>
        </w:rPr>
      </w:pPr>
      <w:r>
        <w:rPr>
          <w:rFonts w:ascii="Times New Roman" w:cs="Times New Roman" w:eastAsia="Times New Roman" w:hAnsi="Times New Roman"/>
          <w:sz w:val="19"/>
          <w:szCs w:val="19"/>
          <w:color w:val="auto"/>
        </w:rPr>
        <w:t>IN WITNESS WHEREOF, the Party have caused this Agreement to be duly executed by their duly authorized representatives as of the Effective Date.</w:t>
      </w:r>
    </w:p>
    <w:p>
      <w:pPr>
        <w:sectPr>
          <w:pgSz w:w="11900" w:h="16838" w:orient="portrait"/>
          <w:cols w:equalWidth="0" w:num="1">
            <w:col w:w="10060"/>
          </w:cols>
          <w:pgMar w:left="1040" w:top="1074" w:right="79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ENPHASE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22225</wp:posOffset>
            </wp:positionV>
            <wp:extent cx="17405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3">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By: /s/ Mandy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20955</wp:posOffset>
            </wp:positionV>
            <wp:extent cx="17405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4">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Name: Mandy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20955</wp:posOffset>
            </wp:positionV>
            <wp:extent cx="17405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5">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20955</wp:posOffset>
            </wp:positionV>
            <wp:extent cx="17405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6">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Date: 6/22/2023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20955</wp:posOffset>
            </wp:positionV>
            <wp:extent cx="17405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7">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2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By: /s/ Ron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20955</wp:posOffset>
            </wp:positionV>
            <wp:extent cx="17405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8">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Name: Ron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20955</wp:posOffset>
            </wp:positionV>
            <wp:extent cx="17405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9">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 VP,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20955</wp:posOffset>
            </wp:positionV>
            <wp:extent cx="17405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0">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Date: 6/22/2023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20955</wp:posOffset>
            </wp:positionV>
            <wp:extent cx="17405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1">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SALCOMP MANUFACTURING USA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37299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2">
                      <a:extLst>
                        <a:ext uri="{28A0092B-C50C-407E-A947-70E740481C1C}"/>
                      </a:extLst>
                    </a:blip>
                    <a:srcRect/>
                    <a:stretch>
                      <a:fillRect/>
                    </a:stretch>
                  </pic:blipFill>
                  <pic:spPr bwMode="auto">
                    <a:xfrm>
                      <a:off x="0" y="0"/>
                      <a:ext cx="2372995" cy="825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Cindy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23729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3">
                      <a:extLst>
                        <a:ext uri="{28A0092B-C50C-407E-A947-70E740481C1C}"/>
                      </a:extLst>
                    </a:blip>
                    <a:srcRect/>
                    <a:stretch>
                      <a:fillRect/>
                    </a:stretch>
                  </pic:blipFill>
                  <pic:spPr bwMode="auto">
                    <a:xfrm>
                      <a:off x="0" y="0"/>
                      <a:ext cx="2372995" cy="825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Cindy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237299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4">
                      <a:extLst>
                        <a:ext uri="{28A0092B-C50C-407E-A947-70E740481C1C}"/>
                      </a:extLst>
                    </a:blip>
                    <a:srcRect/>
                    <a:stretch>
                      <a:fillRect/>
                    </a:stretch>
                  </pic:blipFill>
                  <pic:spPr bwMode="auto">
                    <a:xfrm>
                      <a:off x="0" y="0"/>
                      <a:ext cx="2372995" cy="825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VP, US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237299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5">
                      <a:extLst>
                        <a:ext uri="{28A0092B-C50C-407E-A947-70E740481C1C}"/>
                      </a:extLst>
                    </a:blip>
                    <a:srcRect/>
                    <a:stretch>
                      <a:fillRect/>
                    </a:stretch>
                  </pic:blipFill>
                  <pic:spPr bwMode="auto">
                    <a:xfrm>
                      <a:off x="0" y="0"/>
                      <a:ext cx="2372995" cy="825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6/27/2023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237299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6">
                      <a:extLst>
                        <a:ext uri="{28A0092B-C50C-407E-A947-70E740481C1C}"/>
                      </a:extLst>
                    </a:blip>
                    <a:srcRect/>
                    <a:stretch>
                      <a:fillRect/>
                    </a:stretch>
                  </pic:blipFill>
                  <pic:spPr bwMode="auto">
                    <a:xfrm>
                      <a:off x="0" y="0"/>
                      <a:ext cx="2372995" cy="8255"/>
                    </a:xfrm>
                    <a:prstGeom prst="rect">
                      <a:avLst/>
                    </a:prstGeom>
                    <a:noFill/>
                  </pic:spPr>
                </pic:pic>
              </a:graphicData>
            </a:graphic>
          </wp:anchor>
        </w:drawing>
      </w:r>
    </w:p>
    <w:p>
      <w:pPr>
        <w:sectPr>
          <w:pgSz w:w="11900" w:h="16838" w:orient="portrait"/>
          <w:cols w:equalWidth="0" w:num="2">
            <w:col w:w="3580" w:space="720"/>
            <w:col w:w="5760"/>
          </w:cols>
          <w:pgMar w:left="1040" w:top="1074" w:right="799" w:bottom="1440" w:gutter="0" w:footer="0" w:header="0"/>
          <w:type w:val="continuous"/>
        </w:sectPr>
      </w:pPr>
    </w:p>
    <w:bookmarkStart w:id="190" w:name="page191"/>
    <w:bookmarkEnd w:id="190"/>
    <w:p>
      <w:pPr>
        <w:ind w:left="1660"/>
        <w:spacing w:after="0"/>
        <w:rPr>
          <w:sz w:val="20"/>
          <w:szCs w:val="20"/>
          <w:color w:val="auto"/>
        </w:rPr>
      </w:pPr>
      <w:r>
        <w:rPr>
          <w:rFonts w:ascii="Times New Roman" w:cs="Times New Roman" w:eastAsia="Times New Roman" w:hAnsi="Times New Roman"/>
          <w:sz w:val="19"/>
          <w:szCs w:val="19"/>
          <w:b w:val="1"/>
          <w:bCs w:val="1"/>
          <w:color w:val="151515"/>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Approved Vendor List</w:t>
      </w:r>
    </w:p>
    <w:p>
      <w:pPr>
        <w:spacing w:after="0" w:line="1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or AVL</w:t>
      </w:r>
    </w:p>
    <w:p>
      <w:pPr>
        <w:spacing w:after="0" w:line="24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Confidential</w:t>
      </w:r>
    </w:p>
    <w:p>
      <w:pPr>
        <w:ind w:left="1600"/>
        <w:spacing w:after="0"/>
        <w:rPr>
          <w:sz w:val="20"/>
          <w:szCs w:val="20"/>
          <w:color w:val="auto"/>
        </w:rPr>
      </w:pPr>
      <w:r>
        <w:rPr>
          <w:rFonts w:ascii="Times New Roman" w:cs="Times New Roman" w:eastAsia="Times New Roman" w:hAnsi="Times New Roman"/>
          <w:sz w:val="19"/>
          <w:szCs w:val="19"/>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California RoHS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China RoHS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51515"/>
        </w:rPr>
        <w:t>Definitions</w:t>
      </w:r>
    </w:p>
    <w:p>
      <w:pPr>
        <w:spacing w:after="0" w:line="2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Shall mean the list of suppliers currently</w:t>
      </w:r>
    </w:p>
    <w:p>
      <w:pPr>
        <w:ind w:left="240"/>
        <w:spacing w:after="0" w:line="201" w:lineRule="auto"/>
        <w:rPr>
          <w:sz w:val="20"/>
          <w:szCs w:val="20"/>
          <w:color w:val="auto"/>
        </w:rPr>
      </w:pPr>
      <w:r>
        <w:rPr>
          <w:rFonts w:ascii="Times New Roman" w:cs="Times New Roman" w:eastAsia="Times New Roman" w:hAnsi="Times New Roman"/>
          <w:sz w:val="19"/>
          <w:szCs w:val="19"/>
          <w:color w:val="auto"/>
        </w:rPr>
        <w:t>approved to provide the Materials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specified in the BOM or a Product.</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Shall mean (a) the existence and terms</w:t>
      </w:r>
    </w:p>
    <w:p>
      <w:pPr>
        <w:ind w:left="240" w:right="1659"/>
        <w:spacing w:after="0" w:line="208" w:lineRule="auto"/>
        <w:rPr>
          <w:sz w:val="20"/>
          <w:szCs w:val="20"/>
          <w:color w:val="auto"/>
        </w:rPr>
      </w:pPr>
      <w:r>
        <w:rPr>
          <w:rFonts w:ascii="Times New Roman" w:cs="Times New Roman" w:eastAsia="Times New Roman" w:hAnsi="Times New Roman"/>
          <w:sz w:val="19"/>
          <w:szCs w:val="19"/>
          <w:color w:val="auto"/>
        </w:rPr>
        <w:t>of this Agreement and all information concerning the unit number and fees for</w:t>
      </w:r>
    </w:p>
    <w:p>
      <w:pPr>
        <w:ind w:left="240"/>
        <w:spacing w:after="0" w:line="217" w:lineRule="auto"/>
        <w:rPr>
          <w:sz w:val="20"/>
          <w:szCs w:val="20"/>
          <w:color w:val="auto"/>
        </w:rPr>
      </w:pPr>
      <w:r>
        <w:rPr>
          <w:rFonts w:ascii="Times New Roman" w:cs="Times New Roman" w:eastAsia="Times New Roman" w:hAnsi="Times New Roman"/>
          <w:sz w:val="19"/>
          <w:szCs w:val="19"/>
          <w:color w:val="auto"/>
        </w:rPr>
        <w:t>Products and Inventory/Special</w:t>
      </w:r>
    </w:p>
    <w:p>
      <w:pPr>
        <w:spacing w:after="0" w:line="1" w:lineRule="exact"/>
        <w:rPr>
          <w:sz w:val="20"/>
          <w:szCs w:val="20"/>
          <w:color w:val="auto"/>
        </w:rPr>
      </w:pPr>
    </w:p>
    <w:p>
      <w:pPr>
        <w:ind w:left="240" w:right="1739"/>
        <w:spacing w:after="0" w:line="208" w:lineRule="auto"/>
        <w:rPr>
          <w:sz w:val="20"/>
          <w:szCs w:val="20"/>
          <w:color w:val="auto"/>
        </w:rPr>
      </w:pPr>
      <w:r>
        <w:rPr>
          <w:rFonts w:ascii="Times New Roman" w:cs="Times New Roman" w:eastAsia="Times New Roman" w:hAnsi="Times New Roman"/>
          <w:sz w:val="19"/>
          <w:szCs w:val="19"/>
          <w:color w:val="auto"/>
        </w:rPr>
        <w:t>Inventory, as well as the Specifications and (b) any other information that is</w:t>
      </w:r>
    </w:p>
    <w:p>
      <w:pPr>
        <w:ind w:left="240"/>
        <w:spacing w:after="0" w:line="217" w:lineRule="auto"/>
        <w:rPr>
          <w:sz w:val="20"/>
          <w:szCs w:val="20"/>
          <w:color w:val="auto"/>
        </w:rPr>
      </w:pPr>
      <w:r>
        <w:rPr>
          <w:rFonts w:ascii="Times New Roman" w:cs="Times New Roman" w:eastAsia="Times New Roman" w:hAnsi="Times New Roman"/>
          <w:sz w:val="19"/>
          <w:szCs w:val="19"/>
          <w:color w:val="auto"/>
        </w:rPr>
        <w:t>marked "Confidential" or the like or, if</w:t>
      </w:r>
    </w:p>
    <w:p>
      <w:pPr>
        <w:spacing w:after="0" w:line="1" w:lineRule="exact"/>
        <w:rPr>
          <w:sz w:val="20"/>
          <w:szCs w:val="20"/>
          <w:color w:val="auto"/>
        </w:rPr>
      </w:pPr>
    </w:p>
    <w:p>
      <w:pPr>
        <w:ind w:left="240" w:right="1659"/>
        <w:spacing w:after="0" w:line="208" w:lineRule="auto"/>
        <w:rPr>
          <w:sz w:val="20"/>
          <w:szCs w:val="20"/>
          <w:color w:val="auto"/>
        </w:rPr>
      </w:pPr>
      <w:r>
        <w:rPr>
          <w:rFonts w:ascii="Times New Roman" w:cs="Times New Roman" w:eastAsia="Times New Roman" w:hAnsi="Times New Roman"/>
          <w:sz w:val="19"/>
          <w:szCs w:val="19"/>
          <w:color w:val="auto"/>
        </w:rPr>
        <w:t>delivered verbally, confirmed in writing to be "Confidential" within 30 days of</w:t>
      </w:r>
    </w:p>
    <w:p>
      <w:pPr>
        <w:ind w:left="240"/>
        <w:spacing w:after="0" w:line="203" w:lineRule="auto"/>
        <w:rPr>
          <w:sz w:val="20"/>
          <w:szCs w:val="20"/>
          <w:color w:val="auto"/>
        </w:rPr>
      </w:pPr>
      <w:r>
        <w:rPr>
          <w:rFonts w:ascii="Times New Roman" w:cs="Times New Roman" w:eastAsia="Times New Roman" w:hAnsi="Times New Roman"/>
          <w:sz w:val="19"/>
          <w:szCs w:val="19"/>
          <w:color w:val="auto"/>
        </w:rPr>
        <w:t>the initial disclosure. Confidential</w:t>
      </w:r>
    </w:p>
    <w:p>
      <w:pPr>
        <w:ind w:left="240"/>
        <w:spacing w:after="0" w:line="216" w:lineRule="auto"/>
        <w:rPr>
          <w:sz w:val="20"/>
          <w:szCs w:val="20"/>
          <w:color w:val="auto"/>
        </w:rPr>
      </w:pPr>
      <w:r>
        <w:rPr>
          <w:rFonts w:ascii="Times New Roman" w:cs="Times New Roman" w:eastAsia="Times New Roman" w:hAnsi="Times New Roman"/>
          <w:sz w:val="19"/>
          <w:szCs w:val="19"/>
          <w:color w:val="auto"/>
        </w:rPr>
        <w:t>Information does not include</w:t>
      </w:r>
    </w:p>
    <w:p>
      <w:pPr>
        <w:ind w:left="240"/>
        <w:spacing w:after="0" w:line="216" w:lineRule="auto"/>
        <w:rPr>
          <w:sz w:val="20"/>
          <w:szCs w:val="20"/>
          <w:color w:val="auto"/>
        </w:rPr>
      </w:pPr>
      <w:r>
        <w:rPr>
          <w:rFonts w:ascii="Times New Roman" w:cs="Times New Roman" w:eastAsia="Times New Roman" w:hAnsi="Times New Roman"/>
          <w:sz w:val="19"/>
          <w:szCs w:val="19"/>
          <w:color w:val="auto"/>
        </w:rPr>
        <w:t>information that (i) the receiving Party</w:t>
      </w:r>
    </w:p>
    <w:p>
      <w:pPr>
        <w:spacing w:after="0" w:line="1" w:lineRule="exact"/>
        <w:rPr>
          <w:sz w:val="20"/>
          <w:szCs w:val="20"/>
          <w:color w:val="auto"/>
        </w:rPr>
      </w:pPr>
    </w:p>
    <w:p>
      <w:pPr>
        <w:jc w:val="both"/>
        <w:ind w:left="240" w:right="1679"/>
        <w:spacing w:after="0" w:line="208" w:lineRule="auto"/>
        <w:rPr>
          <w:sz w:val="20"/>
          <w:szCs w:val="20"/>
          <w:color w:val="auto"/>
        </w:rPr>
      </w:pPr>
      <w:r>
        <w:rPr>
          <w:rFonts w:ascii="Times New Roman" w:cs="Times New Roman" w:eastAsia="Times New Roman" w:hAnsi="Times New Roman"/>
          <w:sz w:val="19"/>
          <w:szCs w:val="19"/>
          <w:color w:val="auto"/>
        </w:rPr>
        <w:t>can prove it already knew at the time of receipt from the disclosing Party; or (ii)</w:t>
      </w:r>
    </w:p>
    <w:p>
      <w:pPr>
        <w:ind w:left="240"/>
        <w:spacing w:after="0" w:line="217" w:lineRule="auto"/>
        <w:rPr>
          <w:sz w:val="20"/>
          <w:szCs w:val="20"/>
          <w:color w:val="auto"/>
        </w:rPr>
      </w:pPr>
      <w:r>
        <w:rPr>
          <w:rFonts w:ascii="Times New Roman" w:cs="Times New Roman" w:eastAsia="Times New Roman" w:hAnsi="Times New Roman"/>
          <w:sz w:val="19"/>
          <w:szCs w:val="19"/>
          <w:color w:val="auto"/>
        </w:rPr>
        <w:t>has come into the public domain</w:t>
      </w:r>
    </w:p>
    <w:p>
      <w:pPr>
        <w:ind w:left="240"/>
        <w:spacing w:after="0" w:line="202" w:lineRule="auto"/>
        <w:rPr>
          <w:sz w:val="20"/>
          <w:szCs w:val="20"/>
          <w:color w:val="auto"/>
        </w:rPr>
      </w:pPr>
      <w:r>
        <w:rPr>
          <w:rFonts w:ascii="Times New Roman" w:cs="Times New Roman" w:eastAsia="Times New Roman" w:hAnsi="Times New Roman"/>
          <w:sz w:val="19"/>
          <w:szCs w:val="19"/>
          <w:color w:val="auto"/>
        </w:rPr>
        <w:t>without breach of confidence by the</w:t>
      </w:r>
    </w:p>
    <w:p>
      <w:pPr>
        <w:ind w:left="240"/>
        <w:spacing w:after="0" w:line="216" w:lineRule="auto"/>
        <w:rPr>
          <w:sz w:val="20"/>
          <w:szCs w:val="20"/>
          <w:color w:val="auto"/>
        </w:rPr>
      </w:pPr>
      <w:r>
        <w:rPr>
          <w:rFonts w:ascii="Times New Roman" w:cs="Times New Roman" w:eastAsia="Times New Roman" w:hAnsi="Times New Roman"/>
          <w:sz w:val="19"/>
          <w:szCs w:val="19"/>
          <w:color w:val="auto"/>
        </w:rPr>
        <w:t>receiving Party;</w:t>
      </w:r>
    </w:p>
    <w:p>
      <w:pPr>
        <w:spacing w:after="0" w:line="1" w:lineRule="exact"/>
        <w:rPr>
          <w:sz w:val="20"/>
          <w:szCs w:val="20"/>
          <w:color w:val="auto"/>
        </w:rPr>
      </w:pPr>
    </w:p>
    <w:p>
      <w:pPr>
        <w:ind w:left="240" w:right="1619" w:hanging="8"/>
        <w:spacing w:after="0" w:line="216" w:lineRule="auto"/>
        <w:tabs>
          <w:tab w:leader="none" w:pos="576"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was received from a third-party without restrictions on its use; (iv) the receiving Party can prove it independently developed without use of or reliance on the disclosing Party's data or information; or (v) the disclosing Party agrees in writing is free of such restrictions</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Shall mean the cost represented on the</w:t>
      </w:r>
    </w:p>
    <w:p>
      <w:pPr>
        <w:ind w:left="240" w:right="1759"/>
        <w:spacing w:after="0" w:line="208" w:lineRule="auto"/>
        <w:rPr>
          <w:sz w:val="20"/>
          <w:szCs w:val="20"/>
          <w:color w:val="auto"/>
        </w:rPr>
      </w:pPr>
      <w:r>
        <w:rPr>
          <w:rFonts w:ascii="Times New Roman" w:cs="Times New Roman" w:eastAsia="Times New Roman" w:hAnsi="Times New Roman"/>
          <w:sz w:val="19"/>
          <w:szCs w:val="19"/>
          <w:color w:val="auto"/>
        </w:rPr>
        <w:t>bill of materials supporting the most current fees for Products at the time of</w:t>
      </w:r>
    </w:p>
    <w:p>
      <w:pPr>
        <w:spacing w:after="0" w:line="2" w:lineRule="exact"/>
        <w:rPr>
          <w:sz w:val="20"/>
          <w:szCs w:val="20"/>
          <w:color w:val="auto"/>
        </w:rPr>
      </w:pPr>
    </w:p>
    <w:p>
      <w:pPr>
        <w:ind w:left="240" w:right="1739"/>
        <w:spacing w:after="0" w:line="233" w:lineRule="auto"/>
        <w:rPr>
          <w:sz w:val="20"/>
          <w:szCs w:val="20"/>
          <w:color w:val="auto"/>
        </w:rPr>
      </w:pPr>
      <w:r>
        <w:rPr>
          <w:rFonts w:ascii="Times New Roman" w:cs="Times New Roman" w:eastAsia="Times New Roman" w:hAnsi="Times New Roman"/>
          <w:sz w:val="19"/>
          <w:szCs w:val="19"/>
          <w:color w:val="auto"/>
        </w:rPr>
        <w:t>cancellation, expiration or termination, as applicable.</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Shall mean the California Electronic</w:t>
      </w:r>
    </w:p>
    <w:p>
      <w:pPr>
        <w:ind w:left="240" w:right="1699"/>
        <w:spacing w:after="0" w:line="208" w:lineRule="auto"/>
        <w:rPr>
          <w:sz w:val="20"/>
          <w:szCs w:val="20"/>
          <w:color w:val="auto"/>
        </w:rPr>
      </w:pPr>
      <w:r>
        <w:rPr>
          <w:rFonts w:ascii="Times New Roman" w:cs="Times New Roman" w:eastAsia="Times New Roman" w:hAnsi="Times New Roman"/>
          <w:sz w:val="19"/>
          <w:szCs w:val="19"/>
          <w:color w:val="auto"/>
        </w:rPr>
        <w:t>Waste Recycling Act of 2003, as amended from time to time, and related</w:t>
      </w:r>
    </w:p>
    <w:p>
      <w:pPr>
        <w:spacing w:after="0" w:line="2" w:lineRule="exact"/>
        <w:rPr>
          <w:sz w:val="20"/>
          <w:szCs w:val="20"/>
          <w:color w:val="auto"/>
        </w:rPr>
      </w:pPr>
    </w:p>
    <w:p>
      <w:pPr>
        <w:ind w:left="240" w:right="1759"/>
        <w:spacing w:after="0" w:line="233" w:lineRule="auto"/>
        <w:rPr>
          <w:sz w:val="20"/>
          <w:szCs w:val="20"/>
          <w:color w:val="auto"/>
        </w:rPr>
      </w:pPr>
      <w:r>
        <w:rPr>
          <w:rFonts w:ascii="Times New Roman" w:cs="Times New Roman" w:eastAsia="Times New Roman" w:hAnsi="Times New Roman"/>
          <w:sz w:val="19"/>
          <w:szCs w:val="19"/>
          <w:color w:val="auto"/>
        </w:rPr>
        <w:t>interpretive guidance and enforcement policies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Means the People's Republic of China</w:t>
      </w:r>
    </w:p>
    <w:p>
      <w:pPr>
        <w:ind w:left="240"/>
        <w:spacing w:after="0" w:line="201" w:lineRule="auto"/>
        <w:rPr>
          <w:sz w:val="20"/>
          <w:szCs w:val="20"/>
          <w:color w:val="auto"/>
        </w:rPr>
      </w:pPr>
      <w:r>
        <w:rPr>
          <w:rFonts w:ascii="Times New Roman" w:cs="Times New Roman" w:eastAsia="Times New Roman" w:hAnsi="Times New Roman"/>
          <w:sz w:val="19"/>
          <w:szCs w:val="19"/>
          <w:color w:val="auto"/>
        </w:rPr>
        <w:t>(PRC)'s Measures for the</w:t>
      </w:r>
    </w:p>
    <w:p>
      <w:pPr>
        <w:ind w:left="240"/>
        <w:spacing w:after="0" w:line="217" w:lineRule="auto"/>
        <w:rPr>
          <w:sz w:val="20"/>
          <w:szCs w:val="20"/>
          <w:color w:val="auto"/>
        </w:rPr>
      </w:pPr>
      <w:r>
        <w:rPr>
          <w:rFonts w:ascii="Times New Roman" w:cs="Times New Roman" w:eastAsia="Times New Roman" w:hAnsi="Times New Roman"/>
          <w:sz w:val="19"/>
          <w:szCs w:val="19"/>
          <w:color w:val="auto"/>
        </w:rPr>
        <w:t>Administration of the Control of</w:t>
      </w:r>
    </w:p>
    <w:p>
      <w:pPr>
        <w:ind w:left="240" w:right="1779"/>
        <w:spacing w:after="0" w:line="192" w:lineRule="exact"/>
        <w:rPr>
          <w:sz w:val="20"/>
          <w:szCs w:val="20"/>
          <w:color w:val="auto"/>
        </w:rPr>
      </w:pPr>
      <w:r>
        <w:rPr>
          <w:rFonts w:ascii="Times New Roman" w:cs="Times New Roman" w:eastAsia="Times New Roman" w:hAnsi="Times New Roman"/>
          <w:sz w:val="19"/>
          <w:szCs w:val="19"/>
          <w:color w:val="auto"/>
        </w:rPr>
        <w:t>Pollution by Electronic Information Products (</w:t>
      </w:r>
      <w:r>
        <w:rPr>
          <w:rFonts w:ascii="SimSun" w:cs="SimSun" w:eastAsia="SimSun" w:hAnsi="SimSun"/>
          <w:sz w:val="19"/>
          <w:szCs w:val="19"/>
          <w:color w:val="auto"/>
        </w:rPr>
        <w:t>电子信息产品污染控制管理办法</w:t>
      </w:r>
      <w:r>
        <w:rPr>
          <w:rFonts w:ascii="Times New Roman" w:cs="Times New Roman" w:eastAsia="Times New Roman" w:hAnsi="Times New Roman"/>
          <w:sz w:val="19"/>
          <w:szCs w:val="19"/>
          <w:color w:val="auto"/>
        </w:rPr>
        <w:t>) promulgated on February 28,</w:t>
      </w:r>
    </w:p>
    <w:p>
      <w:pPr>
        <w:ind w:left="240"/>
        <w:spacing w:after="0" w:line="217" w:lineRule="auto"/>
        <w:rPr>
          <w:sz w:val="20"/>
          <w:szCs w:val="20"/>
          <w:color w:val="auto"/>
        </w:rPr>
      </w:pPr>
      <w:r>
        <w:rPr>
          <w:rFonts w:ascii="Times New Roman" w:cs="Times New Roman" w:eastAsia="Times New Roman" w:hAnsi="Times New Roman"/>
          <w:sz w:val="19"/>
          <w:szCs w:val="19"/>
          <w:color w:val="auto"/>
        </w:rPr>
        <w:t>2006 (including any pre-market</w:t>
      </w:r>
    </w:p>
    <w:p>
      <w:pPr>
        <w:ind w:left="240"/>
        <w:spacing w:after="0" w:line="202" w:lineRule="auto"/>
        <w:rPr>
          <w:sz w:val="20"/>
          <w:szCs w:val="20"/>
          <w:color w:val="auto"/>
        </w:rPr>
      </w:pPr>
      <w:r>
        <w:rPr>
          <w:rFonts w:ascii="Times New Roman" w:cs="Times New Roman" w:eastAsia="Times New Roman" w:hAnsi="Times New Roman"/>
          <w:sz w:val="19"/>
          <w:szCs w:val="19"/>
          <w:color w:val="auto"/>
        </w:rPr>
        <w:t>certification ("CCC mark")</w:t>
      </w:r>
    </w:p>
    <w:p>
      <w:pPr>
        <w:ind w:left="240"/>
        <w:spacing w:after="0" w:line="216" w:lineRule="auto"/>
        <w:rPr>
          <w:sz w:val="20"/>
          <w:szCs w:val="20"/>
          <w:color w:val="auto"/>
        </w:rPr>
      </w:pPr>
      <w:r>
        <w:rPr>
          <w:rFonts w:ascii="Times New Roman" w:cs="Times New Roman" w:eastAsia="Times New Roman" w:hAnsi="Times New Roman"/>
          <w:sz w:val="19"/>
          <w:szCs w:val="19"/>
          <w:color w:val="auto"/>
        </w:rPr>
        <w:t>requirements thereunder), the PRC</w:t>
      </w:r>
    </w:p>
    <w:p>
      <w:pPr>
        <w:ind w:left="240" w:right="1759"/>
        <w:spacing w:after="0" w:line="208" w:lineRule="auto"/>
        <w:rPr>
          <w:sz w:val="20"/>
          <w:szCs w:val="20"/>
          <w:color w:val="auto"/>
        </w:rPr>
      </w:pPr>
      <w:r>
        <w:rPr>
          <w:rFonts w:ascii="Times New Roman" w:cs="Times New Roman" w:eastAsia="Times New Roman" w:hAnsi="Times New Roman"/>
          <w:sz w:val="19"/>
          <w:szCs w:val="19"/>
          <w:color w:val="auto"/>
        </w:rPr>
        <w:t>Ministry of Information Industry's Frequently Asked Questions regarding</w:t>
      </w:r>
    </w:p>
    <w:p>
      <w:pPr>
        <w:ind w:left="240"/>
        <w:spacing w:after="0" w:line="217" w:lineRule="auto"/>
        <w:rPr>
          <w:sz w:val="20"/>
          <w:szCs w:val="20"/>
          <w:color w:val="auto"/>
        </w:rPr>
      </w:pPr>
      <w:r>
        <w:rPr>
          <w:rFonts w:ascii="Times New Roman" w:cs="Times New Roman" w:eastAsia="Times New Roman" w:hAnsi="Times New Roman"/>
          <w:sz w:val="19"/>
          <w:szCs w:val="19"/>
          <w:color w:val="auto"/>
        </w:rPr>
        <w:t>China RoHS, official standards</w:t>
      </w:r>
    </w:p>
    <w:p>
      <w:pPr>
        <w:ind w:left="240"/>
        <w:spacing w:after="0" w:line="202" w:lineRule="auto"/>
        <w:rPr>
          <w:sz w:val="20"/>
          <w:szCs w:val="20"/>
          <w:color w:val="auto"/>
        </w:rPr>
      </w:pPr>
      <w:r>
        <w:rPr>
          <w:rFonts w:ascii="Times New Roman" w:cs="Times New Roman" w:eastAsia="Times New Roman" w:hAnsi="Times New Roman"/>
          <w:sz w:val="19"/>
          <w:szCs w:val="19"/>
          <w:color w:val="auto"/>
        </w:rPr>
        <w:t>including Marking for Control of</w:t>
      </w:r>
    </w:p>
    <w:p>
      <w:pPr>
        <w:ind w:left="240"/>
        <w:spacing w:after="0" w:line="216" w:lineRule="auto"/>
        <w:rPr>
          <w:sz w:val="20"/>
          <w:szCs w:val="20"/>
          <w:color w:val="auto"/>
        </w:rPr>
      </w:pPr>
      <w:r>
        <w:rPr>
          <w:rFonts w:ascii="Times New Roman" w:cs="Times New Roman" w:eastAsia="Times New Roman" w:hAnsi="Times New Roman"/>
          <w:sz w:val="19"/>
          <w:szCs w:val="19"/>
          <w:color w:val="auto"/>
        </w:rPr>
        <w:t>Pollution Caused by Electronic</w:t>
      </w:r>
    </w:p>
    <w:p>
      <w:pPr>
        <w:ind w:left="240"/>
        <w:spacing w:after="0" w:line="216" w:lineRule="auto"/>
        <w:rPr>
          <w:sz w:val="20"/>
          <w:szCs w:val="20"/>
          <w:color w:val="auto"/>
        </w:rPr>
      </w:pPr>
      <w:r>
        <w:rPr>
          <w:rFonts w:ascii="Times New Roman" w:cs="Times New Roman" w:eastAsia="Times New Roman" w:hAnsi="Times New Roman"/>
          <w:sz w:val="19"/>
          <w:szCs w:val="19"/>
          <w:color w:val="auto"/>
        </w:rPr>
        <w:t>Information Products (SJ/T 11364-</w:t>
      </w:r>
    </w:p>
    <w:p>
      <w:pPr>
        <w:spacing w:after="0" w:line="1" w:lineRule="exact"/>
        <w:rPr>
          <w:sz w:val="20"/>
          <w:szCs w:val="20"/>
          <w:color w:val="auto"/>
        </w:rPr>
      </w:pPr>
    </w:p>
    <w:p>
      <w:pPr>
        <w:ind w:left="240" w:right="1699"/>
        <w:spacing w:after="0" w:line="208" w:lineRule="auto"/>
        <w:rPr>
          <w:sz w:val="20"/>
          <w:szCs w:val="20"/>
          <w:color w:val="auto"/>
        </w:rPr>
      </w:pPr>
      <w:r>
        <w:rPr>
          <w:rFonts w:ascii="Times New Roman" w:cs="Times New Roman" w:eastAsia="Times New Roman" w:hAnsi="Times New Roman"/>
          <w:sz w:val="19"/>
          <w:szCs w:val="19"/>
          <w:color w:val="auto"/>
        </w:rPr>
        <w:t>2006), Requirements for Concentration Limits for Certain Hazardous</w:t>
      </w:r>
    </w:p>
    <w:p>
      <w:pPr>
        <w:ind w:left="240"/>
        <w:spacing w:after="0" w:line="217" w:lineRule="auto"/>
        <w:rPr>
          <w:sz w:val="20"/>
          <w:szCs w:val="20"/>
          <w:color w:val="auto"/>
        </w:rPr>
      </w:pPr>
      <w:r>
        <w:rPr>
          <w:rFonts w:ascii="Times New Roman" w:cs="Times New Roman" w:eastAsia="Times New Roman" w:hAnsi="Times New Roman"/>
          <w:sz w:val="19"/>
          <w:szCs w:val="19"/>
          <w:color w:val="auto"/>
        </w:rPr>
        <w:t>Substances in Electronic Information</w:t>
      </w:r>
    </w:p>
    <w:p>
      <w:pPr>
        <w:spacing w:after="0" w:line="1" w:lineRule="exact"/>
        <w:rPr>
          <w:sz w:val="20"/>
          <w:szCs w:val="20"/>
          <w:color w:val="auto"/>
        </w:rPr>
      </w:pPr>
    </w:p>
    <w:p>
      <w:pPr>
        <w:ind w:left="240" w:right="1619"/>
        <w:spacing w:after="0" w:line="208" w:lineRule="auto"/>
        <w:rPr>
          <w:sz w:val="20"/>
          <w:szCs w:val="20"/>
          <w:color w:val="auto"/>
        </w:rPr>
      </w:pPr>
      <w:r>
        <w:rPr>
          <w:rFonts w:ascii="Times New Roman" w:cs="Times New Roman" w:eastAsia="Times New Roman" w:hAnsi="Times New Roman"/>
          <w:sz w:val="19"/>
          <w:szCs w:val="19"/>
          <w:color w:val="auto"/>
        </w:rPr>
        <w:t>Products (SJ/T 11363-2006) and Testing Methods for Hazardous Substances in</w:t>
      </w:r>
    </w:p>
    <w:p>
      <w:pPr>
        <w:ind w:left="240"/>
        <w:spacing w:after="0" w:line="217" w:lineRule="auto"/>
        <w:rPr>
          <w:sz w:val="20"/>
          <w:szCs w:val="20"/>
          <w:color w:val="auto"/>
        </w:rPr>
      </w:pPr>
      <w:r>
        <w:rPr>
          <w:rFonts w:ascii="Times New Roman" w:cs="Times New Roman" w:eastAsia="Times New Roman" w:hAnsi="Times New Roman"/>
          <w:sz w:val="19"/>
          <w:szCs w:val="19"/>
          <w:color w:val="auto"/>
        </w:rPr>
        <w:t>Electronic Information Products (SJ/T</w:t>
      </w:r>
    </w:p>
    <w:p>
      <w:pPr>
        <w:spacing w:after="0" w:line="1" w:lineRule="exact"/>
        <w:rPr>
          <w:sz w:val="20"/>
          <w:szCs w:val="20"/>
          <w:color w:val="auto"/>
        </w:rPr>
      </w:pPr>
    </w:p>
    <w:p>
      <w:pPr>
        <w:ind w:left="240" w:right="1719"/>
        <w:spacing w:after="0" w:line="208" w:lineRule="auto"/>
        <w:rPr>
          <w:sz w:val="20"/>
          <w:szCs w:val="20"/>
          <w:color w:val="auto"/>
        </w:rPr>
      </w:pPr>
      <w:r>
        <w:rPr>
          <w:rFonts w:ascii="Times New Roman" w:cs="Times New Roman" w:eastAsia="Times New Roman" w:hAnsi="Times New Roman"/>
          <w:sz w:val="19"/>
          <w:szCs w:val="19"/>
          <w:color w:val="auto"/>
        </w:rPr>
        <w:t>11365-2006) and the PRC General Administration of Quality Supervision,</w:t>
      </w:r>
    </w:p>
    <w:p>
      <w:pPr>
        <w:ind w:left="240"/>
        <w:spacing w:after="0" w:line="217" w:lineRule="auto"/>
        <w:rPr>
          <w:sz w:val="20"/>
          <w:szCs w:val="20"/>
          <w:color w:val="auto"/>
        </w:rPr>
      </w:pPr>
      <w:r>
        <w:rPr>
          <w:rFonts w:ascii="Times New Roman" w:cs="Times New Roman" w:eastAsia="Times New Roman" w:hAnsi="Times New Roman"/>
          <w:sz w:val="19"/>
          <w:szCs w:val="19"/>
          <w:color w:val="auto"/>
        </w:rPr>
        <w:t>Inspection and Quarantine's Circular</w:t>
      </w:r>
    </w:p>
    <w:p>
      <w:pPr>
        <w:spacing w:after="0" w:line="1" w:lineRule="exact"/>
        <w:rPr>
          <w:sz w:val="20"/>
          <w:szCs w:val="20"/>
          <w:color w:val="auto"/>
        </w:rPr>
      </w:pPr>
    </w:p>
    <w:p>
      <w:pPr>
        <w:ind w:left="240" w:right="1659"/>
        <w:spacing w:after="0" w:line="208" w:lineRule="auto"/>
        <w:rPr>
          <w:sz w:val="20"/>
          <w:szCs w:val="20"/>
          <w:color w:val="auto"/>
        </w:rPr>
      </w:pPr>
      <w:r>
        <w:rPr>
          <w:rFonts w:ascii="Times New Roman" w:cs="Times New Roman" w:eastAsia="Times New Roman" w:hAnsi="Times New Roman"/>
          <w:sz w:val="19"/>
          <w:szCs w:val="19"/>
          <w:color w:val="auto"/>
        </w:rPr>
        <w:t>441 (2006), each as amended from time to time, and related interpretative</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guidance and enforcement policies.</w:t>
      </w:r>
    </w:p>
    <w:p>
      <w:pPr>
        <w:sectPr>
          <w:pgSz w:w="11900" w:h="16838" w:orient="portrait"/>
          <w:cols w:equalWidth="0" w:num="2">
            <w:col w:w="3340" w:space="720"/>
            <w:col w:w="4959"/>
          </w:cols>
          <w:pgMar w:left="1440" w:top="1308" w:right="1440" w:bottom="718" w:gutter="0" w:footer="0" w:header="0"/>
        </w:sectPr>
      </w:pPr>
    </w:p>
    <w:bookmarkStart w:id="191" w:name="page192"/>
    <w:bookmarkEnd w:id="1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2" w:name="page193"/>
    <w:bookmarkEnd w:id="192"/>
    <w:p>
      <w:pPr>
        <w:spacing w:after="0" w:line="111" w:lineRule="exact"/>
        <w:rPr>
          <w:sz w:val="20"/>
          <w:szCs w:val="20"/>
          <w:color w:val="auto"/>
        </w:rPr>
      </w:pPr>
    </w:p>
    <w:tbl>
      <w:tblPr>
        <w:tblLayout w:type="fixed"/>
        <w:tblInd w:w="1600" w:type="dxa"/>
        <w:tblCellMar>
          <w:top w:w="0" w:type="dxa"/>
          <w:left w:w="0" w:type="dxa"/>
          <w:bottom w:w="0" w:type="dxa"/>
          <w:right w:w="0" w:type="dxa"/>
        </w:tblCellMar>
      </w:tblPr>
      <w:tr>
        <w:trPr>
          <w:trHeight w:val="218"/>
        </w:trPr>
        <w:tc>
          <w:tcPr>
            <w:tcW w:w="2160" w:type="dxa"/>
            <w:vAlign w:val="bottom"/>
          </w:tcPr>
          <w:p>
            <w:pPr>
              <w:spacing w:after="0"/>
              <w:rPr>
                <w:sz w:val="18"/>
                <w:szCs w:val="18"/>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Shall mean the failure of a Product to</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3660" w:type="dxa"/>
            <w:vAlign w:val="bottom"/>
          </w:tcPr>
          <w:p>
            <w:pPr>
              <w:ind w:left="540"/>
              <w:spacing w:after="0" w:line="193" w:lineRule="exact"/>
              <w:rPr>
                <w:sz w:val="20"/>
                <w:szCs w:val="20"/>
                <w:color w:val="auto"/>
              </w:rPr>
            </w:pPr>
            <w:r>
              <w:rPr>
                <w:rFonts w:ascii="Times New Roman" w:cs="Times New Roman" w:eastAsia="Times New Roman" w:hAnsi="Times New Roman"/>
                <w:sz w:val="19"/>
                <w:szCs w:val="19"/>
                <w:color w:val="auto"/>
              </w:rPr>
              <w:t>comply with the warranty given in</w:t>
            </w:r>
          </w:p>
        </w:tc>
        <w:tc>
          <w:tcPr>
            <w:tcW w:w="0" w:type="dxa"/>
            <w:vAlign w:val="bottom"/>
          </w:tcPr>
          <w:p>
            <w:pPr>
              <w:spacing w:after="0"/>
              <w:rPr>
                <w:sz w:val="1"/>
                <w:szCs w:val="1"/>
                <w:color w:val="auto"/>
              </w:rPr>
            </w:pPr>
          </w:p>
        </w:tc>
      </w:tr>
      <w:tr>
        <w:trPr>
          <w:trHeight w:val="187"/>
        </w:trPr>
        <w:tc>
          <w:tcPr>
            <w:tcW w:w="21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Defect</w:t>
            </w:r>
          </w:p>
        </w:tc>
        <w:tc>
          <w:tcPr>
            <w:tcW w:w="3660" w:type="dxa"/>
            <w:vAlign w:val="bottom"/>
          </w:tcPr>
          <w:p>
            <w:pPr>
              <w:ind w:left="540"/>
              <w:spacing w:after="0" w:line="187" w:lineRule="exact"/>
              <w:rPr>
                <w:sz w:val="20"/>
                <w:szCs w:val="20"/>
                <w:color w:val="auto"/>
              </w:rPr>
            </w:pPr>
            <w:r>
              <w:rPr>
                <w:rFonts w:ascii="Times New Roman" w:cs="Times New Roman" w:eastAsia="Times New Roman" w:hAnsi="Times New Roman"/>
                <w:sz w:val="19"/>
                <w:szCs w:val="19"/>
                <w:color w:val="auto"/>
              </w:rPr>
              <w:t>Section 6 and Includes defects of any</w:t>
            </w:r>
          </w:p>
        </w:tc>
        <w:tc>
          <w:tcPr>
            <w:tcW w:w="0" w:type="dxa"/>
            <w:vAlign w:val="bottom"/>
          </w:tcPr>
          <w:p>
            <w:pPr>
              <w:spacing w:after="0"/>
              <w:rPr>
                <w:sz w:val="1"/>
                <w:szCs w:val="1"/>
                <w:color w:val="auto"/>
              </w:rPr>
            </w:pPr>
          </w:p>
        </w:tc>
      </w:tr>
      <w:tr>
        <w:trPr>
          <w:trHeight w:val="146"/>
        </w:trPr>
        <w:tc>
          <w:tcPr>
            <w:tcW w:w="2160" w:type="dxa"/>
            <w:vAlign w:val="bottom"/>
            <w:vMerge w:val="continue"/>
          </w:tcPr>
          <w:p>
            <w:pPr>
              <w:spacing w:after="0"/>
              <w:rPr>
                <w:sz w:val="12"/>
                <w:szCs w:val="12"/>
                <w:color w:val="auto"/>
              </w:rPr>
            </w:pPr>
          </w:p>
        </w:tc>
        <w:tc>
          <w:tcPr>
            <w:tcW w:w="3660" w:type="dxa"/>
            <w:vAlign w:val="bottom"/>
            <w:vMerge w:val="restart"/>
          </w:tcPr>
          <w:p>
            <w:pPr>
              <w:ind w:left="540"/>
              <w:spacing w:after="0" w:line="197" w:lineRule="exact"/>
              <w:rPr>
                <w:sz w:val="20"/>
                <w:szCs w:val="20"/>
                <w:color w:val="auto"/>
              </w:rPr>
            </w:pPr>
            <w:r>
              <w:rPr>
                <w:rFonts w:ascii="Times New Roman" w:cs="Times New Roman" w:eastAsia="Times New Roman" w:hAnsi="Times New Roman"/>
                <w:sz w:val="19"/>
                <w:szCs w:val="19"/>
                <w:color w:val="auto"/>
              </w:rPr>
              <w:t>sub-component or assembly that does</w:t>
            </w:r>
          </w:p>
        </w:tc>
        <w:tc>
          <w:tcPr>
            <w:tcW w:w="0" w:type="dxa"/>
            <w:vAlign w:val="bottom"/>
          </w:tcPr>
          <w:p>
            <w:pPr>
              <w:spacing w:after="0"/>
              <w:rPr>
                <w:sz w:val="1"/>
                <w:szCs w:val="1"/>
                <w:color w:val="auto"/>
              </w:rPr>
            </w:pPr>
          </w:p>
        </w:tc>
      </w:tr>
      <w:tr>
        <w:trPr>
          <w:trHeight w:val="50"/>
        </w:trPr>
        <w:tc>
          <w:tcPr>
            <w:tcW w:w="2160" w:type="dxa"/>
            <w:vAlign w:val="bottom"/>
          </w:tcPr>
          <w:p>
            <w:pPr>
              <w:spacing w:after="0"/>
              <w:rPr>
                <w:sz w:val="4"/>
                <w:szCs w:val="4"/>
                <w:color w:val="auto"/>
              </w:rPr>
            </w:pPr>
          </w:p>
        </w:tc>
        <w:tc>
          <w:tcPr>
            <w:tcW w:w="3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3660" w:type="dxa"/>
            <w:vAlign w:val="bottom"/>
          </w:tcPr>
          <w:p>
            <w:pPr>
              <w:ind w:left="540"/>
              <w:spacing w:after="0" w:line="193" w:lineRule="exact"/>
              <w:rPr>
                <w:sz w:val="20"/>
                <w:szCs w:val="20"/>
                <w:color w:val="auto"/>
              </w:rPr>
            </w:pPr>
            <w:r>
              <w:rPr>
                <w:rFonts w:ascii="Times New Roman" w:cs="Times New Roman" w:eastAsia="Times New Roman" w:hAnsi="Times New Roman"/>
                <w:sz w:val="19"/>
                <w:szCs w:val="19"/>
                <w:color w:val="auto"/>
              </w:rPr>
              <w:t>not meet the Specifications for that</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portion.</w:t>
            </w:r>
          </w:p>
        </w:tc>
        <w:tc>
          <w:tcPr>
            <w:tcW w:w="0" w:type="dxa"/>
            <w:vAlign w:val="bottom"/>
          </w:tcPr>
          <w:p>
            <w:pPr>
              <w:spacing w:after="0"/>
              <w:rPr>
                <w:sz w:val="1"/>
                <w:szCs w:val="1"/>
                <w:color w:val="auto"/>
              </w:rPr>
            </w:pPr>
          </w:p>
        </w:tc>
      </w:tr>
      <w:tr>
        <w:trPr>
          <w:trHeight w:val="329"/>
        </w:trPr>
        <w:tc>
          <w:tcPr>
            <w:tcW w:w="2160" w:type="dxa"/>
            <w:vAlign w:val="bottom"/>
          </w:tcPr>
          <w:p>
            <w:pPr>
              <w:spacing w:after="0"/>
              <w:rPr>
                <w:sz w:val="20"/>
                <w:szCs w:val="20"/>
                <w:color w:val="auto"/>
              </w:rPr>
            </w:pPr>
            <w:r>
              <w:rPr>
                <w:rFonts w:ascii="Times New Roman" w:cs="Times New Roman" w:eastAsia="Times New Roman" w:hAnsi="Times New Roman"/>
                <w:sz w:val="19"/>
                <w:szCs w:val="19"/>
                <w:color w:val="auto"/>
              </w:rPr>
              <w:t>Enphase Controlled</w:t>
            </w: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Shall mean those Equipment provided</w:t>
            </w:r>
          </w:p>
        </w:tc>
        <w:tc>
          <w:tcPr>
            <w:tcW w:w="0" w:type="dxa"/>
            <w:vAlign w:val="bottom"/>
          </w:tcPr>
          <w:p>
            <w:pPr>
              <w:spacing w:after="0"/>
              <w:rPr>
                <w:sz w:val="1"/>
                <w:szCs w:val="1"/>
                <w:color w:val="auto"/>
              </w:rPr>
            </w:pPr>
          </w:p>
        </w:tc>
      </w:tr>
      <w:tr>
        <w:trPr>
          <w:trHeight w:val="193"/>
        </w:trPr>
        <w:tc>
          <w:tcPr>
            <w:tcW w:w="216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Equipment</w:t>
            </w:r>
          </w:p>
        </w:tc>
        <w:tc>
          <w:tcPr>
            <w:tcW w:w="3660" w:type="dxa"/>
            <w:vAlign w:val="bottom"/>
          </w:tcPr>
          <w:p>
            <w:pPr>
              <w:ind w:left="540"/>
              <w:spacing w:after="0" w:line="193" w:lineRule="exact"/>
              <w:rPr>
                <w:sz w:val="20"/>
                <w:szCs w:val="20"/>
                <w:color w:val="auto"/>
              </w:rPr>
            </w:pPr>
            <w:r>
              <w:rPr>
                <w:rFonts w:ascii="Times New Roman" w:cs="Times New Roman" w:eastAsia="Times New Roman" w:hAnsi="Times New Roman"/>
                <w:sz w:val="19"/>
                <w:szCs w:val="19"/>
                <w:color w:val="auto"/>
              </w:rPr>
              <w:t>by Enphase or by third party suppliers</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3660" w:type="dxa"/>
            <w:vAlign w:val="bottom"/>
          </w:tcPr>
          <w:p>
            <w:pPr>
              <w:ind w:left="540"/>
              <w:spacing w:after="0" w:line="187" w:lineRule="exact"/>
              <w:rPr>
                <w:sz w:val="20"/>
                <w:szCs w:val="20"/>
                <w:color w:val="auto"/>
              </w:rPr>
            </w:pPr>
            <w:r>
              <w:rPr>
                <w:rFonts w:ascii="Times New Roman" w:cs="Times New Roman" w:eastAsia="Times New Roman" w:hAnsi="Times New Roman"/>
                <w:sz w:val="19"/>
                <w:szCs w:val="19"/>
                <w:color w:val="auto"/>
              </w:rPr>
              <w:t>with whom Enphase has a commercial</w:t>
            </w: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3660" w:type="dxa"/>
            <w:vAlign w:val="bottom"/>
          </w:tcPr>
          <w:p>
            <w:pPr>
              <w:ind w:left="540"/>
              <w:spacing w:after="0" w:line="197" w:lineRule="exact"/>
              <w:rPr>
                <w:sz w:val="20"/>
                <w:szCs w:val="20"/>
                <w:color w:val="auto"/>
              </w:rPr>
            </w:pPr>
            <w:r>
              <w:rPr>
                <w:rFonts w:ascii="Times New Roman" w:cs="Times New Roman" w:eastAsia="Times New Roman" w:hAnsi="Times New Roman"/>
                <w:sz w:val="19"/>
                <w:szCs w:val="19"/>
                <w:color w:val="auto"/>
              </w:rPr>
              <w:t>contractual relationship or non-</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3660" w:type="dxa"/>
            <w:vAlign w:val="bottom"/>
          </w:tcPr>
          <w:p>
            <w:pPr>
              <w:ind w:left="540"/>
              <w:spacing w:after="0" w:line="193" w:lineRule="exact"/>
              <w:rPr>
                <w:sz w:val="20"/>
                <w:szCs w:val="20"/>
                <w:color w:val="auto"/>
              </w:rPr>
            </w:pPr>
            <w:r>
              <w:rPr>
                <w:rFonts w:ascii="Times New Roman" w:cs="Times New Roman" w:eastAsia="Times New Roman" w:hAnsi="Times New Roman"/>
                <w:sz w:val="19"/>
                <w:szCs w:val="19"/>
                <w:color w:val="auto"/>
              </w:rPr>
              <w:t>contractual relationship, as further</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detailed in Exhibit D.</w:t>
            </w:r>
          </w:p>
        </w:tc>
        <w:tc>
          <w:tcPr>
            <w:tcW w:w="0" w:type="dxa"/>
            <w:vAlign w:val="bottom"/>
          </w:tcPr>
          <w:p>
            <w:pPr>
              <w:spacing w:after="0"/>
              <w:rPr>
                <w:sz w:val="1"/>
                <w:szCs w:val="1"/>
                <w:color w:val="auto"/>
              </w:rPr>
            </w:pPr>
          </w:p>
        </w:tc>
      </w:tr>
      <w:tr>
        <w:trPr>
          <w:trHeight w:val="329"/>
        </w:trPr>
        <w:tc>
          <w:tcPr>
            <w:tcW w:w="2160" w:type="dxa"/>
            <w:vAlign w:val="bottom"/>
          </w:tcPr>
          <w:p>
            <w:pPr>
              <w:spacing w:after="0"/>
              <w:rPr>
                <w:sz w:val="20"/>
                <w:szCs w:val="20"/>
                <w:color w:val="auto"/>
              </w:rPr>
            </w:pPr>
            <w:r>
              <w:rPr>
                <w:rFonts w:ascii="Times New Roman" w:cs="Times New Roman" w:eastAsia="Times New Roman" w:hAnsi="Times New Roman"/>
                <w:sz w:val="19"/>
                <w:szCs w:val="19"/>
                <w:color w:val="auto"/>
              </w:rPr>
              <w:t>Enphase Indemnitee</w:t>
            </w: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Shall have the meaning set forth in</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Section 9.1</w:t>
            </w:r>
          </w:p>
        </w:tc>
        <w:tc>
          <w:tcPr>
            <w:tcW w:w="0" w:type="dxa"/>
            <w:vAlign w:val="bottom"/>
          </w:tcPr>
          <w:p>
            <w:pPr>
              <w:spacing w:after="0"/>
              <w:rPr>
                <w:sz w:val="1"/>
                <w:szCs w:val="1"/>
                <w:color w:val="auto"/>
              </w:rPr>
            </w:pPr>
          </w:p>
        </w:tc>
      </w:tr>
      <w:tr>
        <w:trPr>
          <w:trHeight w:val="326"/>
        </w:trPr>
        <w:tc>
          <w:tcPr>
            <w:tcW w:w="2160" w:type="dxa"/>
            <w:vAlign w:val="bottom"/>
          </w:tcPr>
          <w:p>
            <w:pPr>
              <w:spacing w:after="0"/>
              <w:rPr>
                <w:sz w:val="20"/>
                <w:szCs w:val="20"/>
                <w:color w:val="auto"/>
              </w:rPr>
            </w:pPr>
            <w:r>
              <w:rPr>
                <w:rFonts w:ascii="Times New Roman" w:cs="Times New Roman" w:eastAsia="Times New Roman" w:hAnsi="Times New Roman"/>
                <w:sz w:val="19"/>
                <w:szCs w:val="19"/>
                <w:color w:val="auto"/>
              </w:rPr>
              <w:t>Equipment</w:t>
            </w: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Shall mean those equipment and</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3660" w:type="dxa"/>
            <w:vAlign w:val="bottom"/>
          </w:tcPr>
          <w:p>
            <w:pPr>
              <w:ind w:left="540"/>
              <w:spacing w:after="0" w:line="193" w:lineRule="exact"/>
              <w:rPr>
                <w:sz w:val="20"/>
                <w:szCs w:val="20"/>
                <w:color w:val="auto"/>
              </w:rPr>
            </w:pPr>
            <w:r>
              <w:rPr>
                <w:rFonts w:ascii="Times New Roman" w:cs="Times New Roman" w:eastAsia="Times New Roman" w:hAnsi="Times New Roman"/>
                <w:sz w:val="19"/>
                <w:szCs w:val="19"/>
                <w:color w:val="auto"/>
              </w:rPr>
              <w:t>fixtures required by the Supplier to</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3660" w:type="dxa"/>
            <w:vAlign w:val="bottom"/>
          </w:tcPr>
          <w:p>
            <w:pPr>
              <w:ind w:left="540"/>
              <w:spacing w:after="0" w:line="187" w:lineRule="exact"/>
              <w:rPr>
                <w:sz w:val="20"/>
                <w:szCs w:val="20"/>
                <w:color w:val="auto"/>
              </w:rPr>
            </w:pPr>
            <w:r>
              <w:rPr>
                <w:rFonts w:ascii="Times New Roman" w:cs="Times New Roman" w:eastAsia="Times New Roman" w:hAnsi="Times New Roman"/>
                <w:sz w:val="19"/>
                <w:szCs w:val="19"/>
                <w:color w:val="auto"/>
              </w:rPr>
              <w:t>carry out the Work, in order to</w:t>
            </w: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3660" w:type="dxa"/>
            <w:vAlign w:val="bottom"/>
          </w:tcPr>
          <w:p>
            <w:pPr>
              <w:ind w:left="540"/>
              <w:spacing w:after="0" w:line="197" w:lineRule="exact"/>
              <w:rPr>
                <w:sz w:val="20"/>
                <w:szCs w:val="20"/>
                <w:color w:val="auto"/>
              </w:rPr>
            </w:pPr>
            <w:r>
              <w:rPr>
                <w:rFonts w:ascii="Times New Roman" w:cs="Times New Roman" w:eastAsia="Times New Roman" w:hAnsi="Times New Roman"/>
                <w:sz w:val="19"/>
                <w:szCs w:val="19"/>
                <w:color w:val="auto"/>
              </w:rPr>
              <w:t>manufacture, assemble, and test the</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Products.</w:t>
            </w:r>
          </w:p>
        </w:tc>
        <w:tc>
          <w:tcPr>
            <w:tcW w:w="0" w:type="dxa"/>
            <w:vAlign w:val="bottom"/>
          </w:tcPr>
          <w:p>
            <w:pPr>
              <w:spacing w:after="0"/>
              <w:rPr>
                <w:sz w:val="1"/>
                <w:szCs w:val="1"/>
                <w:color w:val="auto"/>
              </w:rPr>
            </w:pPr>
          </w:p>
        </w:tc>
      </w:tr>
      <w:tr>
        <w:trPr>
          <w:trHeight w:val="326"/>
        </w:trPr>
        <w:tc>
          <w:tcPr>
            <w:tcW w:w="2160" w:type="dxa"/>
            <w:vAlign w:val="bottom"/>
          </w:tcPr>
          <w:p>
            <w:pPr>
              <w:spacing w:after="0"/>
              <w:rPr>
                <w:sz w:val="20"/>
                <w:szCs w:val="20"/>
                <w:color w:val="auto"/>
              </w:rPr>
            </w:pPr>
            <w:r>
              <w:rPr>
                <w:rFonts w:ascii="Times New Roman" w:cs="Times New Roman" w:eastAsia="Times New Roman" w:hAnsi="Times New Roman"/>
                <w:sz w:val="19"/>
                <w:szCs w:val="19"/>
                <w:color w:val="auto"/>
              </w:rPr>
              <w:t>Damages</w:t>
            </w: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Shall have the meaning set forth in</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Section 9.1</w:t>
            </w:r>
          </w:p>
        </w:tc>
        <w:tc>
          <w:tcPr>
            <w:tcW w:w="0" w:type="dxa"/>
            <w:vAlign w:val="bottom"/>
          </w:tcPr>
          <w:p>
            <w:pPr>
              <w:spacing w:after="0"/>
              <w:rPr>
                <w:sz w:val="1"/>
                <w:szCs w:val="1"/>
                <w:color w:val="auto"/>
              </w:rPr>
            </w:pPr>
          </w:p>
        </w:tc>
      </w:tr>
      <w:tr>
        <w:trPr>
          <w:trHeight w:val="326"/>
        </w:trPr>
        <w:tc>
          <w:tcPr>
            <w:tcW w:w="2160" w:type="dxa"/>
            <w:vAlign w:val="bottom"/>
          </w:tcPr>
          <w:p>
            <w:pPr>
              <w:spacing w:after="0"/>
              <w:rPr>
                <w:sz w:val="20"/>
                <w:szCs w:val="20"/>
                <w:color w:val="auto"/>
              </w:rPr>
            </w:pPr>
            <w:r>
              <w:rPr>
                <w:rFonts w:ascii="Times New Roman" w:cs="Times New Roman" w:eastAsia="Times New Roman" w:hAnsi="Times New Roman"/>
                <w:sz w:val="19"/>
                <w:szCs w:val="19"/>
                <w:color w:val="auto"/>
              </w:rPr>
              <w:t>Economic Order</w:t>
            </w: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Shall mean Materials purchased in</w:t>
            </w:r>
          </w:p>
        </w:tc>
        <w:tc>
          <w:tcPr>
            <w:tcW w:w="0" w:type="dxa"/>
            <w:vAlign w:val="bottom"/>
          </w:tcPr>
          <w:p>
            <w:pPr>
              <w:spacing w:after="0"/>
              <w:rPr>
                <w:sz w:val="1"/>
                <w:szCs w:val="1"/>
                <w:color w:val="auto"/>
              </w:rPr>
            </w:pPr>
          </w:p>
        </w:tc>
      </w:tr>
      <w:tr>
        <w:trPr>
          <w:trHeight w:val="193"/>
        </w:trPr>
        <w:tc>
          <w:tcPr>
            <w:tcW w:w="216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Inventory</w:t>
            </w:r>
          </w:p>
        </w:tc>
        <w:tc>
          <w:tcPr>
            <w:tcW w:w="3660" w:type="dxa"/>
            <w:vAlign w:val="bottom"/>
          </w:tcPr>
          <w:p>
            <w:pPr>
              <w:ind w:left="540"/>
              <w:spacing w:after="0" w:line="193" w:lineRule="exact"/>
              <w:rPr>
                <w:sz w:val="20"/>
                <w:szCs w:val="20"/>
                <w:color w:val="auto"/>
              </w:rPr>
            </w:pPr>
            <w:r>
              <w:rPr>
                <w:rFonts w:ascii="Times New Roman" w:cs="Times New Roman" w:eastAsia="Times New Roman" w:hAnsi="Times New Roman"/>
                <w:sz w:val="19"/>
                <w:szCs w:val="19"/>
                <w:color w:val="auto"/>
              </w:rPr>
              <w:t>quantities above the required amount for</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3660" w:type="dxa"/>
            <w:vAlign w:val="bottom"/>
          </w:tcPr>
          <w:p>
            <w:pPr>
              <w:ind w:left="540"/>
              <w:spacing w:after="0" w:line="187" w:lineRule="exact"/>
              <w:rPr>
                <w:sz w:val="20"/>
                <w:szCs w:val="20"/>
                <w:color w:val="auto"/>
              </w:rPr>
            </w:pPr>
            <w:r>
              <w:rPr>
                <w:rFonts w:ascii="Times New Roman" w:cs="Times New Roman" w:eastAsia="Times New Roman" w:hAnsi="Times New Roman"/>
                <w:sz w:val="19"/>
                <w:szCs w:val="19"/>
                <w:color w:val="auto"/>
              </w:rPr>
              <w:t>purchase orders, in order to achieve</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price targets for such Materials.</w:t>
            </w:r>
          </w:p>
        </w:tc>
        <w:tc>
          <w:tcPr>
            <w:tcW w:w="0" w:type="dxa"/>
            <w:vAlign w:val="bottom"/>
          </w:tcPr>
          <w:p>
            <w:pPr>
              <w:spacing w:after="0"/>
              <w:rPr>
                <w:sz w:val="1"/>
                <w:szCs w:val="1"/>
                <w:color w:val="auto"/>
              </w:rPr>
            </w:pPr>
          </w:p>
        </w:tc>
      </w:tr>
      <w:tr>
        <w:trPr>
          <w:trHeight w:val="339"/>
        </w:trPr>
        <w:tc>
          <w:tcPr>
            <w:tcW w:w="2160" w:type="dxa"/>
            <w:vAlign w:val="bottom"/>
          </w:tcPr>
          <w:p>
            <w:pPr>
              <w:spacing w:after="0"/>
              <w:rPr>
                <w:sz w:val="20"/>
                <w:szCs w:val="20"/>
                <w:color w:val="auto"/>
              </w:rPr>
            </w:pPr>
            <w:r>
              <w:rPr>
                <w:rFonts w:ascii="Times New Roman" w:cs="Times New Roman" w:eastAsia="Times New Roman" w:hAnsi="Times New Roman"/>
                <w:sz w:val="19"/>
                <w:szCs w:val="19"/>
                <w:color w:val="auto"/>
              </w:rPr>
              <w:t>"Engineering Change</w:t>
            </w: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Shall mean the document that details a</w:t>
            </w:r>
          </w:p>
        </w:tc>
        <w:tc>
          <w:tcPr>
            <w:tcW w:w="0" w:type="dxa"/>
            <w:vAlign w:val="bottom"/>
          </w:tcPr>
          <w:p>
            <w:pPr>
              <w:spacing w:after="0"/>
              <w:rPr>
                <w:sz w:val="1"/>
                <w:szCs w:val="1"/>
                <w:color w:val="auto"/>
              </w:rPr>
            </w:pPr>
          </w:p>
        </w:tc>
      </w:tr>
      <w:tr>
        <w:trPr>
          <w:trHeight w:val="193"/>
        </w:trPr>
        <w:tc>
          <w:tcPr>
            <w:tcW w:w="216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Order" (ECO)</w:t>
            </w:r>
          </w:p>
        </w:tc>
        <w:tc>
          <w:tcPr>
            <w:tcW w:w="3660" w:type="dxa"/>
            <w:vAlign w:val="bottom"/>
          </w:tcPr>
          <w:p>
            <w:pPr>
              <w:ind w:left="540"/>
              <w:spacing w:after="0" w:line="193" w:lineRule="exact"/>
              <w:rPr>
                <w:sz w:val="20"/>
                <w:szCs w:val="20"/>
                <w:color w:val="auto"/>
              </w:rPr>
            </w:pPr>
            <w:r>
              <w:rPr>
                <w:rFonts w:ascii="Times New Roman" w:cs="Times New Roman" w:eastAsia="Times New Roman" w:hAnsi="Times New Roman"/>
                <w:sz w:val="19"/>
                <w:szCs w:val="19"/>
                <w:color w:val="auto"/>
              </w:rPr>
              <w:t>change in the Specifications and/or</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design of a Product</w:t>
            </w:r>
          </w:p>
        </w:tc>
        <w:tc>
          <w:tcPr>
            <w:tcW w:w="0" w:type="dxa"/>
            <w:vAlign w:val="bottom"/>
          </w:tcPr>
          <w:p>
            <w:pPr>
              <w:spacing w:after="0"/>
              <w:rPr>
                <w:sz w:val="1"/>
                <w:szCs w:val="1"/>
                <w:color w:val="auto"/>
              </w:rPr>
            </w:pPr>
          </w:p>
        </w:tc>
      </w:tr>
      <w:tr>
        <w:trPr>
          <w:trHeight w:val="329"/>
        </w:trPr>
        <w:tc>
          <w:tcPr>
            <w:tcW w:w="2160" w:type="dxa"/>
            <w:vAlign w:val="bottom"/>
          </w:tcPr>
          <w:p>
            <w:pPr>
              <w:spacing w:after="0"/>
              <w:rPr>
                <w:sz w:val="20"/>
                <w:szCs w:val="20"/>
                <w:color w:val="auto"/>
              </w:rPr>
            </w:pPr>
            <w:r>
              <w:rPr>
                <w:rFonts w:ascii="Times New Roman" w:cs="Times New Roman" w:eastAsia="Times New Roman" w:hAnsi="Times New Roman"/>
                <w:sz w:val="19"/>
                <w:szCs w:val="19"/>
                <w:color w:val="auto"/>
              </w:rPr>
              <w:t>Government Official</w:t>
            </w: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Shall have the meaning given to it in</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10.10 (a)</w:t>
            </w:r>
          </w:p>
        </w:tc>
        <w:tc>
          <w:tcPr>
            <w:tcW w:w="0" w:type="dxa"/>
            <w:vAlign w:val="bottom"/>
          </w:tcPr>
          <w:p>
            <w:pPr>
              <w:spacing w:after="0"/>
              <w:rPr>
                <w:sz w:val="1"/>
                <w:szCs w:val="1"/>
                <w:color w:val="auto"/>
              </w:rPr>
            </w:pPr>
          </w:p>
        </w:tc>
      </w:tr>
      <w:tr>
        <w:trPr>
          <w:trHeight w:val="326"/>
        </w:trPr>
        <w:tc>
          <w:tcPr>
            <w:tcW w:w="2160" w:type="dxa"/>
            <w:vAlign w:val="bottom"/>
          </w:tcPr>
          <w:p>
            <w:pPr>
              <w:spacing w:after="0"/>
              <w:rPr>
                <w:sz w:val="20"/>
                <w:szCs w:val="20"/>
                <w:color w:val="auto"/>
              </w:rPr>
            </w:pPr>
            <w:r>
              <w:rPr>
                <w:rFonts w:ascii="Times New Roman" w:cs="Times New Roman" w:eastAsia="Times New Roman" w:hAnsi="Times New Roman"/>
                <w:sz w:val="19"/>
                <w:szCs w:val="19"/>
                <w:color w:val="auto"/>
              </w:rPr>
              <w:t>Government Entity</w:t>
            </w: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Shall have the meaning given to it in</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10.10 (b)</w:t>
            </w:r>
          </w:p>
        </w:tc>
        <w:tc>
          <w:tcPr>
            <w:tcW w:w="0" w:type="dxa"/>
            <w:vAlign w:val="bottom"/>
          </w:tcPr>
          <w:p>
            <w:pPr>
              <w:spacing w:after="0"/>
              <w:rPr>
                <w:sz w:val="1"/>
                <w:szCs w:val="1"/>
                <w:color w:val="auto"/>
              </w:rPr>
            </w:pPr>
          </w:p>
        </w:tc>
      </w:tr>
      <w:tr>
        <w:trPr>
          <w:trHeight w:val="326"/>
        </w:trPr>
        <w:tc>
          <w:tcPr>
            <w:tcW w:w="2160" w:type="dxa"/>
            <w:vAlign w:val="bottom"/>
          </w:tcPr>
          <w:p>
            <w:pPr>
              <w:spacing w:after="0"/>
              <w:rPr>
                <w:sz w:val="20"/>
                <w:szCs w:val="20"/>
                <w:color w:val="auto"/>
              </w:rPr>
            </w:pPr>
            <w:r>
              <w:rPr>
                <w:rFonts w:ascii="Times New Roman" w:cs="Times New Roman" w:eastAsia="Times New Roman" w:hAnsi="Times New Roman"/>
                <w:sz w:val="19"/>
                <w:szCs w:val="19"/>
                <w:color w:val="auto"/>
              </w:rPr>
              <w:t>Disputes</w:t>
            </w: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Shall have the meaning set forth in</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Section 10.l7</w:t>
            </w:r>
          </w:p>
        </w:tc>
        <w:tc>
          <w:tcPr>
            <w:tcW w:w="0" w:type="dxa"/>
            <w:vAlign w:val="bottom"/>
          </w:tcPr>
          <w:p>
            <w:pPr>
              <w:spacing w:after="0"/>
              <w:rPr>
                <w:sz w:val="1"/>
                <w:szCs w:val="1"/>
                <w:color w:val="auto"/>
              </w:rPr>
            </w:pPr>
          </w:p>
        </w:tc>
      </w:tr>
      <w:tr>
        <w:trPr>
          <w:trHeight w:val="326"/>
        </w:trPr>
        <w:tc>
          <w:tcPr>
            <w:tcW w:w="2160" w:type="dxa"/>
            <w:vAlign w:val="bottom"/>
          </w:tcPr>
          <w:p>
            <w:pPr>
              <w:spacing w:after="0"/>
              <w:rPr>
                <w:sz w:val="20"/>
                <w:szCs w:val="20"/>
                <w:color w:val="auto"/>
              </w:rPr>
            </w:pPr>
            <w:r>
              <w:rPr>
                <w:rFonts w:ascii="Times New Roman" w:cs="Times New Roman" w:eastAsia="Times New Roman" w:hAnsi="Times New Roman"/>
                <w:sz w:val="19"/>
                <w:szCs w:val="19"/>
                <w:color w:val="auto"/>
              </w:rPr>
              <w:t>Environmental</w:t>
            </w: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Shall mean any hazardous substance</w:t>
            </w:r>
          </w:p>
        </w:tc>
        <w:tc>
          <w:tcPr>
            <w:tcW w:w="0" w:type="dxa"/>
            <w:vAlign w:val="bottom"/>
          </w:tcPr>
          <w:p>
            <w:pPr>
              <w:spacing w:after="0"/>
              <w:rPr>
                <w:sz w:val="1"/>
                <w:szCs w:val="1"/>
                <w:color w:val="auto"/>
              </w:rPr>
            </w:pPr>
          </w:p>
        </w:tc>
      </w:tr>
      <w:tr>
        <w:trPr>
          <w:trHeight w:val="193"/>
        </w:trPr>
        <w:tc>
          <w:tcPr>
            <w:tcW w:w="216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Regulations</w:t>
            </w:r>
          </w:p>
        </w:tc>
        <w:tc>
          <w:tcPr>
            <w:tcW w:w="3660" w:type="dxa"/>
            <w:vAlign w:val="bottom"/>
          </w:tcPr>
          <w:p>
            <w:pPr>
              <w:ind w:left="540"/>
              <w:spacing w:after="0" w:line="193" w:lineRule="exact"/>
              <w:rPr>
                <w:sz w:val="20"/>
                <w:szCs w:val="20"/>
                <w:color w:val="auto"/>
              </w:rPr>
            </w:pPr>
            <w:r>
              <w:rPr>
                <w:rFonts w:ascii="Times New Roman" w:cs="Times New Roman" w:eastAsia="Times New Roman" w:hAnsi="Times New Roman"/>
                <w:sz w:val="19"/>
                <w:szCs w:val="19"/>
                <w:color w:val="auto"/>
              </w:rPr>
              <w:t>content laws and regulations including,</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3660" w:type="dxa"/>
            <w:vAlign w:val="bottom"/>
          </w:tcPr>
          <w:p>
            <w:pPr>
              <w:ind w:left="540"/>
              <w:spacing w:after="0" w:line="187" w:lineRule="exact"/>
              <w:rPr>
                <w:sz w:val="20"/>
                <w:szCs w:val="20"/>
                <w:color w:val="auto"/>
              </w:rPr>
            </w:pPr>
            <w:r>
              <w:rPr>
                <w:rFonts w:ascii="Times New Roman" w:cs="Times New Roman" w:eastAsia="Times New Roman" w:hAnsi="Times New Roman"/>
                <w:sz w:val="19"/>
                <w:szCs w:val="19"/>
                <w:color w:val="auto"/>
              </w:rPr>
              <w:t>without limitation, those related to the</w:t>
            </w: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3660" w:type="dxa"/>
            <w:vAlign w:val="bottom"/>
          </w:tcPr>
          <w:p>
            <w:pPr>
              <w:ind w:left="540"/>
              <w:spacing w:after="0" w:line="197" w:lineRule="exact"/>
              <w:rPr>
                <w:sz w:val="20"/>
                <w:szCs w:val="20"/>
                <w:color w:val="auto"/>
              </w:rPr>
            </w:pPr>
            <w:r>
              <w:rPr>
                <w:rFonts w:ascii="Times New Roman" w:cs="Times New Roman" w:eastAsia="Times New Roman" w:hAnsi="Times New Roman"/>
                <w:sz w:val="19"/>
                <w:szCs w:val="19"/>
                <w:color w:val="auto"/>
              </w:rPr>
              <w:t>EU Directive 2002/95/EC about the</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3660" w:type="dxa"/>
            <w:vAlign w:val="bottom"/>
          </w:tcPr>
          <w:p>
            <w:pPr>
              <w:ind w:left="540"/>
              <w:spacing w:after="0" w:line="193" w:lineRule="exact"/>
              <w:rPr>
                <w:sz w:val="20"/>
                <w:szCs w:val="20"/>
                <w:color w:val="auto"/>
              </w:rPr>
            </w:pPr>
            <w:r>
              <w:rPr>
                <w:rFonts w:ascii="Times New Roman" w:cs="Times New Roman" w:eastAsia="Times New Roman" w:hAnsi="Times New Roman"/>
                <w:sz w:val="19"/>
                <w:szCs w:val="19"/>
                <w:color w:val="auto"/>
              </w:rPr>
              <w:t>Restriction of Use of Hazardous</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3660" w:type="dxa"/>
            <w:vAlign w:val="bottom"/>
          </w:tcPr>
          <w:p>
            <w:pPr>
              <w:ind w:left="540"/>
              <w:spacing w:after="0" w:line="187" w:lineRule="exact"/>
              <w:rPr>
                <w:sz w:val="20"/>
                <w:szCs w:val="20"/>
                <w:color w:val="auto"/>
              </w:rPr>
            </w:pPr>
            <w:r>
              <w:rPr>
                <w:rFonts w:ascii="Times New Roman" w:cs="Times New Roman" w:eastAsia="Times New Roman" w:hAnsi="Times New Roman"/>
                <w:sz w:val="19"/>
                <w:szCs w:val="19"/>
                <w:color w:val="auto"/>
              </w:rPr>
              <w:t>Substances (RoHS), the Directive</w:t>
            </w: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3660" w:type="dxa"/>
            <w:vAlign w:val="bottom"/>
          </w:tcPr>
          <w:p>
            <w:pPr>
              <w:ind w:left="540"/>
              <w:spacing w:after="0" w:line="197" w:lineRule="exact"/>
              <w:rPr>
                <w:sz w:val="20"/>
                <w:szCs w:val="20"/>
                <w:color w:val="auto"/>
              </w:rPr>
            </w:pPr>
            <w:r>
              <w:rPr>
                <w:rFonts w:ascii="Times New Roman" w:cs="Times New Roman" w:eastAsia="Times New Roman" w:hAnsi="Times New Roman"/>
                <w:sz w:val="19"/>
                <w:szCs w:val="19"/>
                <w:color w:val="auto"/>
              </w:rPr>
              <w:t>2012/19/EU of the European Parliament</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3660" w:type="dxa"/>
            <w:vAlign w:val="bottom"/>
          </w:tcPr>
          <w:p>
            <w:pPr>
              <w:ind w:left="540"/>
              <w:spacing w:after="0" w:line="193" w:lineRule="exact"/>
              <w:rPr>
                <w:sz w:val="20"/>
                <w:szCs w:val="20"/>
                <w:color w:val="auto"/>
              </w:rPr>
            </w:pPr>
            <w:r>
              <w:rPr>
                <w:rFonts w:ascii="Times New Roman" w:cs="Times New Roman" w:eastAsia="Times New Roman" w:hAnsi="Times New Roman"/>
                <w:sz w:val="19"/>
                <w:szCs w:val="19"/>
                <w:color w:val="auto"/>
              </w:rPr>
              <w:t>and of the Council of 27 January 2003</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3660" w:type="dxa"/>
            <w:vAlign w:val="bottom"/>
          </w:tcPr>
          <w:p>
            <w:pPr>
              <w:ind w:left="540"/>
              <w:spacing w:after="0" w:line="187" w:lineRule="exact"/>
              <w:rPr>
                <w:sz w:val="20"/>
                <w:szCs w:val="20"/>
                <w:color w:val="auto"/>
              </w:rPr>
            </w:pPr>
            <w:r>
              <w:rPr>
                <w:rFonts w:ascii="Times New Roman" w:cs="Times New Roman" w:eastAsia="Times New Roman" w:hAnsi="Times New Roman"/>
                <w:sz w:val="19"/>
                <w:szCs w:val="19"/>
                <w:color w:val="auto"/>
              </w:rPr>
              <w:t>on Waste Electrical and Electronic</w:t>
            </w: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3660" w:type="dxa"/>
            <w:vAlign w:val="bottom"/>
          </w:tcPr>
          <w:p>
            <w:pPr>
              <w:ind w:left="540"/>
              <w:spacing w:after="0" w:line="197" w:lineRule="exact"/>
              <w:rPr>
                <w:sz w:val="20"/>
                <w:szCs w:val="20"/>
                <w:color w:val="auto"/>
              </w:rPr>
            </w:pPr>
            <w:r>
              <w:rPr>
                <w:rFonts w:ascii="Times New Roman" w:cs="Times New Roman" w:eastAsia="Times New Roman" w:hAnsi="Times New Roman"/>
                <w:sz w:val="19"/>
                <w:szCs w:val="19"/>
                <w:color w:val="auto"/>
              </w:rPr>
              <w:t>Equipment (WEEE), 2003 O.J. (L37) 24</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3660" w:type="dxa"/>
            <w:vAlign w:val="bottom"/>
          </w:tcPr>
          <w:p>
            <w:pPr>
              <w:ind w:left="540"/>
              <w:spacing w:after="0" w:line="193" w:lineRule="exact"/>
              <w:rPr>
                <w:sz w:val="20"/>
                <w:szCs w:val="20"/>
                <w:color w:val="auto"/>
              </w:rPr>
            </w:pPr>
            <w:r>
              <w:rPr>
                <w:rFonts w:ascii="Times New Roman" w:cs="Times New Roman" w:eastAsia="Times New Roman" w:hAnsi="Times New Roman"/>
                <w:sz w:val="19"/>
                <w:szCs w:val="19"/>
                <w:color w:val="auto"/>
              </w:rPr>
              <w:t>as amended from time to time, and</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includes the WEEE Requirements.</w:t>
            </w:r>
          </w:p>
        </w:tc>
        <w:tc>
          <w:tcPr>
            <w:tcW w:w="0" w:type="dxa"/>
            <w:vAlign w:val="bottom"/>
          </w:tcPr>
          <w:p>
            <w:pPr>
              <w:spacing w:after="0"/>
              <w:rPr>
                <w:sz w:val="1"/>
                <w:szCs w:val="1"/>
                <w:color w:val="auto"/>
              </w:rPr>
            </w:pPr>
          </w:p>
        </w:tc>
      </w:tr>
      <w:tr>
        <w:trPr>
          <w:trHeight w:val="329"/>
        </w:trPr>
        <w:tc>
          <w:tcPr>
            <w:tcW w:w="2160" w:type="dxa"/>
            <w:vAlign w:val="bottom"/>
          </w:tcPr>
          <w:p>
            <w:pPr>
              <w:spacing w:after="0"/>
              <w:rPr>
                <w:sz w:val="20"/>
                <w:szCs w:val="20"/>
                <w:color w:val="auto"/>
              </w:rPr>
            </w:pPr>
            <w:r>
              <w:rPr>
                <w:rFonts w:ascii="Times New Roman" w:cs="Times New Roman" w:eastAsia="Times New Roman" w:hAnsi="Times New Roman"/>
                <w:sz w:val="19"/>
                <w:szCs w:val="19"/>
                <w:color w:val="auto"/>
              </w:rPr>
              <w:t>Fee List</w:t>
            </w: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Shall have the meaning set forth in</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3660" w:type="dxa"/>
            <w:vAlign w:val="bottom"/>
          </w:tcPr>
          <w:p>
            <w:pPr>
              <w:ind w:left="540"/>
              <w:spacing w:after="0" w:line="193" w:lineRule="exact"/>
              <w:rPr>
                <w:sz w:val="20"/>
                <w:szCs w:val="20"/>
                <w:color w:val="auto"/>
              </w:rPr>
            </w:pPr>
            <w:r>
              <w:rPr>
                <w:rFonts w:ascii="Times New Roman" w:cs="Times New Roman" w:eastAsia="Times New Roman" w:hAnsi="Times New Roman"/>
                <w:sz w:val="19"/>
                <w:szCs w:val="19"/>
                <w:color w:val="auto"/>
              </w:rPr>
              <w:t>Section</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3.4 (a)</w:t>
            </w:r>
          </w:p>
        </w:tc>
        <w:tc>
          <w:tcPr>
            <w:tcW w:w="0" w:type="dxa"/>
            <w:vAlign w:val="bottom"/>
          </w:tcPr>
          <w:p>
            <w:pPr>
              <w:spacing w:after="0"/>
              <w:rPr>
                <w:sz w:val="1"/>
                <w:szCs w:val="1"/>
                <w:color w:val="auto"/>
              </w:rPr>
            </w:pPr>
          </w:p>
        </w:tc>
      </w:tr>
      <w:tr>
        <w:trPr>
          <w:trHeight w:val="329"/>
        </w:trPr>
        <w:tc>
          <w:tcPr>
            <w:tcW w:w="2160" w:type="dxa"/>
            <w:vAlign w:val="bottom"/>
          </w:tcPr>
          <w:p>
            <w:pPr>
              <w:spacing w:after="0"/>
              <w:rPr>
                <w:sz w:val="20"/>
                <w:szCs w:val="20"/>
                <w:color w:val="auto"/>
              </w:rPr>
            </w:pPr>
            <w:r>
              <w:rPr>
                <w:rFonts w:ascii="Times New Roman" w:cs="Times New Roman" w:eastAsia="Times New Roman" w:hAnsi="Times New Roman"/>
                <w:sz w:val="19"/>
                <w:szCs w:val="19"/>
                <w:color w:val="auto"/>
              </w:rPr>
              <w:t>Force Majeure</w:t>
            </w: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Shall have the meaning set forth in</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Section 10.8</w:t>
            </w:r>
          </w:p>
        </w:tc>
        <w:tc>
          <w:tcPr>
            <w:tcW w:w="0" w:type="dxa"/>
            <w:vAlign w:val="bottom"/>
          </w:tcPr>
          <w:p>
            <w:pPr>
              <w:spacing w:after="0"/>
              <w:rPr>
                <w:sz w:val="1"/>
                <w:szCs w:val="1"/>
                <w:color w:val="auto"/>
              </w:rPr>
            </w:pPr>
          </w:p>
        </w:tc>
      </w:tr>
      <w:tr>
        <w:trPr>
          <w:trHeight w:val="326"/>
        </w:trPr>
        <w:tc>
          <w:tcPr>
            <w:tcW w:w="2160" w:type="dxa"/>
            <w:vAlign w:val="bottom"/>
          </w:tcPr>
          <w:p>
            <w:pPr>
              <w:spacing w:after="0"/>
              <w:rPr>
                <w:sz w:val="20"/>
                <w:szCs w:val="20"/>
                <w:color w:val="auto"/>
              </w:rPr>
            </w:pPr>
            <w:r>
              <w:rPr>
                <w:rFonts w:ascii="Times New Roman" w:cs="Times New Roman" w:eastAsia="Times New Roman" w:hAnsi="Times New Roman"/>
                <w:sz w:val="19"/>
                <w:szCs w:val="19"/>
                <w:color w:val="auto"/>
              </w:rPr>
              <w:t>Inventory</w:t>
            </w: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Shall mean any Materials that are used</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3660" w:type="dxa"/>
            <w:vAlign w:val="bottom"/>
          </w:tcPr>
          <w:p>
            <w:pPr>
              <w:ind w:left="540"/>
              <w:spacing w:after="0" w:line="193" w:lineRule="exact"/>
              <w:rPr>
                <w:sz w:val="20"/>
                <w:szCs w:val="20"/>
                <w:color w:val="auto"/>
              </w:rPr>
            </w:pPr>
            <w:r>
              <w:rPr>
                <w:rFonts w:ascii="Times New Roman" w:cs="Times New Roman" w:eastAsia="Times New Roman" w:hAnsi="Times New Roman"/>
                <w:sz w:val="19"/>
                <w:szCs w:val="19"/>
                <w:color w:val="auto"/>
              </w:rPr>
              <w:t>to manufacture Products that are</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3660" w:type="dxa"/>
            <w:vAlign w:val="bottom"/>
          </w:tcPr>
          <w:p>
            <w:pPr>
              <w:ind w:left="540"/>
              <w:spacing w:after="0" w:line="187" w:lineRule="exact"/>
              <w:rPr>
                <w:sz w:val="20"/>
                <w:szCs w:val="20"/>
                <w:color w:val="auto"/>
              </w:rPr>
            </w:pPr>
            <w:r>
              <w:rPr>
                <w:rFonts w:ascii="Times New Roman" w:cs="Times New Roman" w:eastAsia="Times New Roman" w:hAnsi="Times New Roman"/>
                <w:sz w:val="19"/>
                <w:szCs w:val="19"/>
                <w:color w:val="auto"/>
              </w:rPr>
              <w:t>ordered pursuant to a purchase order</w:t>
            </w:r>
          </w:p>
        </w:tc>
        <w:tc>
          <w:tcPr>
            <w:tcW w:w="0" w:type="dxa"/>
            <w:vAlign w:val="bottom"/>
          </w:tcPr>
          <w:p>
            <w:pPr>
              <w:spacing w:after="0"/>
              <w:rPr>
                <w:sz w:val="1"/>
                <w:szCs w:val="1"/>
                <w:color w:val="auto"/>
              </w:rPr>
            </w:pPr>
          </w:p>
        </w:tc>
      </w:tr>
      <w:tr>
        <w:trPr>
          <w:trHeight w:val="251"/>
        </w:trPr>
        <w:tc>
          <w:tcPr>
            <w:tcW w:w="2160" w:type="dxa"/>
            <w:vAlign w:val="bottom"/>
          </w:tcPr>
          <w:p>
            <w:pPr>
              <w:spacing w:after="0"/>
              <w:rPr>
                <w:sz w:val="21"/>
                <w:szCs w:val="21"/>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from Enphase</w:t>
            </w: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193" w:name="page194"/>
    <w:bookmarkEnd w:id="193"/>
    <w:p>
      <w:pPr>
        <w:spacing w:after="0" w:line="1" w:lineRule="exact"/>
        <w:rPr>
          <w:sz w:val="20"/>
          <w:szCs w:val="20"/>
          <w:color w:val="auto"/>
        </w:rPr>
      </w:pPr>
    </w:p>
    <w:tbl>
      <w:tblPr>
        <w:tblLayout w:type="fixed"/>
        <w:tblInd w:w="1600" w:type="dxa"/>
        <w:tblCellMar>
          <w:top w:w="0" w:type="dxa"/>
          <w:left w:w="0" w:type="dxa"/>
          <w:bottom w:w="0" w:type="dxa"/>
          <w:right w:w="0" w:type="dxa"/>
        </w:tblCellMar>
      </w:tblPr>
      <w:tr>
        <w:trPr>
          <w:trHeight w:val="218"/>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Lead Time(s)</w:t>
            </w:r>
          </w:p>
        </w:tc>
        <w:tc>
          <w:tcPr>
            <w:tcW w:w="3600" w:type="dxa"/>
            <w:vAlign w:val="bottom"/>
            <w:gridSpan w:val="6"/>
          </w:tcPr>
          <w:p>
            <w:pPr>
              <w:ind w:left="480"/>
              <w:spacing w:after="0"/>
              <w:rPr>
                <w:sz w:val="20"/>
                <w:szCs w:val="20"/>
                <w:color w:val="auto"/>
              </w:rPr>
            </w:pPr>
            <w:r>
              <w:rPr>
                <w:rFonts w:ascii="Times New Roman" w:cs="Times New Roman" w:eastAsia="Times New Roman" w:hAnsi="Times New Roman"/>
                <w:sz w:val="19"/>
                <w:szCs w:val="19"/>
                <w:color w:val="auto"/>
              </w:rPr>
              <w:t>Shall mean the Materials Procurement</w:t>
            </w:r>
          </w:p>
        </w:tc>
      </w:tr>
      <w:tr>
        <w:trPr>
          <w:trHeight w:val="193"/>
        </w:trPr>
        <w:tc>
          <w:tcPr>
            <w:tcW w:w="2220" w:type="dxa"/>
            <w:vAlign w:val="bottom"/>
          </w:tcPr>
          <w:p>
            <w:pPr>
              <w:spacing w:after="0"/>
              <w:rPr>
                <w:sz w:val="16"/>
                <w:szCs w:val="16"/>
                <w:color w:val="auto"/>
              </w:rPr>
            </w:pPr>
          </w:p>
        </w:tc>
        <w:tc>
          <w:tcPr>
            <w:tcW w:w="3600" w:type="dxa"/>
            <w:vAlign w:val="bottom"/>
            <w:gridSpan w:val="6"/>
          </w:tcPr>
          <w:p>
            <w:pPr>
              <w:ind w:left="480"/>
              <w:spacing w:after="0" w:line="193" w:lineRule="exact"/>
              <w:rPr>
                <w:sz w:val="20"/>
                <w:szCs w:val="20"/>
                <w:color w:val="auto"/>
              </w:rPr>
            </w:pPr>
            <w:r>
              <w:rPr>
                <w:rFonts w:ascii="Times New Roman" w:cs="Times New Roman" w:eastAsia="Times New Roman" w:hAnsi="Times New Roman"/>
                <w:sz w:val="19"/>
                <w:szCs w:val="19"/>
                <w:color w:val="auto"/>
              </w:rPr>
              <w:t>Lead Time plus the manufacturing cycle</w:t>
            </w:r>
          </w:p>
        </w:tc>
      </w:tr>
      <w:tr>
        <w:trPr>
          <w:trHeight w:val="187"/>
        </w:trPr>
        <w:tc>
          <w:tcPr>
            <w:tcW w:w="2220" w:type="dxa"/>
            <w:vAlign w:val="bottom"/>
          </w:tcPr>
          <w:p>
            <w:pPr>
              <w:spacing w:after="0"/>
              <w:rPr>
                <w:sz w:val="16"/>
                <w:szCs w:val="16"/>
                <w:color w:val="auto"/>
              </w:rPr>
            </w:pPr>
          </w:p>
        </w:tc>
        <w:tc>
          <w:tcPr>
            <w:tcW w:w="3600" w:type="dxa"/>
            <w:vAlign w:val="bottom"/>
            <w:gridSpan w:val="6"/>
          </w:tcPr>
          <w:p>
            <w:pPr>
              <w:ind w:left="480"/>
              <w:spacing w:after="0" w:line="187" w:lineRule="exact"/>
              <w:rPr>
                <w:sz w:val="20"/>
                <w:szCs w:val="20"/>
                <w:color w:val="auto"/>
              </w:rPr>
            </w:pPr>
            <w:r>
              <w:rPr>
                <w:rFonts w:ascii="Times New Roman" w:cs="Times New Roman" w:eastAsia="Times New Roman" w:hAnsi="Times New Roman"/>
                <w:sz w:val="19"/>
                <w:szCs w:val="19"/>
                <w:color w:val="auto"/>
              </w:rPr>
              <w:t>time required from the delivery of the</w:t>
            </w:r>
          </w:p>
        </w:tc>
      </w:tr>
      <w:tr>
        <w:trPr>
          <w:trHeight w:val="197"/>
        </w:trPr>
        <w:tc>
          <w:tcPr>
            <w:tcW w:w="2220" w:type="dxa"/>
            <w:vAlign w:val="bottom"/>
          </w:tcPr>
          <w:p>
            <w:pPr>
              <w:spacing w:after="0"/>
              <w:rPr>
                <w:sz w:val="17"/>
                <w:szCs w:val="17"/>
                <w:color w:val="auto"/>
              </w:rPr>
            </w:pPr>
          </w:p>
        </w:tc>
        <w:tc>
          <w:tcPr>
            <w:tcW w:w="3600" w:type="dxa"/>
            <w:vAlign w:val="bottom"/>
            <w:gridSpan w:val="6"/>
          </w:tcPr>
          <w:p>
            <w:pPr>
              <w:ind w:left="480"/>
              <w:spacing w:after="0" w:line="197" w:lineRule="exact"/>
              <w:rPr>
                <w:sz w:val="20"/>
                <w:szCs w:val="20"/>
                <w:color w:val="auto"/>
              </w:rPr>
            </w:pPr>
            <w:r>
              <w:rPr>
                <w:rFonts w:ascii="Times New Roman" w:cs="Times New Roman" w:eastAsia="Times New Roman" w:hAnsi="Times New Roman"/>
                <w:sz w:val="19"/>
                <w:szCs w:val="19"/>
                <w:color w:val="auto"/>
              </w:rPr>
              <w:t>Materials at the Supplier's facility to the</w:t>
            </w:r>
          </w:p>
        </w:tc>
      </w:tr>
      <w:tr>
        <w:trPr>
          <w:trHeight w:val="193"/>
        </w:trPr>
        <w:tc>
          <w:tcPr>
            <w:tcW w:w="2220" w:type="dxa"/>
            <w:vAlign w:val="bottom"/>
          </w:tcPr>
          <w:p>
            <w:pPr>
              <w:spacing w:after="0"/>
              <w:rPr>
                <w:sz w:val="16"/>
                <w:szCs w:val="16"/>
                <w:color w:val="auto"/>
              </w:rPr>
            </w:pPr>
          </w:p>
        </w:tc>
        <w:tc>
          <w:tcPr>
            <w:tcW w:w="3200" w:type="dxa"/>
            <w:vAlign w:val="bottom"/>
            <w:gridSpan w:val="5"/>
          </w:tcPr>
          <w:p>
            <w:pPr>
              <w:ind w:left="480"/>
              <w:spacing w:after="0" w:line="193" w:lineRule="exact"/>
              <w:rPr>
                <w:sz w:val="20"/>
                <w:szCs w:val="20"/>
                <w:color w:val="auto"/>
              </w:rPr>
            </w:pPr>
            <w:r>
              <w:rPr>
                <w:rFonts w:ascii="Times New Roman" w:cs="Times New Roman" w:eastAsia="Times New Roman" w:hAnsi="Times New Roman"/>
                <w:sz w:val="19"/>
                <w:szCs w:val="19"/>
                <w:color w:val="auto"/>
              </w:rPr>
              <w:t>completion of the manufacture,</w:t>
            </w:r>
          </w:p>
        </w:tc>
        <w:tc>
          <w:tcPr>
            <w:tcW w:w="400" w:type="dxa"/>
            <w:vAlign w:val="bottom"/>
          </w:tcPr>
          <w:p>
            <w:pPr>
              <w:spacing w:after="0"/>
              <w:rPr>
                <w:sz w:val="16"/>
                <w:szCs w:val="16"/>
                <w:color w:val="auto"/>
              </w:rPr>
            </w:pPr>
          </w:p>
        </w:tc>
      </w:tr>
      <w:tr>
        <w:trPr>
          <w:trHeight w:val="251"/>
        </w:trPr>
        <w:tc>
          <w:tcPr>
            <w:tcW w:w="2220" w:type="dxa"/>
            <w:vAlign w:val="bottom"/>
          </w:tcPr>
          <w:p>
            <w:pPr>
              <w:spacing w:after="0"/>
              <w:rPr>
                <w:sz w:val="21"/>
                <w:szCs w:val="21"/>
                <w:color w:val="auto"/>
              </w:rPr>
            </w:pPr>
          </w:p>
        </w:tc>
        <w:tc>
          <w:tcPr>
            <w:tcW w:w="2780" w:type="dxa"/>
            <w:vAlign w:val="bottom"/>
            <w:gridSpan w:val="4"/>
          </w:tcPr>
          <w:p>
            <w:pPr>
              <w:ind w:left="480"/>
              <w:spacing w:after="0"/>
              <w:rPr>
                <w:sz w:val="20"/>
                <w:szCs w:val="20"/>
                <w:color w:val="auto"/>
              </w:rPr>
            </w:pPr>
            <w:r>
              <w:rPr>
                <w:rFonts w:ascii="Times New Roman" w:cs="Times New Roman" w:eastAsia="Times New Roman" w:hAnsi="Times New Roman"/>
                <w:sz w:val="19"/>
                <w:szCs w:val="19"/>
                <w:color w:val="auto"/>
              </w:rPr>
              <w:t>assembly and test processes.</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29"/>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Long Lead Time</w:t>
            </w:r>
          </w:p>
        </w:tc>
        <w:tc>
          <w:tcPr>
            <w:tcW w:w="3600" w:type="dxa"/>
            <w:vAlign w:val="bottom"/>
            <w:gridSpan w:val="6"/>
          </w:tcPr>
          <w:p>
            <w:pPr>
              <w:ind w:left="480"/>
              <w:spacing w:after="0"/>
              <w:rPr>
                <w:sz w:val="20"/>
                <w:szCs w:val="20"/>
                <w:color w:val="auto"/>
              </w:rPr>
            </w:pPr>
            <w:r>
              <w:rPr>
                <w:rFonts w:ascii="Times New Roman" w:cs="Times New Roman" w:eastAsia="Times New Roman" w:hAnsi="Times New Roman"/>
                <w:sz w:val="19"/>
                <w:szCs w:val="19"/>
                <w:color w:val="auto"/>
              </w:rPr>
              <w:t>Shall mean Materials with Lead Times</w:t>
            </w:r>
          </w:p>
        </w:tc>
      </w:tr>
      <w:tr>
        <w:trPr>
          <w:trHeight w:val="193"/>
        </w:trPr>
        <w:tc>
          <w:tcPr>
            <w:tcW w:w="22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Materials</w:t>
            </w:r>
          </w:p>
        </w:tc>
        <w:tc>
          <w:tcPr>
            <w:tcW w:w="3600" w:type="dxa"/>
            <w:vAlign w:val="bottom"/>
            <w:gridSpan w:val="6"/>
          </w:tcPr>
          <w:p>
            <w:pPr>
              <w:ind w:left="480"/>
              <w:spacing w:after="0" w:line="193" w:lineRule="exact"/>
              <w:rPr>
                <w:sz w:val="20"/>
                <w:szCs w:val="20"/>
                <w:color w:val="auto"/>
              </w:rPr>
            </w:pPr>
            <w:r>
              <w:rPr>
                <w:rFonts w:ascii="Times New Roman" w:cs="Times New Roman" w:eastAsia="Times New Roman" w:hAnsi="Times New Roman"/>
                <w:sz w:val="19"/>
                <w:szCs w:val="19"/>
                <w:color w:val="auto"/>
              </w:rPr>
              <w:t>exceeding the period covered by the</w:t>
            </w:r>
          </w:p>
        </w:tc>
      </w:tr>
      <w:tr>
        <w:trPr>
          <w:trHeight w:val="187"/>
        </w:trPr>
        <w:tc>
          <w:tcPr>
            <w:tcW w:w="2220" w:type="dxa"/>
            <w:vAlign w:val="bottom"/>
          </w:tcPr>
          <w:p>
            <w:pPr>
              <w:spacing w:after="0"/>
              <w:rPr>
                <w:sz w:val="16"/>
                <w:szCs w:val="16"/>
                <w:color w:val="auto"/>
              </w:rPr>
            </w:pPr>
          </w:p>
        </w:tc>
        <w:tc>
          <w:tcPr>
            <w:tcW w:w="3200" w:type="dxa"/>
            <w:vAlign w:val="bottom"/>
            <w:gridSpan w:val="5"/>
          </w:tcPr>
          <w:p>
            <w:pPr>
              <w:ind w:left="480"/>
              <w:spacing w:after="0" w:line="187" w:lineRule="exact"/>
              <w:rPr>
                <w:sz w:val="20"/>
                <w:szCs w:val="20"/>
                <w:color w:val="auto"/>
              </w:rPr>
            </w:pPr>
            <w:r>
              <w:rPr>
                <w:rFonts w:ascii="Times New Roman" w:cs="Times New Roman" w:eastAsia="Times New Roman" w:hAnsi="Times New Roman"/>
                <w:sz w:val="19"/>
                <w:szCs w:val="19"/>
                <w:color w:val="auto"/>
              </w:rPr>
              <w:t>accepted purchase orders for the</w:t>
            </w:r>
          </w:p>
        </w:tc>
        <w:tc>
          <w:tcPr>
            <w:tcW w:w="400" w:type="dxa"/>
            <w:vAlign w:val="bottom"/>
          </w:tcPr>
          <w:p>
            <w:pPr>
              <w:spacing w:after="0"/>
              <w:rPr>
                <w:sz w:val="16"/>
                <w:szCs w:val="16"/>
                <w:color w:val="auto"/>
              </w:rPr>
            </w:pPr>
          </w:p>
        </w:tc>
      </w:tr>
      <w:tr>
        <w:trPr>
          <w:trHeight w:val="251"/>
        </w:trPr>
        <w:tc>
          <w:tcPr>
            <w:tcW w:w="2220" w:type="dxa"/>
            <w:vAlign w:val="bottom"/>
          </w:tcPr>
          <w:p>
            <w:pPr>
              <w:spacing w:after="0"/>
              <w:rPr>
                <w:sz w:val="21"/>
                <w:szCs w:val="21"/>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Products.</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39"/>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Laws</w:t>
            </w:r>
          </w:p>
        </w:tc>
        <w:tc>
          <w:tcPr>
            <w:tcW w:w="3600" w:type="dxa"/>
            <w:vAlign w:val="bottom"/>
            <w:gridSpan w:val="6"/>
          </w:tcPr>
          <w:p>
            <w:pPr>
              <w:ind w:left="480"/>
              <w:spacing w:after="0"/>
              <w:rPr>
                <w:sz w:val="20"/>
                <w:szCs w:val="20"/>
                <w:color w:val="auto"/>
              </w:rPr>
            </w:pPr>
            <w:r>
              <w:rPr>
                <w:rFonts w:ascii="Times New Roman" w:cs="Times New Roman" w:eastAsia="Times New Roman" w:hAnsi="Times New Roman"/>
                <w:sz w:val="19"/>
                <w:szCs w:val="19"/>
                <w:color w:val="auto"/>
              </w:rPr>
              <w:t>Means any U.S. or non-U.S. federal,</w:t>
            </w:r>
          </w:p>
        </w:tc>
      </w:tr>
      <w:tr>
        <w:trPr>
          <w:trHeight w:val="193"/>
        </w:trPr>
        <w:tc>
          <w:tcPr>
            <w:tcW w:w="2220" w:type="dxa"/>
            <w:vAlign w:val="bottom"/>
          </w:tcPr>
          <w:p>
            <w:pPr>
              <w:spacing w:after="0"/>
              <w:rPr>
                <w:sz w:val="16"/>
                <w:szCs w:val="16"/>
                <w:color w:val="auto"/>
              </w:rPr>
            </w:pPr>
          </w:p>
        </w:tc>
        <w:tc>
          <w:tcPr>
            <w:tcW w:w="3600" w:type="dxa"/>
            <w:vAlign w:val="bottom"/>
            <w:gridSpan w:val="6"/>
          </w:tcPr>
          <w:p>
            <w:pPr>
              <w:ind w:left="480"/>
              <w:spacing w:after="0" w:line="193" w:lineRule="exact"/>
              <w:rPr>
                <w:sz w:val="20"/>
                <w:szCs w:val="20"/>
                <w:color w:val="auto"/>
              </w:rPr>
            </w:pPr>
            <w:r>
              <w:rPr>
                <w:rFonts w:ascii="Times New Roman" w:cs="Times New Roman" w:eastAsia="Times New Roman" w:hAnsi="Times New Roman"/>
                <w:sz w:val="19"/>
                <w:szCs w:val="19"/>
                <w:color w:val="auto"/>
              </w:rPr>
              <w:t>national, supranational, state, provincial,</w:t>
            </w:r>
          </w:p>
        </w:tc>
      </w:tr>
      <w:tr>
        <w:trPr>
          <w:trHeight w:val="187"/>
        </w:trPr>
        <w:tc>
          <w:tcPr>
            <w:tcW w:w="2220" w:type="dxa"/>
            <w:vAlign w:val="bottom"/>
          </w:tcPr>
          <w:p>
            <w:pPr>
              <w:spacing w:after="0"/>
              <w:rPr>
                <w:sz w:val="16"/>
                <w:szCs w:val="16"/>
                <w:color w:val="auto"/>
              </w:rPr>
            </w:pPr>
          </w:p>
        </w:tc>
        <w:tc>
          <w:tcPr>
            <w:tcW w:w="3600" w:type="dxa"/>
            <w:vAlign w:val="bottom"/>
            <w:gridSpan w:val="6"/>
          </w:tcPr>
          <w:p>
            <w:pPr>
              <w:ind w:left="480"/>
              <w:spacing w:after="0" w:line="187" w:lineRule="exact"/>
              <w:rPr>
                <w:sz w:val="20"/>
                <w:szCs w:val="20"/>
                <w:color w:val="auto"/>
              </w:rPr>
            </w:pPr>
            <w:r>
              <w:rPr>
                <w:rFonts w:ascii="Times New Roman" w:cs="Times New Roman" w:eastAsia="Times New Roman" w:hAnsi="Times New Roman"/>
                <w:sz w:val="19"/>
                <w:szCs w:val="19"/>
                <w:color w:val="auto"/>
              </w:rPr>
              <w:t>local or similar statute, law (including</w:t>
            </w:r>
          </w:p>
        </w:tc>
      </w:tr>
      <w:tr>
        <w:trPr>
          <w:trHeight w:val="197"/>
        </w:trPr>
        <w:tc>
          <w:tcPr>
            <w:tcW w:w="2220" w:type="dxa"/>
            <w:vAlign w:val="bottom"/>
          </w:tcPr>
          <w:p>
            <w:pPr>
              <w:spacing w:after="0"/>
              <w:rPr>
                <w:sz w:val="17"/>
                <w:szCs w:val="17"/>
                <w:color w:val="auto"/>
              </w:rPr>
            </w:pPr>
          </w:p>
        </w:tc>
        <w:tc>
          <w:tcPr>
            <w:tcW w:w="1540" w:type="dxa"/>
            <w:vAlign w:val="bottom"/>
            <w:gridSpan w:val="2"/>
          </w:tcPr>
          <w:p>
            <w:pPr>
              <w:ind w:left="480"/>
              <w:spacing w:after="0" w:line="197" w:lineRule="exact"/>
              <w:rPr>
                <w:sz w:val="20"/>
                <w:szCs w:val="20"/>
                <w:color w:val="auto"/>
              </w:rPr>
            </w:pPr>
            <w:r>
              <w:rPr>
                <w:rFonts w:ascii="Times New Roman" w:cs="Times New Roman" w:eastAsia="Times New Roman" w:hAnsi="Times New Roman"/>
                <w:sz w:val="19"/>
                <w:szCs w:val="19"/>
                <w:color w:val="auto"/>
              </w:rPr>
              <w:t>common</w:t>
            </w:r>
          </w:p>
        </w:tc>
        <w:tc>
          <w:tcPr>
            <w:tcW w:w="820" w:type="dxa"/>
            <w:vAlign w:val="bottom"/>
          </w:tcPr>
          <w:p>
            <w:pPr>
              <w:ind w:left="60"/>
              <w:spacing w:after="0" w:line="197" w:lineRule="exact"/>
              <w:rPr>
                <w:sz w:val="20"/>
                <w:szCs w:val="20"/>
                <w:color w:val="auto"/>
              </w:rPr>
            </w:pPr>
            <w:r>
              <w:rPr>
                <w:rFonts w:ascii="Times New Roman" w:cs="Times New Roman" w:eastAsia="Times New Roman" w:hAnsi="Times New Roman"/>
                <w:sz w:val="19"/>
                <w:szCs w:val="19"/>
                <w:color w:val="auto"/>
              </w:rPr>
              <w:t>law),</w:t>
            </w:r>
          </w:p>
        </w:tc>
        <w:tc>
          <w:tcPr>
            <w:tcW w:w="124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19"/>
                <w:szCs w:val="19"/>
                <w:color w:val="auto"/>
              </w:rPr>
              <w:t>Environmental</w:t>
            </w:r>
          </w:p>
        </w:tc>
      </w:tr>
      <w:tr>
        <w:trPr>
          <w:trHeight w:val="193"/>
        </w:trPr>
        <w:tc>
          <w:tcPr>
            <w:tcW w:w="2220" w:type="dxa"/>
            <w:vAlign w:val="bottom"/>
          </w:tcPr>
          <w:p>
            <w:pPr>
              <w:spacing w:after="0"/>
              <w:rPr>
                <w:sz w:val="16"/>
                <w:szCs w:val="16"/>
                <w:color w:val="auto"/>
              </w:rPr>
            </w:pPr>
          </w:p>
        </w:tc>
        <w:tc>
          <w:tcPr>
            <w:tcW w:w="1540" w:type="dxa"/>
            <w:vAlign w:val="bottom"/>
            <w:gridSpan w:val="2"/>
          </w:tcPr>
          <w:p>
            <w:pPr>
              <w:ind w:left="480"/>
              <w:spacing w:after="0" w:line="193" w:lineRule="exact"/>
              <w:rPr>
                <w:sz w:val="20"/>
                <w:szCs w:val="20"/>
                <w:color w:val="auto"/>
              </w:rPr>
            </w:pPr>
            <w:r>
              <w:rPr>
                <w:rFonts w:ascii="Times New Roman" w:cs="Times New Roman" w:eastAsia="Times New Roman" w:hAnsi="Times New Roman"/>
                <w:sz w:val="19"/>
                <w:szCs w:val="19"/>
                <w:color w:val="auto"/>
              </w:rPr>
              <w:t>Regulations,</w:t>
            </w:r>
          </w:p>
        </w:tc>
        <w:tc>
          <w:tcPr>
            <w:tcW w:w="1240" w:type="dxa"/>
            <w:vAlign w:val="bottom"/>
            <w:gridSpan w:val="2"/>
          </w:tcPr>
          <w:p>
            <w:pPr>
              <w:ind w:left="320"/>
              <w:spacing w:after="0" w:line="193" w:lineRule="exact"/>
              <w:rPr>
                <w:sz w:val="20"/>
                <w:szCs w:val="20"/>
                <w:color w:val="auto"/>
              </w:rPr>
            </w:pPr>
            <w:r>
              <w:rPr>
                <w:rFonts w:ascii="Times New Roman" w:cs="Times New Roman" w:eastAsia="Times New Roman" w:hAnsi="Times New Roman"/>
                <w:sz w:val="19"/>
                <w:szCs w:val="19"/>
                <w:color w:val="auto"/>
              </w:rPr>
              <w:t>regulation,</w:t>
            </w:r>
          </w:p>
        </w:tc>
        <w:tc>
          <w:tcPr>
            <w:tcW w:w="82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9"/>
                <w:szCs w:val="19"/>
                <w:color w:val="auto"/>
              </w:rPr>
              <w:t>treaty,</w:t>
            </w:r>
          </w:p>
        </w:tc>
      </w:tr>
      <w:tr>
        <w:trPr>
          <w:trHeight w:val="187"/>
        </w:trPr>
        <w:tc>
          <w:tcPr>
            <w:tcW w:w="2220" w:type="dxa"/>
            <w:vAlign w:val="bottom"/>
          </w:tcPr>
          <w:p>
            <w:pPr>
              <w:spacing w:after="0"/>
              <w:rPr>
                <w:sz w:val="16"/>
                <w:szCs w:val="16"/>
                <w:color w:val="auto"/>
              </w:rPr>
            </w:pPr>
          </w:p>
        </w:tc>
        <w:tc>
          <w:tcPr>
            <w:tcW w:w="1540" w:type="dxa"/>
            <w:vAlign w:val="bottom"/>
            <w:gridSpan w:val="2"/>
          </w:tcPr>
          <w:p>
            <w:pPr>
              <w:ind w:left="480"/>
              <w:spacing w:after="0" w:line="187" w:lineRule="exact"/>
              <w:rPr>
                <w:sz w:val="20"/>
                <w:szCs w:val="20"/>
                <w:color w:val="auto"/>
              </w:rPr>
            </w:pPr>
            <w:r>
              <w:rPr>
                <w:rFonts w:ascii="Times New Roman" w:cs="Times New Roman" w:eastAsia="Times New Roman" w:hAnsi="Times New Roman"/>
                <w:sz w:val="19"/>
                <w:szCs w:val="19"/>
                <w:color w:val="auto"/>
              </w:rPr>
              <w:t>constitutional</w:t>
            </w:r>
          </w:p>
        </w:tc>
        <w:tc>
          <w:tcPr>
            <w:tcW w:w="1240" w:type="dxa"/>
            <w:vAlign w:val="bottom"/>
            <w:gridSpan w:val="2"/>
          </w:tcPr>
          <w:p>
            <w:pPr>
              <w:ind w:left="220"/>
              <w:spacing w:after="0" w:line="187" w:lineRule="exact"/>
              <w:rPr>
                <w:sz w:val="20"/>
                <w:szCs w:val="20"/>
                <w:color w:val="auto"/>
              </w:rPr>
            </w:pPr>
            <w:r>
              <w:rPr>
                <w:rFonts w:ascii="Times New Roman" w:cs="Times New Roman" w:eastAsia="Times New Roman" w:hAnsi="Times New Roman"/>
                <w:sz w:val="19"/>
                <w:szCs w:val="19"/>
                <w:color w:val="auto"/>
              </w:rPr>
              <w:t>provision,</w:t>
            </w:r>
          </w:p>
        </w:tc>
        <w:tc>
          <w:tcPr>
            <w:tcW w:w="82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9"/>
                <w:szCs w:val="19"/>
                <w:color w:val="auto"/>
                <w:w w:val="97"/>
              </w:rPr>
              <w:t>ordinance,</w:t>
            </w:r>
          </w:p>
        </w:tc>
      </w:tr>
      <w:tr>
        <w:trPr>
          <w:trHeight w:val="197"/>
        </w:trPr>
        <w:tc>
          <w:tcPr>
            <w:tcW w:w="2220" w:type="dxa"/>
            <w:vAlign w:val="bottom"/>
          </w:tcPr>
          <w:p>
            <w:pPr>
              <w:spacing w:after="0"/>
              <w:rPr>
                <w:sz w:val="17"/>
                <w:szCs w:val="17"/>
                <w:color w:val="auto"/>
              </w:rPr>
            </w:pPr>
          </w:p>
        </w:tc>
        <w:tc>
          <w:tcPr>
            <w:tcW w:w="3600" w:type="dxa"/>
            <w:vAlign w:val="bottom"/>
            <w:gridSpan w:val="6"/>
          </w:tcPr>
          <w:p>
            <w:pPr>
              <w:ind w:left="480"/>
              <w:spacing w:after="0" w:line="197" w:lineRule="exact"/>
              <w:rPr>
                <w:sz w:val="20"/>
                <w:szCs w:val="20"/>
                <w:color w:val="auto"/>
              </w:rPr>
            </w:pPr>
            <w:r>
              <w:rPr>
                <w:rFonts w:ascii="Times New Roman" w:cs="Times New Roman" w:eastAsia="Times New Roman" w:hAnsi="Times New Roman"/>
                <w:sz w:val="19"/>
                <w:szCs w:val="19"/>
                <w:color w:val="auto"/>
              </w:rPr>
              <w:t>code, directive, including the (RoHS</w:t>
            </w:r>
          </w:p>
        </w:tc>
      </w:tr>
      <w:tr>
        <w:trPr>
          <w:trHeight w:val="193"/>
        </w:trPr>
        <w:tc>
          <w:tcPr>
            <w:tcW w:w="2220" w:type="dxa"/>
            <w:vAlign w:val="bottom"/>
          </w:tcPr>
          <w:p>
            <w:pPr>
              <w:spacing w:after="0"/>
              <w:rPr>
                <w:sz w:val="16"/>
                <w:szCs w:val="16"/>
                <w:color w:val="auto"/>
              </w:rPr>
            </w:pPr>
          </w:p>
        </w:tc>
        <w:tc>
          <w:tcPr>
            <w:tcW w:w="3600" w:type="dxa"/>
            <w:vAlign w:val="bottom"/>
            <w:gridSpan w:val="6"/>
          </w:tcPr>
          <w:p>
            <w:pPr>
              <w:ind w:left="480"/>
              <w:spacing w:after="0" w:line="193" w:lineRule="exact"/>
              <w:rPr>
                <w:sz w:val="20"/>
                <w:szCs w:val="20"/>
                <w:color w:val="auto"/>
              </w:rPr>
            </w:pPr>
            <w:r>
              <w:rPr>
                <w:rFonts w:ascii="Times New Roman" w:cs="Times New Roman" w:eastAsia="Times New Roman" w:hAnsi="Times New Roman"/>
                <w:sz w:val="19"/>
                <w:szCs w:val="19"/>
                <w:color w:val="auto"/>
              </w:rPr>
              <w:t>Directive and the WEEE Requirements</w:t>
            </w:r>
          </w:p>
        </w:tc>
      </w:tr>
      <w:tr>
        <w:trPr>
          <w:trHeight w:val="187"/>
        </w:trPr>
        <w:tc>
          <w:tcPr>
            <w:tcW w:w="2220" w:type="dxa"/>
            <w:vAlign w:val="bottom"/>
          </w:tcPr>
          <w:p>
            <w:pPr>
              <w:spacing w:after="0"/>
              <w:rPr>
                <w:sz w:val="16"/>
                <w:szCs w:val="16"/>
                <w:color w:val="auto"/>
              </w:rPr>
            </w:pPr>
          </w:p>
        </w:tc>
        <w:tc>
          <w:tcPr>
            <w:tcW w:w="3600" w:type="dxa"/>
            <w:vAlign w:val="bottom"/>
            <w:gridSpan w:val="6"/>
          </w:tcPr>
          <w:p>
            <w:pPr>
              <w:ind w:left="480"/>
              <w:spacing w:after="0" w:line="187" w:lineRule="exact"/>
              <w:rPr>
                <w:sz w:val="20"/>
                <w:szCs w:val="20"/>
                <w:color w:val="auto"/>
              </w:rPr>
            </w:pPr>
            <w:r>
              <w:rPr>
                <w:rFonts w:ascii="Times New Roman" w:cs="Times New Roman" w:eastAsia="Times New Roman" w:hAnsi="Times New Roman"/>
                <w:sz w:val="19"/>
                <w:szCs w:val="19"/>
                <w:color w:val="auto"/>
              </w:rPr>
              <w:t>and the RoHS Requirements) notice,</w:t>
            </w:r>
          </w:p>
        </w:tc>
      </w:tr>
      <w:tr>
        <w:trPr>
          <w:trHeight w:val="197"/>
        </w:trPr>
        <w:tc>
          <w:tcPr>
            <w:tcW w:w="2220" w:type="dxa"/>
            <w:vAlign w:val="bottom"/>
          </w:tcPr>
          <w:p>
            <w:pPr>
              <w:spacing w:after="0"/>
              <w:rPr>
                <w:sz w:val="17"/>
                <w:szCs w:val="17"/>
                <w:color w:val="auto"/>
              </w:rPr>
            </w:pPr>
          </w:p>
        </w:tc>
        <w:tc>
          <w:tcPr>
            <w:tcW w:w="3600" w:type="dxa"/>
            <w:vAlign w:val="bottom"/>
            <w:gridSpan w:val="6"/>
          </w:tcPr>
          <w:p>
            <w:pPr>
              <w:ind w:left="480"/>
              <w:spacing w:after="0" w:line="197" w:lineRule="exact"/>
              <w:rPr>
                <w:sz w:val="20"/>
                <w:szCs w:val="20"/>
                <w:color w:val="auto"/>
              </w:rPr>
            </w:pPr>
            <w:r>
              <w:rPr>
                <w:rFonts w:ascii="Times New Roman" w:cs="Times New Roman" w:eastAsia="Times New Roman" w:hAnsi="Times New Roman"/>
                <w:sz w:val="19"/>
                <w:szCs w:val="19"/>
                <w:color w:val="auto"/>
              </w:rPr>
              <w:t>binding agreement, policy or rule of</w:t>
            </w:r>
          </w:p>
        </w:tc>
      </w:tr>
      <w:tr>
        <w:trPr>
          <w:trHeight w:val="193"/>
        </w:trPr>
        <w:tc>
          <w:tcPr>
            <w:tcW w:w="2220" w:type="dxa"/>
            <w:vAlign w:val="bottom"/>
          </w:tcPr>
          <w:p>
            <w:pPr>
              <w:spacing w:after="0"/>
              <w:rPr>
                <w:sz w:val="16"/>
                <w:szCs w:val="16"/>
                <w:color w:val="auto"/>
              </w:rPr>
            </w:pPr>
          </w:p>
        </w:tc>
        <w:tc>
          <w:tcPr>
            <w:tcW w:w="1120" w:type="dxa"/>
            <w:vAlign w:val="bottom"/>
          </w:tcPr>
          <w:p>
            <w:pPr>
              <w:ind w:left="480"/>
              <w:spacing w:after="0" w:line="193" w:lineRule="exact"/>
              <w:rPr>
                <w:sz w:val="20"/>
                <w:szCs w:val="20"/>
                <w:color w:val="auto"/>
              </w:rPr>
            </w:pPr>
            <w:r>
              <w:rPr>
                <w:rFonts w:ascii="Times New Roman" w:cs="Times New Roman" w:eastAsia="Times New Roman" w:hAnsi="Times New Roman"/>
                <w:sz w:val="19"/>
                <w:szCs w:val="19"/>
                <w:color w:val="auto"/>
              </w:rPr>
              <w:t>law,</w:t>
            </w:r>
          </w:p>
        </w:tc>
        <w:tc>
          <w:tcPr>
            <w:tcW w:w="420" w:type="dxa"/>
            <w:vAlign w:val="bottom"/>
          </w:tcPr>
          <w:p>
            <w:pPr>
              <w:ind w:left="20"/>
              <w:spacing w:after="0" w:line="193" w:lineRule="exact"/>
              <w:rPr>
                <w:sz w:val="20"/>
                <w:szCs w:val="20"/>
                <w:color w:val="auto"/>
              </w:rPr>
            </w:pPr>
            <w:r>
              <w:rPr>
                <w:rFonts w:ascii="Times New Roman" w:cs="Times New Roman" w:eastAsia="Times New Roman" w:hAnsi="Times New Roman"/>
                <w:sz w:val="19"/>
                <w:szCs w:val="19"/>
                <w:color w:val="auto"/>
              </w:rPr>
              <w:t>legal</w:t>
            </w:r>
          </w:p>
        </w:tc>
        <w:tc>
          <w:tcPr>
            <w:tcW w:w="1660" w:type="dxa"/>
            <w:vAlign w:val="bottom"/>
            <w:gridSpan w:val="3"/>
          </w:tcPr>
          <w:p>
            <w:pPr>
              <w:ind w:left="320"/>
              <w:spacing w:after="0" w:line="193" w:lineRule="exact"/>
              <w:rPr>
                <w:sz w:val="20"/>
                <w:szCs w:val="20"/>
                <w:color w:val="auto"/>
              </w:rPr>
            </w:pPr>
            <w:r>
              <w:rPr>
                <w:rFonts w:ascii="Times New Roman" w:cs="Times New Roman" w:eastAsia="Times New Roman" w:hAnsi="Times New Roman"/>
                <w:sz w:val="19"/>
                <w:szCs w:val="19"/>
                <w:color w:val="auto"/>
              </w:rPr>
              <w:t>requirement,</w:t>
            </w:r>
          </w:p>
        </w:tc>
        <w:tc>
          <w:tcPr>
            <w:tcW w:w="40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w w:val="97"/>
              </w:rPr>
              <w:t>other</w:t>
            </w:r>
          </w:p>
        </w:tc>
      </w:tr>
      <w:tr>
        <w:trPr>
          <w:trHeight w:val="187"/>
        </w:trPr>
        <w:tc>
          <w:tcPr>
            <w:tcW w:w="2220" w:type="dxa"/>
            <w:vAlign w:val="bottom"/>
          </w:tcPr>
          <w:p>
            <w:pPr>
              <w:spacing w:after="0"/>
              <w:rPr>
                <w:sz w:val="16"/>
                <w:szCs w:val="16"/>
                <w:color w:val="auto"/>
              </w:rPr>
            </w:pPr>
          </w:p>
        </w:tc>
        <w:tc>
          <w:tcPr>
            <w:tcW w:w="1540" w:type="dxa"/>
            <w:vAlign w:val="bottom"/>
            <w:gridSpan w:val="2"/>
          </w:tcPr>
          <w:p>
            <w:pPr>
              <w:ind w:left="480"/>
              <w:spacing w:after="0" w:line="187" w:lineRule="exact"/>
              <w:rPr>
                <w:sz w:val="20"/>
                <w:szCs w:val="20"/>
                <w:color w:val="auto"/>
              </w:rPr>
            </w:pPr>
            <w:r>
              <w:rPr>
                <w:rFonts w:ascii="Times New Roman" w:cs="Times New Roman" w:eastAsia="Times New Roman" w:hAnsi="Times New Roman"/>
                <w:sz w:val="19"/>
                <w:szCs w:val="19"/>
                <w:color w:val="auto"/>
              </w:rPr>
              <w:t>government</w:t>
            </w:r>
          </w:p>
        </w:tc>
        <w:tc>
          <w:tcPr>
            <w:tcW w:w="820" w:type="dxa"/>
            <w:vAlign w:val="bottom"/>
          </w:tcPr>
          <w:p>
            <w:pPr>
              <w:ind w:left="20"/>
              <w:spacing w:after="0" w:line="187" w:lineRule="exact"/>
              <w:rPr>
                <w:sz w:val="20"/>
                <w:szCs w:val="20"/>
                <w:color w:val="auto"/>
              </w:rPr>
            </w:pPr>
            <w:r>
              <w:rPr>
                <w:rFonts w:ascii="Times New Roman" w:cs="Times New Roman" w:eastAsia="Times New Roman" w:hAnsi="Times New Roman"/>
                <w:sz w:val="19"/>
                <w:szCs w:val="19"/>
                <w:color w:val="auto"/>
              </w:rPr>
              <w:t>restriction</w:t>
            </w:r>
          </w:p>
        </w:tc>
        <w:tc>
          <w:tcPr>
            <w:tcW w:w="420" w:type="dxa"/>
            <w:vAlign w:val="bottom"/>
          </w:tcPr>
          <w:p>
            <w:pPr>
              <w:ind w:left="140"/>
              <w:spacing w:after="0" w:line="187" w:lineRule="exact"/>
              <w:rPr>
                <w:sz w:val="20"/>
                <w:szCs w:val="20"/>
                <w:color w:val="auto"/>
              </w:rPr>
            </w:pPr>
            <w:r>
              <w:rPr>
                <w:rFonts w:ascii="Times New Roman" w:cs="Times New Roman" w:eastAsia="Times New Roman" w:hAnsi="Times New Roman"/>
                <w:sz w:val="19"/>
                <w:szCs w:val="19"/>
                <w:color w:val="auto"/>
              </w:rPr>
              <w:t>or</w:t>
            </w:r>
          </w:p>
        </w:tc>
        <w:tc>
          <w:tcPr>
            <w:tcW w:w="82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9"/>
                <w:szCs w:val="19"/>
                <w:color w:val="auto"/>
              </w:rPr>
              <w:t>regulation</w:t>
            </w:r>
          </w:p>
        </w:tc>
      </w:tr>
      <w:tr>
        <w:trPr>
          <w:trHeight w:val="197"/>
        </w:trPr>
        <w:tc>
          <w:tcPr>
            <w:tcW w:w="2220" w:type="dxa"/>
            <w:vAlign w:val="bottom"/>
          </w:tcPr>
          <w:p>
            <w:pPr>
              <w:spacing w:after="0"/>
              <w:rPr>
                <w:sz w:val="17"/>
                <w:szCs w:val="17"/>
                <w:color w:val="auto"/>
              </w:rPr>
            </w:pPr>
          </w:p>
        </w:tc>
        <w:tc>
          <w:tcPr>
            <w:tcW w:w="3600" w:type="dxa"/>
            <w:vAlign w:val="bottom"/>
            <w:gridSpan w:val="6"/>
          </w:tcPr>
          <w:p>
            <w:pPr>
              <w:ind w:left="480"/>
              <w:spacing w:after="0" w:line="197" w:lineRule="exact"/>
              <w:rPr>
                <w:sz w:val="20"/>
                <w:szCs w:val="20"/>
                <w:color w:val="auto"/>
              </w:rPr>
            </w:pPr>
            <w:r>
              <w:rPr>
                <w:rFonts w:ascii="Times New Roman" w:cs="Times New Roman" w:eastAsia="Times New Roman" w:hAnsi="Times New Roman"/>
                <w:sz w:val="19"/>
                <w:szCs w:val="19"/>
                <w:color w:val="auto"/>
              </w:rPr>
              <w:t>promulgated  or  entered  into  by  any</w:t>
            </w:r>
          </w:p>
        </w:tc>
      </w:tr>
      <w:tr>
        <w:trPr>
          <w:trHeight w:val="193"/>
        </w:trPr>
        <w:tc>
          <w:tcPr>
            <w:tcW w:w="2220" w:type="dxa"/>
            <w:vAlign w:val="bottom"/>
          </w:tcPr>
          <w:p>
            <w:pPr>
              <w:spacing w:after="0"/>
              <w:rPr>
                <w:sz w:val="16"/>
                <w:szCs w:val="16"/>
                <w:color w:val="auto"/>
              </w:rPr>
            </w:pPr>
          </w:p>
        </w:tc>
        <w:tc>
          <w:tcPr>
            <w:tcW w:w="2360" w:type="dxa"/>
            <w:vAlign w:val="bottom"/>
            <w:gridSpan w:val="3"/>
          </w:tcPr>
          <w:p>
            <w:pPr>
              <w:ind w:left="480"/>
              <w:spacing w:after="0" w:line="193" w:lineRule="exact"/>
              <w:rPr>
                <w:sz w:val="20"/>
                <w:szCs w:val="20"/>
                <w:color w:val="auto"/>
              </w:rPr>
            </w:pPr>
            <w:r>
              <w:rPr>
                <w:rFonts w:ascii="Times New Roman" w:cs="Times New Roman" w:eastAsia="Times New Roman" w:hAnsi="Times New Roman"/>
                <w:sz w:val="19"/>
                <w:szCs w:val="19"/>
                <w:color w:val="auto"/>
              </w:rPr>
              <w:t>regulatory  authority</w:t>
            </w:r>
          </w:p>
        </w:tc>
        <w:tc>
          <w:tcPr>
            <w:tcW w:w="42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auto"/>
              </w:rPr>
              <w:t>of</w:t>
            </w:r>
          </w:p>
        </w:tc>
        <w:tc>
          <w:tcPr>
            <w:tcW w:w="82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9"/>
                <w:szCs w:val="19"/>
                <w:color w:val="auto"/>
                <w:w w:val="98"/>
              </w:rPr>
              <w:t>competent</w:t>
            </w:r>
          </w:p>
        </w:tc>
      </w:tr>
      <w:tr>
        <w:trPr>
          <w:trHeight w:val="187"/>
        </w:trPr>
        <w:tc>
          <w:tcPr>
            <w:tcW w:w="2220" w:type="dxa"/>
            <w:vAlign w:val="bottom"/>
          </w:tcPr>
          <w:p>
            <w:pPr>
              <w:spacing w:after="0"/>
              <w:rPr>
                <w:sz w:val="16"/>
                <w:szCs w:val="16"/>
                <w:color w:val="auto"/>
              </w:rPr>
            </w:pPr>
          </w:p>
        </w:tc>
        <w:tc>
          <w:tcPr>
            <w:tcW w:w="3600" w:type="dxa"/>
            <w:vAlign w:val="bottom"/>
            <w:gridSpan w:val="6"/>
          </w:tcPr>
          <w:p>
            <w:pPr>
              <w:ind w:left="480"/>
              <w:spacing w:after="0" w:line="187" w:lineRule="exact"/>
              <w:rPr>
                <w:sz w:val="20"/>
                <w:szCs w:val="20"/>
                <w:color w:val="auto"/>
              </w:rPr>
            </w:pPr>
            <w:r>
              <w:rPr>
                <w:rFonts w:ascii="Times New Roman" w:cs="Times New Roman" w:eastAsia="Times New Roman" w:hAnsi="Times New Roman"/>
                <w:sz w:val="19"/>
                <w:szCs w:val="19"/>
                <w:color w:val="auto"/>
              </w:rPr>
              <w:t>jurisdiction, tribunal, judicial or arbitral</w:t>
            </w:r>
          </w:p>
        </w:tc>
      </w:tr>
      <w:tr>
        <w:trPr>
          <w:trHeight w:val="197"/>
        </w:trPr>
        <w:tc>
          <w:tcPr>
            <w:tcW w:w="2220" w:type="dxa"/>
            <w:vAlign w:val="bottom"/>
          </w:tcPr>
          <w:p>
            <w:pPr>
              <w:spacing w:after="0"/>
              <w:rPr>
                <w:sz w:val="17"/>
                <w:szCs w:val="17"/>
                <w:color w:val="auto"/>
              </w:rPr>
            </w:pPr>
          </w:p>
        </w:tc>
        <w:tc>
          <w:tcPr>
            <w:tcW w:w="1120" w:type="dxa"/>
            <w:vAlign w:val="bottom"/>
          </w:tcPr>
          <w:p>
            <w:pPr>
              <w:ind w:left="480"/>
              <w:spacing w:after="0" w:line="197" w:lineRule="exact"/>
              <w:rPr>
                <w:sz w:val="20"/>
                <w:szCs w:val="20"/>
                <w:color w:val="auto"/>
              </w:rPr>
            </w:pPr>
            <w:r>
              <w:rPr>
                <w:rFonts w:ascii="Times New Roman" w:cs="Times New Roman" w:eastAsia="Times New Roman" w:hAnsi="Times New Roman"/>
                <w:sz w:val="19"/>
                <w:szCs w:val="19"/>
                <w:color w:val="auto"/>
              </w:rPr>
              <w:t>body,</w:t>
            </w:r>
          </w:p>
        </w:tc>
        <w:tc>
          <w:tcPr>
            <w:tcW w:w="12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19"/>
                <w:szCs w:val="19"/>
                <w:color w:val="auto"/>
              </w:rPr>
              <w:t>administrative</w:t>
            </w:r>
          </w:p>
        </w:tc>
        <w:tc>
          <w:tcPr>
            <w:tcW w:w="840" w:type="dxa"/>
            <w:vAlign w:val="bottom"/>
            <w:gridSpan w:val="2"/>
          </w:tcPr>
          <w:p>
            <w:pPr>
              <w:ind w:left="220"/>
              <w:spacing w:after="0" w:line="197" w:lineRule="exact"/>
              <w:rPr>
                <w:sz w:val="20"/>
                <w:szCs w:val="20"/>
                <w:color w:val="auto"/>
              </w:rPr>
            </w:pPr>
            <w:r>
              <w:rPr>
                <w:rFonts w:ascii="Times New Roman" w:cs="Times New Roman" w:eastAsia="Times New Roman" w:hAnsi="Times New Roman"/>
                <w:sz w:val="19"/>
                <w:szCs w:val="19"/>
                <w:color w:val="auto"/>
              </w:rPr>
              <w:t>agency</w:t>
            </w:r>
          </w:p>
        </w:tc>
        <w:tc>
          <w:tcPr>
            <w:tcW w:w="400" w:type="dxa"/>
            <w:vAlign w:val="bottom"/>
          </w:tcPr>
          <w:p>
            <w:pPr>
              <w:jc w:val="right"/>
              <w:spacing w:after="0" w:line="197" w:lineRule="exact"/>
              <w:rPr>
                <w:sz w:val="20"/>
                <w:szCs w:val="20"/>
                <w:color w:val="auto"/>
              </w:rPr>
            </w:pPr>
            <w:r>
              <w:rPr>
                <w:rFonts w:ascii="Times New Roman" w:cs="Times New Roman" w:eastAsia="Times New Roman" w:hAnsi="Times New Roman"/>
                <w:sz w:val="19"/>
                <w:szCs w:val="19"/>
                <w:color w:val="auto"/>
              </w:rPr>
              <w:t>or</w:t>
            </w:r>
          </w:p>
        </w:tc>
      </w:tr>
      <w:tr>
        <w:trPr>
          <w:trHeight w:val="193"/>
        </w:trPr>
        <w:tc>
          <w:tcPr>
            <w:tcW w:w="2220" w:type="dxa"/>
            <w:vAlign w:val="bottom"/>
          </w:tcPr>
          <w:p>
            <w:pPr>
              <w:spacing w:after="0"/>
              <w:rPr>
                <w:sz w:val="16"/>
                <w:szCs w:val="16"/>
                <w:color w:val="auto"/>
              </w:rPr>
            </w:pPr>
          </w:p>
        </w:tc>
        <w:tc>
          <w:tcPr>
            <w:tcW w:w="1540" w:type="dxa"/>
            <w:vAlign w:val="bottom"/>
            <w:gridSpan w:val="2"/>
          </w:tcPr>
          <w:p>
            <w:pPr>
              <w:ind w:left="480"/>
              <w:spacing w:after="0" w:line="193" w:lineRule="exact"/>
              <w:rPr>
                <w:sz w:val="20"/>
                <w:szCs w:val="20"/>
                <w:color w:val="auto"/>
              </w:rPr>
            </w:pPr>
            <w:r>
              <w:rPr>
                <w:rFonts w:ascii="Times New Roman" w:cs="Times New Roman" w:eastAsia="Times New Roman" w:hAnsi="Times New Roman"/>
                <w:sz w:val="19"/>
                <w:szCs w:val="19"/>
                <w:color w:val="auto"/>
              </w:rPr>
              <w:t>commission</w:t>
            </w:r>
          </w:p>
        </w:tc>
        <w:tc>
          <w:tcPr>
            <w:tcW w:w="2060" w:type="dxa"/>
            <w:vAlign w:val="bottom"/>
            <w:gridSpan w:val="4"/>
          </w:tcPr>
          <w:p>
            <w:pPr>
              <w:jc w:val="right"/>
              <w:spacing w:after="0" w:line="193" w:lineRule="exact"/>
              <w:rPr>
                <w:sz w:val="20"/>
                <w:szCs w:val="20"/>
                <w:color w:val="auto"/>
              </w:rPr>
            </w:pPr>
            <w:r>
              <w:rPr>
                <w:rFonts w:ascii="Times New Roman" w:cs="Times New Roman" w:eastAsia="Times New Roman" w:hAnsi="Times New Roman"/>
                <w:sz w:val="19"/>
                <w:szCs w:val="19"/>
                <w:color w:val="auto"/>
              </w:rPr>
              <w:t>or   other   government</w:t>
            </w:r>
          </w:p>
        </w:tc>
      </w:tr>
      <w:tr>
        <w:trPr>
          <w:trHeight w:val="251"/>
        </w:trPr>
        <w:tc>
          <w:tcPr>
            <w:tcW w:w="2220" w:type="dxa"/>
            <w:vAlign w:val="bottom"/>
          </w:tcPr>
          <w:p>
            <w:pPr>
              <w:spacing w:after="0"/>
              <w:rPr>
                <w:sz w:val="21"/>
                <w:szCs w:val="21"/>
                <w:color w:val="auto"/>
              </w:rPr>
            </w:pPr>
          </w:p>
        </w:tc>
        <w:tc>
          <w:tcPr>
            <w:tcW w:w="2780" w:type="dxa"/>
            <w:vAlign w:val="bottom"/>
            <w:gridSpan w:val="4"/>
          </w:tcPr>
          <w:p>
            <w:pPr>
              <w:ind w:left="480"/>
              <w:spacing w:after="0"/>
              <w:rPr>
                <w:sz w:val="20"/>
                <w:szCs w:val="20"/>
                <w:color w:val="auto"/>
              </w:rPr>
            </w:pPr>
            <w:r>
              <w:rPr>
                <w:rFonts w:ascii="Times New Roman" w:cs="Times New Roman" w:eastAsia="Times New Roman" w:hAnsi="Times New Roman"/>
                <w:sz w:val="19"/>
                <w:szCs w:val="19"/>
                <w:color w:val="auto"/>
              </w:rPr>
              <w:t>authority or instrumentality.</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29"/>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Materials</w:t>
            </w:r>
          </w:p>
        </w:tc>
        <w:tc>
          <w:tcPr>
            <w:tcW w:w="3200" w:type="dxa"/>
            <w:vAlign w:val="bottom"/>
            <w:gridSpan w:val="5"/>
          </w:tcPr>
          <w:p>
            <w:pPr>
              <w:ind w:left="480"/>
              <w:spacing w:after="0"/>
              <w:rPr>
                <w:sz w:val="20"/>
                <w:szCs w:val="20"/>
                <w:color w:val="auto"/>
              </w:rPr>
            </w:pPr>
            <w:r>
              <w:rPr>
                <w:rFonts w:ascii="Times New Roman" w:cs="Times New Roman" w:eastAsia="Times New Roman" w:hAnsi="Times New Roman"/>
                <w:sz w:val="19"/>
                <w:szCs w:val="19"/>
                <w:color w:val="auto"/>
              </w:rPr>
              <w:t>Shall mean components, parts and</w:t>
            </w:r>
          </w:p>
        </w:tc>
        <w:tc>
          <w:tcPr>
            <w:tcW w:w="400" w:type="dxa"/>
            <w:vAlign w:val="bottom"/>
          </w:tcPr>
          <w:p>
            <w:pPr>
              <w:spacing w:after="0"/>
              <w:rPr>
                <w:sz w:val="24"/>
                <w:szCs w:val="24"/>
                <w:color w:val="auto"/>
              </w:rPr>
            </w:pPr>
          </w:p>
        </w:tc>
      </w:tr>
      <w:tr>
        <w:trPr>
          <w:trHeight w:val="193"/>
        </w:trPr>
        <w:tc>
          <w:tcPr>
            <w:tcW w:w="2220" w:type="dxa"/>
            <w:vAlign w:val="bottom"/>
          </w:tcPr>
          <w:p>
            <w:pPr>
              <w:spacing w:after="0"/>
              <w:rPr>
                <w:sz w:val="16"/>
                <w:szCs w:val="16"/>
                <w:color w:val="auto"/>
              </w:rPr>
            </w:pPr>
          </w:p>
        </w:tc>
        <w:tc>
          <w:tcPr>
            <w:tcW w:w="3600" w:type="dxa"/>
            <w:vAlign w:val="bottom"/>
            <w:gridSpan w:val="6"/>
          </w:tcPr>
          <w:p>
            <w:pPr>
              <w:ind w:left="480"/>
              <w:spacing w:after="0" w:line="193" w:lineRule="exact"/>
              <w:rPr>
                <w:sz w:val="20"/>
                <w:szCs w:val="20"/>
                <w:color w:val="auto"/>
              </w:rPr>
            </w:pPr>
            <w:r>
              <w:rPr>
                <w:rFonts w:ascii="Times New Roman" w:cs="Times New Roman" w:eastAsia="Times New Roman" w:hAnsi="Times New Roman"/>
                <w:sz w:val="19"/>
                <w:szCs w:val="19"/>
                <w:color w:val="auto"/>
              </w:rPr>
              <w:t>subassemblies that comprise the Product</w:t>
            </w:r>
          </w:p>
        </w:tc>
      </w:tr>
      <w:tr>
        <w:trPr>
          <w:trHeight w:val="187"/>
        </w:trPr>
        <w:tc>
          <w:tcPr>
            <w:tcW w:w="2220" w:type="dxa"/>
            <w:vAlign w:val="bottom"/>
          </w:tcPr>
          <w:p>
            <w:pPr>
              <w:spacing w:after="0"/>
              <w:rPr>
                <w:sz w:val="16"/>
                <w:szCs w:val="16"/>
                <w:color w:val="auto"/>
              </w:rPr>
            </w:pPr>
          </w:p>
        </w:tc>
        <w:tc>
          <w:tcPr>
            <w:tcW w:w="3600" w:type="dxa"/>
            <w:vAlign w:val="bottom"/>
            <w:gridSpan w:val="6"/>
          </w:tcPr>
          <w:p>
            <w:pPr>
              <w:ind w:left="480"/>
              <w:spacing w:after="0" w:line="187" w:lineRule="exact"/>
              <w:rPr>
                <w:sz w:val="20"/>
                <w:szCs w:val="20"/>
                <w:color w:val="auto"/>
              </w:rPr>
            </w:pPr>
            <w:r>
              <w:rPr>
                <w:rFonts w:ascii="Times New Roman" w:cs="Times New Roman" w:eastAsia="Times New Roman" w:hAnsi="Times New Roman"/>
                <w:sz w:val="19"/>
                <w:szCs w:val="19"/>
                <w:color w:val="auto"/>
              </w:rPr>
              <w:t>and that appear on the BOM for the</w:t>
            </w:r>
          </w:p>
        </w:tc>
      </w:tr>
      <w:tr>
        <w:trPr>
          <w:trHeight w:val="251"/>
        </w:trPr>
        <w:tc>
          <w:tcPr>
            <w:tcW w:w="2220" w:type="dxa"/>
            <w:vAlign w:val="bottom"/>
          </w:tcPr>
          <w:p>
            <w:pPr>
              <w:spacing w:after="0"/>
              <w:rPr>
                <w:sz w:val="21"/>
                <w:szCs w:val="21"/>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9"/>
                <w:szCs w:val="19"/>
                <w:color w:val="auto"/>
                <w:w w:val="97"/>
              </w:rPr>
              <w:t>Product.</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39"/>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Materials Procurement</w:t>
            </w:r>
          </w:p>
        </w:tc>
        <w:tc>
          <w:tcPr>
            <w:tcW w:w="3200" w:type="dxa"/>
            <w:vAlign w:val="bottom"/>
            <w:gridSpan w:val="5"/>
          </w:tcPr>
          <w:p>
            <w:pPr>
              <w:ind w:left="480"/>
              <w:spacing w:after="0"/>
              <w:rPr>
                <w:sz w:val="20"/>
                <w:szCs w:val="20"/>
                <w:color w:val="auto"/>
              </w:rPr>
            </w:pPr>
            <w:r>
              <w:rPr>
                <w:rFonts w:ascii="Times New Roman" w:cs="Times New Roman" w:eastAsia="Times New Roman" w:hAnsi="Times New Roman"/>
                <w:sz w:val="19"/>
                <w:szCs w:val="19"/>
                <w:color w:val="auto"/>
              </w:rPr>
              <w:t>Shall mean with respect to any</w:t>
            </w:r>
          </w:p>
        </w:tc>
        <w:tc>
          <w:tcPr>
            <w:tcW w:w="400" w:type="dxa"/>
            <w:vAlign w:val="bottom"/>
          </w:tcPr>
          <w:p>
            <w:pPr>
              <w:spacing w:after="0"/>
              <w:rPr>
                <w:sz w:val="24"/>
                <w:szCs w:val="24"/>
                <w:color w:val="auto"/>
              </w:rPr>
            </w:pPr>
          </w:p>
        </w:tc>
      </w:tr>
      <w:tr>
        <w:trPr>
          <w:trHeight w:val="193"/>
        </w:trPr>
        <w:tc>
          <w:tcPr>
            <w:tcW w:w="22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Lead time</w:t>
            </w:r>
          </w:p>
        </w:tc>
        <w:tc>
          <w:tcPr>
            <w:tcW w:w="1540" w:type="dxa"/>
            <w:vAlign w:val="bottom"/>
            <w:gridSpan w:val="2"/>
          </w:tcPr>
          <w:p>
            <w:pPr>
              <w:ind w:left="480"/>
              <w:spacing w:after="0" w:line="193" w:lineRule="exact"/>
              <w:rPr>
                <w:sz w:val="20"/>
                <w:szCs w:val="20"/>
                <w:color w:val="auto"/>
              </w:rPr>
            </w:pPr>
            <w:r>
              <w:rPr>
                <w:rFonts w:ascii="Times New Roman" w:cs="Times New Roman" w:eastAsia="Times New Roman" w:hAnsi="Times New Roman"/>
                <w:sz w:val="19"/>
                <w:szCs w:val="19"/>
                <w:color w:val="auto"/>
              </w:rPr>
              <w:t>particular</w:t>
            </w: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3600" w:type="dxa"/>
            <w:vAlign w:val="bottom"/>
            <w:gridSpan w:val="6"/>
          </w:tcPr>
          <w:p>
            <w:pPr>
              <w:ind w:left="480"/>
              <w:spacing w:after="0" w:line="187" w:lineRule="exact"/>
              <w:rPr>
                <w:sz w:val="20"/>
                <w:szCs w:val="20"/>
                <w:color w:val="auto"/>
              </w:rPr>
            </w:pPr>
            <w:r>
              <w:rPr>
                <w:rFonts w:ascii="Times New Roman" w:cs="Times New Roman" w:eastAsia="Times New Roman" w:hAnsi="Times New Roman"/>
                <w:sz w:val="19"/>
                <w:szCs w:val="19"/>
                <w:color w:val="auto"/>
              </w:rPr>
              <w:t>item of Materials, Lead time to obtain</w:t>
            </w:r>
          </w:p>
        </w:tc>
      </w:tr>
      <w:tr>
        <w:trPr>
          <w:trHeight w:val="197"/>
        </w:trPr>
        <w:tc>
          <w:tcPr>
            <w:tcW w:w="2220" w:type="dxa"/>
            <w:vAlign w:val="bottom"/>
          </w:tcPr>
          <w:p>
            <w:pPr>
              <w:spacing w:after="0"/>
              <w:rPr>
                <w:sz w:val="17"/>
                <w:szCs w:val="17"/>
                <w:color w:val="auto"/>
              </w:rPr>
            </w:pPr>
          </w:p>
        </w:tc>
        <w:tc>
          <w:tcPr>
            <w:tcW w:w="3200" w:type="dxa"/>
            <w:vAlign w:val="bottom"/>
            <w:gridSpan w:val="5"/>
          </w:tcPr>
          <w:p>
            <w:pPr>
              <w:ind w:left="480"/>
              <w:spacing w:after="0" w:line="197" w:lineRule="exact"/>
              <w:rPr>
                <w:sz w:val="20"/>
                <w:szCs w:val="20"/>
                <w:color w:val="auto"/>
              </w:rPr>
            </w:pPr>
            <w:r>
              <w:rPr>
                <w:rFonts w:ascii="Times New Roman" w:cs="Times New Roman" w:eastAsia="Times New Roman" w:hAnsi="Times New Roman"/>
                <w:sz w:val="19"/>
                <w:szCs w:val="19"/>
                <w:color w:val="auto"/>
              </w:rPr>
              <w:t>such Materials as recorded in the</w:t>
            </w:r>
          </w:p>
        </w:tc>
        <w:tc>
          <w:tcPr>
            <w:tcW w:w="400" w:type="dxa"/>
            <w:vAlign w:val="bottom"/>
          </w:tcPr>
          <w:p>
            <w:pPr>
              <w:spacing w:after="0"/>
              <w:rPr>
                <w:sz w:val="17"/>
                <w:szCs w:val="17"/>
                <w:color w:val="auto"/>
              </w:rPr>
            </w:pPr>
          </w:p>
        </w:tc>
      </w:tr>
      <w:tr>
        <w:trPr>
          <w:trHeight w:val="251"/>
        </w:trPr>
        <w:tc>
          <w:tcPr>
            <w:tcW w:w="2220" w:type="dxa"/>
            <w:vAlign w:val="bottom"/>
          </w:tcPr>
          <w:p>
            <w:pPr>
              <w:spacing w:after="0"/>
              <w:rPr>
                <w:sz w:val="21"/>
                <w:szCs w:val="21"/>
                <w:color w:val="auto"/>
              </w:rPr>
            </w:pPr>
          </w:p>
        </w:tc>
        <w:tc>
          <w:tcPr>
            <w:tcW w:w="2360" w:type="dxa"/>
            <w:vAlign w:val="bottom"/>
            <w:gridSpan w:val="3"/>
          </w:tcPr>
          <w:p>
            <w:pPr>
              <w:ind w:left="480"/>
              <w:spacing w:after="0"/>
              <w:rPr>
                <w:sz w:val="20"/>
                <w:szCs w:val="20"/>
                <w:color w:val="auto"/>
              </w:rPr>
            </w:pPr>
            <w:r>
              <w:rPr>
                <w:rFonts w:ascii="Times New Roman" w:cs="Times New Roman" w:eastAsia="Times New Roman" w:hAnsi="Times New Roman"/>
                <w:sz w:val="19"/>
                <w:szCs w:val="19"/>
                <w:color w:val="auto"/>
              </w:rPr>
              <w:t>purchase order</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26"/>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Minimum Order</w:t>
            </w:r>
          </w:p>
        </w:tc>
        <w:tc>
          <w:tcPr>
            <w:tcW w:w="3200" w:type="dxa"/>
            <w:vAlign w:val="bottom"/>
            <w:gridSpan w:val="5"/>
          </w:tcPr>
          <w:p>
            <w:pPr>
              <w:ind w:left="480"/>
              <w:spacing w:after="0"/>
              <w:rPr>
                <w:sz w:val="20"/>
                <w:szCs w:val="20"/>
                <w:color w:val="auto"/>
              </w:rPr>
            </w:pPr>
            <w:r>
              <w:rPr>
                <w:rFonts w:ascii="Times New Roman" w:cs="Times New Roman" w:eastAsia="Times New Roman" w:hAnsi="Times New Roman"/>
                <w:sz w:val="19"/>
                <w:szCs w:val="19"/>
                <w:color w:val="auto"/>
              </w:rPr>
              <w:t>Shall mean Materials purchased in</w:t>
            </w:r>
          </w:p>
        </w:tc>
        <w:tc>
          <w:tcPr>
            <w:tcW w:w="400" w:type="dxa"/>
            <w:vAlign w:val="bottom"/>
          </w:tcPr>
          <w:p>
            <w:pPr>
              <w:spacing w:after="0"/>
              <w:rPr>
                <w:sz w:val="24"/>
                <w:szCs w:val="24"/>
                <w:color w:val="auto"/>
              </w:rPr>
            </w:pPr>
          </w:p>
        </w:tc>
      </w:tr>
      <w:tr>
        <w:trPr>
          <w:trHeight w:val="193"/>
        </w:trPr>
        <w:tc>
          <w:tcPr>
            <w:tcW w:w="22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Inventory</w:t>
            </w:r>
          </w:p>
        </w:tc>
        <w:tc>
          <w:tcPr>
            <w:tcW w:w="3600" w:type="dxa"/>
            <w:vAlign w:val="bottom"/>
            <w:gridSpan w:val="6"/>
          </w:tcPr>
          <w:p>
            <w:pPr>
              <w:ind w:left="480"/>
              <w:spacing w:after="0" w:line="193" w:lineRule="exact"/>
              <w:rPr>
                <w:sz w:val="20"/>
                <w:szCs w:val="20"/>
                <w:color w:val="auto"/>
              </w:rPr>
            </w:pPr>
            <w:r>
              <w:rPr>
                <w:rFonts w:ascii="Times New Roman" w:cs="Times New Roman" w:eastAsia="Times New Roman" w:hAnsi="Times New Roman"/>
                <w:sz w:val="19"/>
                <w:szCs w:val="19"/>
                <w:color w:val="auto"/>
              </w:rPr>
              <w:t>excess of requirements for purchase</w:t>
            </w:r>
          </w:p>
        </w:tc>
      </w:tr>
      <w:tr>
        <w:trPr>
          <w:trHeight w:val="187"/>
        </w:trPr>
        <w:tc>
          <w:tcPr>
            <w:tcW w:w="2220" w:type="dxa"/>
            <w:vAlign w:val="bottom"/>
          </w:tcPr>
          <w:p>
            <w:pPr>
              <w:spacing w:after="0"/>
              <w:rPr>
                <w:sz w:val="16"/>
                <w:szCs w:val="16"/>
                <w:color w:val="auto"/>
              </w:rPr>
            </w:pPr>
          </w:p>
        </w:tc>
        <w:tc>
          <w:tcPr>
            <w:tcW w:w="3600" w:type="dxa"/>
            <w:vAlign w:val="bottom"/>
            <w:gridSpan w:val="6"/>
          </w:tcPr>
          <w:p>
            <w:pPr>
              <w:ind w:left="480"/>
              <w:spacing w:after="0" w:line="187" w:lineRule="exact"/>
              <w:rPr>
                <w:sz w:val="20"/>
                <w:szCs w:val="20"/>
                <w:color w:val="auto"/>
              </w:rPr>
            </w:pPr>
            <w:r>
              <w:rPr>
                <w:rFonts w:ascii="Times New Roman" w:cs="Times New Roman" w:eastAsia="Times New Roman" w:hAnsi="Times New Roman"/>
                <w:sz w:val="19"/>
                <w:szCs w:val="19"/>
                <w:color w:val="auto"/>
              </w:rPr>
              <w:t>orders because of minimum lot sizes</w:t>
            </w:r>
          </w:p>
        </w:tc>
      </w:tr>
      <w:tr>
        <w:trPr>
          <w:trHeight w:val="251"/>
        </w:trPr>
        <w:tc>
          <w:tcPr>
            <w:tcW w:w="2220" w:type="dxa"/>
            <w:vAlign w:val="bottom"/>
          </w:tcPr>
          <w:p>
            <w:pPr>
              <w:spacing w:after="0"/>
              <w:rPr>
                <w:sz w:val="21"/>
                <w:szCs w:val="21"/>
                <w:color w:val="auto"/>
              </w:rPr>
            </w:pPr>
          </w:p>
        </w:tc>
        <w:tc>
          <w:tcPr>
            <w:tcW w:w="3600" w:type="dxa"/>
            <w:vAlign w:val="bottom"/>
            <w:gridSpan w:val="6"/>
          </w:tcPr>
          <w:p>
            <w:pPr>
              <w:ind w:left="480"/>
              <w:spacing w:after="0"/>
              <w:rPr>
                <w:sz w:val="20"/>
                <w:szCs w:val="20"/>
                <w:color w:val="auto"/>
              </w:rPr>
            </w:pPr>
            <w:r>
              <w:rPr>
                <w:rFonts w:ascii="Times New Roman" w:cs="Times New Roman" w:eastAsia="Times New Roman" w:hAnsi="Times New Roman"/>
                <w:sz w:val="19"/>
                <w:szCs w:val="19"/>
                <w:color w:val="auto"/>
              </w:rPr>
              <w:t>available from the third-party supplier.</w:t>
            </w:r>
          </w:p>
        </w:tc>
      </w:tr>
      <w:tr>
        <w:trPr>
          <w:trHeight w:val="339"/>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Product(s)</w:t>
            </w:r>
          </w:p>
        </w:tc>
        <w:tc>
          <w:tcPr>
            <w:tcW w:w="3200" w:type="dxa"/>
            <w:vAlign w:val="bottom"/>
            <w:gridSpan w:val="5"/>
          </w:tcPr>
          <w:p>
            <w:pPr>
              <w:ind w:left="480"/>
              <w:spacing w:after="0"/>
              <w:rPr>
                <w:sz w:val="20"/>
                <w:szCs w:val="20"/>
                <w:color w:val="auto"/>
              </w:rPr>
            </w:pPr>
            <w:r>
              <w:rPr>
                <w:rFonts w:ascii="Times New Roman" w:cs="Times New Roman" w:eastAsia="Times New Roman" w:hAnsi="Times New Roman"/>
                <w:sz w:val="19"/>
                <w:szCs w:val="19"/>
                <w:color w:val="auto"/>
              </w:rPr>
              <w:t>Shall have the meaning set forth in</w:t>
            </w:r>
          </w:p>
        </w:tc>
        <w:tc>
          <w:tcPr>
            <w:tcW w:w="400" w:type="dxa"/>
            <w:vAlign w:val="bottom"/>
          </w:tcPr>
          <w:p>
            <w:pPr>
              <w:spacing w:after="0"/>
              <w:rPr>
                <w:sz w:val="24"/>
                <w:szCs w:val="24"/>
                <w:color w:val="auto"/>
              </w:rPr>
            </w:pPr>
          </w:p>
        </w:tc>
      </w:tr>
      <w:tr>
        <w:trPr>
          <w:trHeight w:val="251"/>
        </w:trPr>
        <w:tc>
          <w:tcPr>
            <w:tcW w:w="2220" w:type="dxa"/>
            <w:vAlign w:val="bottom"/>
          </w:tcPr>
          <w:p>
            <w:pPr>
              <w:spacing w:after="0"/>
              <w:rPr>
                <w:sz w:val="21"/>
                <w:szCs w:val="21"/>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Section 2.1</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26"/>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Production Materials</w:t>
            </w:r>
          </w:p>
        </w:tc>
        <w:tc>
          <w:tcPr>
            <w:tcW w:w="3600" w:type="dxa"/>
            <w:vAlign w:val="bottom"/>
            <w:gridSpan w:val="6"/>
          </w:tcPr>
          <w:p>
            <w:pPr>
              <w:ind w:left="480"/>
              <w:spacing w:after="0"/>
              <w:rPr>
                <w:sz w:val="20"/>
                <w:szCs w:val="20"/>
                <w:color w:val="auto"/>
              </w:rPr>
            </w:pPr>
            <w:r>
              <w:rPr>
                <w:rFonts w:ascii="Times New Roman" w:cs="Times New Roman" w:eastAsia="Times New Roman" w:hAnsi="Times New Roman"/>
                <w:sz w:val="19"/>
                <w:szCs w:val="19"/>
                <w:color w:val="auto"/>
              </w:rPr>
              <w:t>Shall mean Materials that are consumed</w:t>
            </w:r>
          </w:p>
        </w:tc>
      </w:tr>
      <w:tr>
        <w:trPr>
          <w:trHeight w:val="193"/>
        </w:trPr>
        <w:tc>
          <w:tcPr>
            <w:tcW w:w="2220" w:type="dxa"/>
            <w:vAlign w:val="bottom"/>
          </w:tcPr>
          <w:p>
            <w:pPr>
              <w:spacing w:after="0"/>
              <w:rPr>
                <w:sz w:val="16"/>
                <w:szCs w:val="16"/>
                <w:color w:val="auto"/>
              </w:rPr>
            </w:pPr>
          </w:p>
        </w:tc>
        <w:tc>
          <w:tcPr>
            <w:tcW w:w="2780" w:type="dxa"/>
            <w:vAlign w:val="bottom"/>
            <w:gridSpan w:val="4"/>
          </w:tcPr>
          <w:p>
            <w:pPr>
              <w:ind w:left="480"/>
              <w:spacing w:after="0" w:line="193" w:lineRule="exact"/>
              <w:rPr>
                <w:sz w:val="20"/>
                <w:szCs w:val="20"/>
                <w:color w:val="auto"/>
              </w:rPr>
            </w:pPr>
            <w:r>
              <w:rPr>
                <w:rFonts w:ascii="Times New Roman" w:cs="Times New Roman" w:eastAsia="Times New Roman" w:hAnsi="Times New Roman"/>
                <w:sz w:val="19"/>
                <w:szCs w:val="19"/>
                <w:color w:val="auto"/>
              </w:rPr>
              <w:t>in the production processes to</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3600" w:type="dxa"/>
            <w:vAlign w:val="bottom"/>
            <w:gridSpan w:val="6"/>
          </w:tcPr>
          <w:p>
            <w:pPr>
              <w:ind w:left="480"/>
              <w:spacing w:after="0" w:line="187" w:lineRule="exact"/>
              <w:rPr>
                <w:sz w:val="20"/>
                <w:szCs w:val="20"/>
                <w:color w:val="auto"/>
              </w:rPr>
            </w:pPr>
            <w:r>
              <w:rPr>
                <w:rFonts w:ascii="Times New Roman" w:cs="Times New Roman" w:eastAsia="Times New Roman" w:hAnsi="Times New Roman"/>
                <w:sz w:val="19"/>
                <w:szCs w:val="19"/>
                <w:color w:val="auto"/>
              </w:rPr>
              <w:t>manufacture Products including without</w:t>
            </w:r>
          </w:p>
        </w:tc>
      </w:tr>
      <w:tr>
        <w:trPr>
          <w:trHeight w:val="197"/>
        </w:trPr>
        <w:tc>
          <w:tcPr>
            <w:tcW w:w="2220" w:type="dxa"/>
            <w:vAlign w:val="bottom"/>
          </w:tcPr>
          <w:p>
            <w:pPr>
              <w:spacing w:after="0"/>
              <w:rPr>
                <w:sz w:val="17"/>
                <w:szCs w:val="17"/>
                <w:color w:val="auto"/>
              </w:rPr>
            </w:pPr>
          </w:p>
        </w:tc>
        <w:tc>
          <w:tcPr>
            <w:tcW w:w="3200" w:type="dxa"/>
            <w:vAlign w:val="bottom"/>
            <w:gridSpan w:val="5"/>
          </w:tcPr>
          <w:p>
            <w:pPr>
              <w:ind w:left="480"/>
              <w:spacing w:after="0" w:line="197" w:lineRule="exact"/>
              <w:rPr>
                <w:sz w:val="20"/>
                <w:szCs w:val="20"/>
                <w:color w:val="auto"/>
              </w:rPr>
            </w:pPr>
            <w:r>
              <w:rPr>
                <w:rFonts w:ascii="Times New Roman" w:cs="Times New Roman" w:eastAsia="Times New Roman" w:hAnsi="Times New Roman"/>
                <w:sz w:val="19"/>
                <w:szCs w:val="19"/>
                <w:color w:val="auto"/>
              </w:rPr>
              <w:t>limitation, solder, epoxy, cleaner</w:t>
            </w:r>
          </w:p>
        </w:tc>
        <w:tc>
          <w:tcPr>
            <w:tcW w:w="400" w:type="dxa"/>
            <w:vAlign w:val="bottom"/>
          </w:tcPr>
          <w:p>
            <w:pPr>
              <w:spacing w:after="0"/>
              <w:rPr>
                <w:sz w:val="17"/>
                <w:szCs w:val="17"/>
                <w:color w:val="auto"/>
              </w:rPr>
            </w:pPr>
          </w:p>
        </w:tc>
      </w:tr>
      <w:tr>
        <w:trPr>
          <w:trHeight w:val="251"/>
        </w:trPr>
        <w:tc>
          <w:tcPr>
            <w:tcW w:w="2220" w:type="dxa"/>
            <w:vAlign w:val="bottom"/>
          </w:tcPr>
          <w:p>
            <w:pPr>
              <w:spacing w:after="0"/>
              <w:rPr>
                <w:sz w:val="21"/>
                <w:szCs w:val="21"/>
                <w:color w:val="auto"/>
              </w:rPr>
            </w:pPr>
          </w:p>
        </w:tc>
        <w:tc>
          <w:tcPr>
            <w:tcW w:w="2780" w:type="dxa"/>
            <w:vAlign w:val="bottom"/>
            <w:gridSpan w:val="4"/>
          </w:tcPr>
          <w:p>
            <w:pPr>
              <w:ind w:left="480"/>
              <w:spacing w:after="0"/>
              <w:rPr>
                <w:sz w:val="20"/>
                <w:szCs w:val="20"/>
                <w:color w:val="auto"/>
              </w:rPr>
            </w:pPr>
            <w:r>
              <w:rPr>
                <w:rFonts w:ascii="Times New Roman" w:cs="Times New Roman" w:eastAsia="Times New Roman" w:hAnsi="Times New Roman"/>
                <w:sz w:val="19"/>
                <w:szCs w:val="19"/>
                <w:color w:val="auto"/>
                <w:w w:val="99"/>
              </w:rPr>
              <w:t>solvent, labels, flux, and glue.</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26"/>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RoHS Requirements</w:t>
            </w:r>
          </w:p>
        </w:tc>
        <w:tc>
          <w:tcPr>
            <w:tcW w:w="3200" w:type="dxa"/>
            <w:vAlign w:val="bottom"/>
            <w:gridSpan w:val="5"/>
          </w:tcPr>
          <w:p>
            <w:pPr>
              <w:ind w:left="480"/>
              <w:spacing w:after="0"/>
              <w:rPr>
                <w:sz w:val="20"/>
                <w:szCs w:val="20"/>
                <w:color w:val="auto"/>
              </w:rPr>
            </w:pPr>
            <w:r>
              <w:rPr>
                <w:rFonts w:ascii="Times New Roman" w:cs="Times New Roman" w:eastAsia="Times New Roman" w:hAnsi="Times New Roman"/>
                <w:sz w:val="19"/>
                <w:szCs w:val="19"/>
                <w:color w:val="auto"/>
              </w:rPr>
              <w:t>Means the RoHS Directive, China</w:t>
            </w:r>
          </w:p>
        </w:tc>
        <w:tc>
          <w:tcPr>
            <w:tcW w:w="400" w:type="dxa"/>
            <w:vAlign w:val="bottom"/>
          </w:tcPr>
          <w:p>
            <w:pPr>
              <w:spacing w:after="0"/>
              <w:rPr>
                <w:sz w:val="24"/>
                <w:szCs w:val="24"/>
                <w:color w:val="auto"/>
              </w:rPr>
            </w:pPr>
          </w:p>
        </w:tc>
      </w:tr>
      <w:tr>
        <w:trPr>
          <w:trHeight w:val="193"/>
        </w:trPr>
        <w:tc>
          <w:tcPr>
            <w:tcW w:w="2220" w:type="dxa"/>
            <w:vAlign w:val="bottom"/>
          </w:tcPr>
          <w:p>
            <w:pPr>
              <w:spacing w:after="0"/>
              <w:rPr>
                <w:sz w:val="16"/>
                <w:szCs w:val="16"/>
                <w:color w:val="auto"/>
              </w:rPr>
            </w:pPr>
          </w:p>
        </w:tc>
        <w:tc>
          <w:tcPr>
            <w:tcW w:w="3600" w:type="dxa"/>
            <w:vAlign w:val="bottom"/>
            <w:gridSpan w:val="6"/>
          </w:tcPr>
          <w:p>
            <w:pPr>
              <w:ind w:left="480"/>
              <w:spacing w:after="0" w:line="193" w:lineRule="exact"/>
              <w:rPr>
                <w:sz w:val="20"/>
                <w:szCs w:val="20"/>
                <w:color w:val="auto"/>
              </w:rPr>
            </w:pPr>
            <w:r>
              <w:rPr>
                <w:rFonts w:ascii="Times New Roman" w:cs="Times New Roman" w:eastAsia="Times New Roman" w:hAnsi="Times New Roman"/>
                <w:sz w:val="19"/>
                <w:szCs w:val="19"/>
                <w:color w:val="auto"/>
              </w:rPr>
              <w:t>RoHS, California RoHS and/or other</w:t>
            </w:r>
          </w:p>
        </w:tc>
      </w:tr>
      <w:tr>
        <w:trPr>
          <w:trHeight w:val="187"/>
        </w:trPr>
        <w:tc>
          <w:tcPr>
            <w:tcW w:w="2220" w:type="dxa"/>
            <w:vAlign w:val="bottom"/>
          </w:tcPr>
          <w:p>
            <w:pPr>
              <w:spacing w:after="0"/>
              <w:rPr>
                <w:sz w:val="16"/>
                <w:szCs w:val="16"/>
                <w:color w:val="auto"/>
              </w:rPr>
            </w:pPr>
          </w:p>
        </w:tc>
        <w:tc>
          <w:tcPr>
            <w:tcW w:w="3200" w:type="dxa"/>
            <w:vAlign w:val="bottom"/>
            <w:gridSpan w:val="5"/>
          </w:tcPr>
          <w:p>
            <w:pPr>
              <w:ind w:left="480"/>
              <w:spacing w:after="0" w:line="187" w:lineRule="exact"/>
              <w:rPr>
                <w:sz w:val="20"/>
                <w:szCs w:val="20"/>
                <w:color w:val="auto"/>
              </w:rPr>
            </w:pPr>
            <w:r>
              <w:rPr>
                <w:rFonts w:ascii="Times New Roman" w:cs="Times New Roman" w:eastAsia="Times New Roman" w:hAnsi="Times New Roman"/>
                <w:sz w:val="19"/>
                <w:szCs w:val="19"/>
                <w:color w:val="auto"/>
              </w:rPr>
              <w:t>similar or related environmental,</w:t>
            </w:r>
          </w:p>
        </w:tc>
        <w:tc>
          <w:tcPr>
            <w:tcW w:w="400" w:type="dxa"/>
            <w:vAlign w:val="bottom"/>
          </w:tcPr>
          <w:p>
            <w:pPr>
              <w:spacing w:after="0"/>
              <w:rPr>
                <w:sz w:val="16"/>
                <w:szCs w:val="16"/>
                <w:color w:val="auto"/>
              </w:rPr>
            </w:pPr>
          </w:p>
        </w:tc>
      </w:tr>
      <w:tr>
        <w:trPr>
          <w:trHeight w:val="197"/>
        </w:trPr>
        <w:tc>
          <w:tcPr>
            <w:tcW w:w="2220" w:type="dxa"/>
            <w:vAlign w:val="bottom"/>
          </w:tcPr>
          <w:p>
            <w:pPr>
              <w:spacing w:after="0"/>
              <w:rPr>
                <w:sz w:val="17"/>
                <w:szCs w:val="17"/>
                <w:color w:val="auto"/>
              </w:rPr>
            </w:pPr>
          </w:p>
        </w:tc>
        <w:tc>
          <w:tcPr>
            <w:tcW w:w="3200" w:type="dxa"/>
            <w:vAlign w:val="bottom"/>
            <w:gridSpan w:val="5"/>
          </w:tcPr>
          <w:p>
            <w:pPr>
              <w:ind w:left="480"/>
              <w:spacing w:after="0" w:line="197" w:lineRule="exact"/>
              <w:rPr>
                <w:sz w:val="20"/>
                <w:szCs w:val="20"/>
                <w:color w:val="auto"/>
              </w:rPr>
            </w:pPr>
            <w:r>
              <w:rPr>
                <w:rFonts w:ascii="Times New Roman" w:cs="Times New Roman" w:eastAsia="Times New Roman" w:hAnsi="Times New Roman"/>
                <w:sz w:val="19"/>
                <w:szCs w:val="19"/>
                <w:color w:val="auto"/>
              </w:rPr>
              <w:t>product composition or materials</w:t>
            </w:r>
          </w:p>
        </w:tc>
        <w:tc>
          <w:tcPr>
            <w:tcW w:w="400" w:type="dxa"/>
            <w:vAlign w:val="bottom"/>
          </w:tcPr>
          <w:p>
            <w:pPr>
              <w:spacing w:after="0"/>
              <w:rPr>
                <w:sz w:val="17"/>
                <w:szCs w:val="17"/>
                <w:color w:val="auto"/>
              </w:rPr>
            </w:pPr>
          </w:p>
        </w:tc>
      </w:tr>
      <w:tr>
        <w:trPr>
          <w:trHeight w:val="251"/>
        </w:trPr>
        <w:tc>
          <w:tcPr>
            <w:tcW w:w="2220" w:type="dxa"/>
            <w:vAlign w:val="bottom"/>
          </w:tcPr>
          <w:p>
            <w:pPr>
              <w:spacing w:after="0"/>
              <w:rPr>
                <w:sz w:val="21"/>
                <w:szCs w:val="21"/>
                <w:color w:val="auto"/>
              </w:rPr>
            </w:pPr>
          </w:p>
        </w:tc>
        <w:tc>
          <w:tcPr>
            <w:tcW w:w="2360" w:type="dxa"/>
            <w:vAlign w:val="bottom"/>
            <w:gridSpan w:val="3"/>
          </w:tcPr>
          <w:p>
            <w:pPr>
              <w:ind w:left="480"/>
              <w:spacing w:after="0"/>
              <w:rPr>
                <w:sz w:val="20"/>
                <w:szCs w:val="20"/>
                <w:color w:val="auto"/>
              </w:rPr>
            </w:pPr>
            <w:r>
              <w:rPr>
                <w:rFonts w:ascii="Times New Roman" w:cs="Times New Roman" w:eastAsia="Times New Roman" w:hAnsi="Times New Roman"/>
                <w:sz w:val="19"/>
                <w:szCs w:val="19"/>
                <w:color w:val="auto"/>
              </w:rPr>
              <w:t>declaration Laws</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26"/>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Subsidiary</w:t>
            </w:r>
          </w:p>
        </w:tc>
        <w:tc>
          <w:tcPr>
            <w:tcW w:w="2780" w:type="dxa"/>
            <w:vAlign w:val="bottom"/>
            <w:gridSpan w:val="4"/>
          </w:tcPr>
          <w:p>
            <w:pPr>
              <w:ind w:left="480"/>
              <w:spacing w:after="0"/>
              <w:rPr>
                <w:sz w:val="20"/>
                <w:szCs w:val="20"/>
                <w:color w:val="auto"/>
              </w:rPr>
            </w:pPr>
            <w:r>
              <w:rPr>
                <w:rFonts w:ascii="Times New Roman" w:cs="Times New Roman" w:eastAsia="Times New Roman" w:hAnsi="Times New Roman"/>
                <w:sz w:val="19"/>
                <w:szCs w:val="19"/>
                <w:color w:val="auto"/>
              </w:rPr>
              <w:t>Shall mean the corporations,</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3"/>
        </w:trPr>
        <w:tc>
          <w:tcPr>
            <w:tcW w:w="2220" w:type="dxa"/>
            <w:vAlign w:val="bottom"/>
          </w:tcPr>
          <w:p>
            <w:pPr>
              <w:spacing w:after="0"/>
              <w:rPr>
                <w:sz w:val="16"/>
                <w:szCs w:val="16"/>
                <w:color w:val="auto"/>
              </w:rPr>
            </w:pPr>
          </w:p>
        </w:tc>
        <w:tc>
          <w:tcPr>
            <w:tcW w:w="2780" w:type="dxa"/>
            <w:vAlign w:val="bottom"/>
            <w:gridSpan w:val="4"/>
          </w:tcPr>
          <w:p>
            <w:pPr>
              <w:ind w:left="480"/>
              <w:spacing w:after="0" w:line="193" w:lineRule="exact"/>
              <w:rPr>
                <w:sz w:val="20"/>
                <w:szCs w:val="20"/>
                <w:color w:val="auto"/>
              </w:rPr>
            </w:pPr>
            <w:r>
              <w:rPr>
                <w:rFonts w:ascii="Times New Roman" w:cs="Times New Roman" w:eastAsia="Times New Roman" w:hAnsi="Times New Roman"/>
                <w:sz w:val="19"/>
                <w:szCs w:val="19"/>
                <w:color w:val="auto"/>
              </w:rPr>
              <w:t>partnerships, limited liability</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3600" w:type="dxa"/>
            <w:vAlign w:val="bottom"/>
            <w:gridSpan w:val="6"/>
          </w:tcPr>
          <w:p>
            <w:pPr>
              <w:ind w:left="480"/>
              <w:spacing w:after="0" w:line="187" w:lineRule="exact"/>
              <w:rPr>
                <w:sz w:val="20"/>
                <w:szCs w:val="20"/>
                <w:color w:val="auto"/>
              </w:rPr>
            </w:pPr>
            <w:r>
              <w:rPr>
                <w:rFonts w:ascii="Times New Roman" w:cs="Times New Roman" w:eastAsia="Times New Roman" w:hAnsi="Times New Roman"/>
                <w:sz w:val="19"/>
                <w:szCs w:val="19"/>
                <w:color w:val="auto"/>
              </w:rPr>
              <w:t>companies, joint ventures, associations</w:t>
            </w:r>
          </w:p>
        </w:tc>
      </w:tr>
      <w:tr>
        <w:trPr>
          <w:trHeight w:val="197"/>
        </w:trPr>
        <w:tc>
          <w:tcPr>
            <w:tcW w:w="2220" w:type="dxa"/>
            <w:vAlign w:val="bottom"/>
          </w:tcPr>
          <w:p>
            <w:pPr>
              <w:spacing w:after="0"/>
              <w:rPr>
                <w:sz w:val="17"/>
                <w:szCs w:val="17"/>
                <w:color w:val="auto"/>
              </w:rPr>
            </w:pPr>
          </w:p>
        </w:tc>
        <w:tc>
          <w:tcPr>
            <w:tcW w:w="3600" w:type="dxa"/>
            <w:vAlign w:val="bottom"/>
            <w:gridSpan w:val="6"/>
          </w:tcPr>
          <w:p>
            <w:pPr>
              <w:ind w:left="480"/>
              <w:spacing w:after="0" w:line="197" w:lineRule="exact"/>
              <w:rPr>
                <w:sz w:val="20"/>
                <w:szCs w:val="20"/>
                <w:color w:val="auto"/>
              </w:rPr>
            </w:pPr>
            <w:r>
              <w:rPr>
                <w:rFonts w:ascii="Times New Roman" w:cs="Times New Roman" w:eastAsia="Times New Roman" w:hAnsi="Times New Roman"/>
                <w:sz w:val="19"/>
                <w:szCs w:val="19"/>
                <w:color w:val="auto"/>
              </w:rPr>
              <w:t>and any other legal entities of which any</w:t>
            </w:r>
          </w:p>
        </w:tc>
      </w:tr>
      <w:tr>
        <w:trPr>
          <w:trHeight w:val="193"/>
        </w:trPr>
        <w:tc>
          <w:tcPr>
            <w:tcW w:w="2220" w:type="dxa"/>
            <w:vAlign w:val="bottom"/>
          </w:tcPr>
          <w:p>
            <w:pPr>
              <w:spacing w:after="0"/>
              <w:rPr>
                <w:sz w:val="16"/>
                <w:szCs w:val="16"/>
                <w:color w:val="auto"/>
              </w:rPr>
            </w:pPr>
          </w:p>
        </w:tc>
        <w:tc>
          <w:tcPr>
            <w:tcW w:w="3200" w:type="dxa"/>
            <w:vAlign w:val="bottom"/>
            <w:gridSpan w:val="5"/>
          </w:tcPr>
          <w:p>
            <w:pPr>
              <w:ind w:left="480"/>
              <w:spacing w:after="0" w:line="193" w:lineRule="exact"/>
              <w:rPr>
                <w:sz w:val="20"/>
                <w:szCs w:val="20"/>
                <w:color w:val="auto"/>
              </w:rPr>
            </w:pPr>
            <w:r>
              <w:rPr>
                <w:rFonts w:ascii="Times New Roman" w:cs="Times New Roman" w:eastAsia="Times New Roman" w:hAnsi="Times New Roman"/>
                <w:sz w:val="19"/>
                <w:szCs w:val="19"/>
                <w:color w:val="auto"/>
              </w:rPr>
              <w:t>Party (either alone or through or</w:t>
            </w:r>
          </w:p>
        </w:tc>
        <w:tc>
          <w:tcPr>
            <w:tcW w:w="40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3600" w:type="dxa"/>
            <w:vAlign w:val="bottom"/>
            <w:gridSpan w:val="6"/>
          </w:tcPr>
          <w:p>
            <w:pPr>
              <w:ind w:left="480"/>
              <w:spacing w:after="0" w:line="187" w:lineRule="exact"/>
              <w:rPr>
                <w:sz w:val="20"/>
                <w:szCs w:val="20"/>
                <w:color w:val="auto"/>
              </w:rPr>
            </w:pPr>
            <w:r>
              <w:rPr>
                <w:rFonts w:ascii="Times New Roman" w:cs="Times New Roman" w:eastAsia="Times New Roman" w:hAnsi="Times New Roman"/>
                <w:sz w:val="19"/>
                <w:szCs w:val="19"/>
                <w:color w:val="auto"/>
              </w:rPr>
              <w:t>together with any other Subsidiary),</w:t>
            </w:r>
          </w:p>
        </w:tc>
      </w:tr>
      <w:tr>
        <w:trPr>
          <w:trHeight w:val="197"/>
        </w:trPr>
        <w:tc>
          <w:tcPr>
            <w:tcW w:w="2220" w:type="dxa"/>
            <w:vAlign w:val="bottom"/>
          </w:tcPr>
          <w:p>
            <w:pPr>
              <w:spacing w:after="0"/>
              <w:rPr>
                <w:sz w:val="17"/>
                <w:szCs w:val="17"/>
                <w:color w:val="auto"/>
              </w:rPr>
            </w:pPr>
          </w:p>
        </w:tc>
        <w:tc>
          <w:tcPr>
            <w:tcW w:w="3600" w:type="dxa"/>
            <w:vAlign w:val="bottom"/>
            <w:gridSpan w:val="6"/>
          </w:tcPr>
          <w:p>
            <w:pPr>
              <w:ind w:left="480"/>
              <w:spacing w:after="0" w:line="197" w:lineRule="exact"/>
              <w:rPr>
                <w:sz w:val="20"/>
                <w:szCs w:val="20"/>
                <w:color w:val="auto"/>
              </w:rPr>
            </w:pPr>
            <w:r>
              <w:rPr>
                <w:rFonts w:ascii="Times New Roman" w:cs="Times New Roman" w:eastAsia="Times New Roman" w:hAnsi="Times New Roman"/>
                <w:sz w:val="19"/>
                <w:szCs w:val="19"/>
                <w:color w:val="auto"/>
              </w:rPr>
              <w:t>owns, directly or indirectly, or has rights</w:t>
            </w:r>
          </w:p>
        </w:tc>
      </w:tr>
      <w:tr>
        <w:trPr>
          <w:trHeight w:val="193"/>
        </w:trPr>
        <w:tc>
          <w:tcPr>
            <w:tcW w:w="2220" w:type="dxa"/>
            <w:vAlign w:val="bottom"/>
          </w:tcPr>
          <w:p>
            <w:pPr>
              <w:spacing w:after="0"/>
              <w:rPr>
                <w:sz w:val="16"/>
                <w:szCs w:val="16"/>
                <w:color w:val="auto"/>
              </w:rPr>
            </w:pPr>
          </w:p>
        </w:tc>
        <w:tc>
          <w:tcPr>
            <w:tcW w:w="3600" w:type="dxa"/>
            <w:vAlign w:val="bottom"/>
            <w:gridSpan w:val="6"/>
          </w:tcPr>
          <w:p>
            <w:pPr>
              <w:ind w:left="480"/>
              <w:spacing w:after="0" w:line="193" w:lineRule="exact"/>
              <w:rPr>
                <w:sz w:val="20"/>
                <w:szCs w:val="20"/>
                <w:color w:val="auto"/>
              </w:rPr>
            </w:pPr>
            <w:r>
              <w:rPr>
                <w:rFonts w:ascii="Times New Roman" w:cs="Times New Roman" w:eastAsia="Times New Roman" w:hAnsi="Times New Roman"/>
                <w:sz w:val="19"/>
                <w:szCs w:val="19"/>
                <w:color w:val="auto"/>
              </w:rPr>
              <w:t>to acquire, directly or indirectly more</w:t>
            </w:r>
          </w:p>
        </w:tc>
      </w:tr>
      <w:tr>
        <w:trPr>
          <w:trHeight w:val="187"/>
        </w:trPr>
        <w:tc>
          <w:tcPr>
            <w:tcW w:w="2220" w:type="dxa"/>
            <w:vAlign w:val="bottom"/>
          </w:tcPr>
          <w:p>
            <w:pPr>
              <w:spacing w:after="0"/>
              <w:rPr>
                <w:sz w:val="16"/>
                <w:szCs w:val="16"/>
                <w:color w:val="auto"/>
              </w:rPr>
            </w:pPr>
          </w:p>
        </w:tc>
        <w:tc>
          <w:tcPr>
            <w:tcW w:w="3600" w:type="dxa"/>
            <w:vAlign w:val="bottom"/>
            <w:gridSpan w:val="6"/>
          </w:tcPr>
          <w:p>
            <w:pPr>
              <w:ind w:left="480"/>
              <w:spacing w:after="0" w:line="187" w:lineRule="exact"/>
              <w:rPr>
                <w:sz w:val="20"/>
                <w:szCs w:val="20"/>
                <w:color w:val="auto"/>
              </w:rPr>
            </w:pPr>
            <w:r>
              <w:rPr>
                <w:rFonts w:ascii="Times New Roman" w:cs="Times New Roman" w:eastAsia="Times New Roman" w:hAnsi="Times New Roman"/>
                <w:sz w:val="19"/>
                <w:szCs w:val="19"/>
                <w:color w:val="auto"/>
              </w:rPr>
              <w:t>than 50 percent of the stock or other</w:t>
            </w:r>
          </w:p>
        </w:tc>
      </w:tr>
      <w:tr>
        <w:trPr>
          <w:trHeight w:val="197"/>
        </w:trPr>
        <w:tc>
          <w:tcPr>
            <w:tcW w:w="2220" w:type="dxa"/>
            <w:vAlign w:val="bottom"/>
          </w:tcPr>
          <w:p>
            <w:pPr>
              <w:spacing w:after="0"/>
              <w:rPr>
                <w:sz w:val="17"/>
                <w:szCs w:val="17"/>
                <w:color w:val="auto"/>
              </w:rPr>
            </w:pPr>
          </w:p>
        </w:tc>
        <w:tc>
          <w:tcPr>
            <w:tcW w:w="3600" w:type="dxa"/>
            <w:vAlign w:val="bottom"/>
            <w:gridSpan w:val="6"/>
          </w:tcPr>
          <w:p>
            <w:pPr>
              <w:ind w:left="480"/>
              <w:spacing w:after="0" w:line="197" w:lineRule="exact"/>
              <w:rPr>
                <w:sz w:val="20"/>
                <w:szCs w:val="20"/>
                <w:color w:val="auto"/>
              </w:rPr>
            </w:pPr>
            <w:r>
              <w:rPr>
                <w:rFonts w:ascii="Times New Roman" w:cs="Times New Roman" w:eastAsia="Times New Roman" w:hAnsi="Times New Roman"/>
                <w:sz w:val="19"/>
                <w:szCs w:val="19"/>
                <w:color w:val="auto"/>
              </w:rPr>
              <w:t>equity interests, the holders of which are</w:t>
            </w:r>
          </w:p>
        </w:tc>
      </w:tr>
      <w:tr>
        <w:trPr>
          <w:trHeight w:val="193"/>
        </w:trPr>
        <w:tc>
          <w:tcPr>
            <w:tcW w:w="2220" w:type="dxa"/>
            <w:vAlign w:val="bottom"/>
          </w:tcPr>
          <w:p>
            <w:pPr>
              <w:spacing w:after="0"/>
              <w:rPr>
                <w:sz w:val="16"/>
                <w:szCs w:val="16"/>
                <w:color w:val="auto"/>
              </w:rPr>
            </w:pPr>
          </w:p>
        </w:tc>
        <w:tc>
          <w:tcPr>
            <w:tcW w:w="3200" w:type="dxa"/>
            <w:vAlign w:val="bottom"/>
            <w:gridSpan w:val="5"/>
          </w:tcPr>
          <w:p>
            <w:pPr>
              <w:ind w:left="480"/>
              <w:spacing w:after="0" w:line="193" w:lineRule="exact"/>
              <w:rPr>
                <w:sz w:val="20"/>
                <w:szCs w:val="20"/>
                <w:color w:val="auto"/>
              </w:rPr>
            </w:pPr>
            <w:r>
              <w:rPr>
                <w:rFonts w:ascii="Times New Roman" w:cs="Times New Roman" w:eastAsia="Times New Roman" w:hAnsi="Times New Roman"/>
                <w:sz w:val="19"/>
                <w:szCs w:val="19"/>
                <w:color w:val="auto"/>
              </w:rPr>
              <w:t>generally entitled to vote for the</w:t>
            </w:r>
          </w:p>
        </w:tc>
        <w:tc>
          <w:tcPr>
            <w:tcW w:w="400" w:type="dxa"/>
            <w:vAlign w:val="bottom"/>
          </w:tcPr>
          <w:p>
            <w:pPr>
              <w:spacing w:after="0"/>
              <w:rPr>
                <w:sz w:val="16"/>
                <w:szCs w:val="16"/>
                <w:color w:val="auto"/>
              </w:rPr>
            </w:pPr>
          </w:p>
        </w:tc>
      </w:tr>
      <w:tr>
        <w:trPr>
          <w:trHeight w:val="187"/>
        </w:trPr>
        <w:tc>
          <w:tcPr>
            <w:tcW w:w="2220" w:type="dxa"/>
            <w:vAlign w:val="bottom"/>
          </w:tcPr>
          <w:p>
            <w:pPr>
              <w:spacing w:after="0"/>
              <w:rPr>
                <w:sz w:val="16"/>
                <w:szCs w:val="16"/>
                <w:color w:val="auto"/>
              </w:rPr>
            </w:pPr>
          </w:p>
        </w:tc>
        <w:tc>
          <w:tcPr>
            <w:tcW w:w="3200" w:type="dxa"/>
            <w:vAlign w:val="bottom"/>
            <w:gridSpan w:val="5"/>
          </w:tcPr>
          <w:p>
            <w:pPr>
              <w:ind w:left="480"/>
              <w:spacing w:after="0" w:line="187" w:lineRule="exact"/>
              <w:rPr>
                <w:sz w:val="20"/>
                <w:szCs w:val="20"/>
                <w:color w:val="auto"/>
              </w:rPr>
            </w:pPr>
            <w:r>
              <w:rPr>
                <w:rFonts w:ascii="Times New Roman" w:cs="Times New Roman" w:eastAsia="Times New Roman" w:hAnsi="Times New Roman"/>
                <w:sz w:val="19"/>
                <w:szCs w:val="19"/>
                <w:color w:val="auto"/>
              </w:rPr>
              <w:t>election of the board of directors or</w:t>
            </w:r>
          </w:p>
        </w:tc>
        <w:tc>
          <w:tcPr>
            <w:tcW w:w="400" w:type="dxa"/>
            <w:vAlign w:val="bottom"/>
          </w:tcPr>
          <w:p>
            <w:pPr>
              <w:spacing w:after="0"/>
              <w:rPr>
                <w:sz w:val="16"/>
                <w:szCs w:val="16"/>
                <w:color w:val="auto"/>
              </w:rPr>
            </w:pPr>
          </w:p>
        </w:tc>
      </w:tr>
      <w:tr>
        <w:trPr>
          <w:trHeight w:val="197"/>
        </w:trPr>
        <w:tc>
          <w:tcPr>
            <w:tcW w:w="2220" w:type="dxa"/>
            <w:vAlign w:val="bottom"/>
          </w:tcPr>
          <w:p>
            <w:pPr>
              <w:spacing w:after="0"/>
              <w:rPr>
                <w:sz w:val="17"/>
                <w:szCs w:val="17"/>
                <w:color w:val="auto"/>
              </w:rPr>
            </w:pPr>
          </w:p>
        </w:tc>
        <w:tc>
          <w:tcPr>
            <w:tcW w:w="2780" w:type="dxa"/>
            <w:vAlign w:val="bottom"/>
            <w:gridSpan w:val="4"/>
          </w:tcPr>
          <w:p>
            <w:pPr>
              <w:ind w:left="480"/>
              <w:spacing w:after="0" w:line="197" w:lineRule="exact"/>
              <w:rPr>
                <w:sz w:val="20"/>
                <w:szCs w:val="20"/>
                <w:color w:val="auto"/>
              </w:rPr>
            </w:pPr>
            <w:r>
              <w:rPr>
                <w:rFonts w:ascii="Times New Roman" w:cs="Times New Roman" w:eastAsia="Times New Roman" w:hAnsi="Times New Roman"/>
                <w:sz w:val="19"/>
                <w:szCs w:val="19"/>
                <w:color w:val="auto"/>
              </w:rPr>
              <w:t>other governing body of such</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1"/>
        </w:trPr>
        <w:tc>
          <w:tcPr>
            <w:tcW w:w="2220" w:type="dxa"/>
            <w:vAlign w:val="bottom"/>
          </w:tcPr>
          <w:p>
            <w:pPr>
              <w:spacing w:after="0"/>
              <w:rPr>
                <w:sz w:val="21"/>
                <w:szCs w:val="21"/>
                <w:color w:val="auto"/>
              </w:rPr>
            </w:pPr>
          </w:p>
        </w:tc>
        <w:tc>
          <w:tcPr>
            <w:tcW w:w="3200" w:type="dxa"/>
            <w:vAlign w:val="bottom"/>
            <w:gridSpan w:val="5"/>
          </w:tcPr>
          <w:p>
            <w:pPr>
              <w:ind w:left="480"/>
              <w:spacing w:after="0"/>
              <w:rPr>
                <w:sz w:val="20"/>
                <w:szCs w:val="20"/>
                <w:color w:val="auto"/>
              </w:rPr>
            </w:pPr>
            <w:r>
              <w:rPr>
                <w:rFonts w:ascii="Times New Roman" w:cs="Times New Roman" w:eastAsia="Times New Roman" w:hAnsi="Times New Roman"/>
                <w:sz w:val="19"/>
                <w:szCs w:val="19"/>
                <w:color w:val="auto"/>
              </w:rPr>
              <w:t>corporation or other legal entity.</w:t>
            </w:r>
          </w:p>
        </w:tc>
        <w:tc>
          <w:tcPr>
            <w:tcW w:w="400" w:type="dxa"/>
            <w:vAlign w:val="bottom"/>
          </w:tcPr>
          <w:p>
            <w:pPr>
              <w:spacing w:after="0"/>
              <w:rPr>
                <w:sz w:val="21"/>
                <w:szCs w:val="21"/>
                <w:color w:val="auto"/>
              </w:rPr>
            </w:pPr>
          </w:p>
        </w:tc>
      </w:tr>
      <w:tr>
        <w:trPr>
          <w:trHeight w:val="326"/>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Supplier Controlled</w:t>
            </w:r>
          </w:p>
        </w:tc>
        <w:tc>
          <w:tcPr>
            <w:tcW w:w="3600" w:type="dxa"/>
            <w:vAlign w:val="bottom"/>
            <w:gridSpan w:val="6"/>
          </w:tcPr>
          <w:p>
            <w:pPr>
              <w:ind w:left="480"/>
              <w:spacing w:after="0"/>
              <w:rPr>
                <w:sz w:val="20"/>
                <w:szCs w:val="20"/>
                <w:color w:val="auto"/>
              </w:rPr>
            </w:pPr>
            <w:r>
              <w:rPr>
                <w:rFonts w:ascii="Times New Roman" w:cs="Times New Roman" w:eastAsia="Times New Roman" w:hAnsi="Times New Roman"/>
                <w:sz w:val="19"/>
                <w:szCs w:val="19"/>
                <w:color w:val="auto"/>
              </w:rPr>
              <w:t>Shall mean those Equipment provided</w:t>
            </w:r>
          </w:p>
        </w:tc>
      </w:tr>
      <w:tr>
        <w:trPr>
          <w:trHeight w:val="251"/>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Equipment</w:t>
            </w:r>
          </w:p>
        </w:tc>
        <w:tc>
          <w:tcPr>
            <w:tcW w:w="2360" w:type="dxa"/>
            <w:vAlign w:val="bottom"/>
            <w:gridSpan w:val="3"/>
          </w:tcPr>
          <w:p>
            <w:pPr>
              <w:ind w:left="480"/>
              <w:spacing w:after="0"/>
              <w:rPr>
                <w:sz w:val="20"/>
                <w:szCs w:val="20"/>
                <w:color w:val="auto"/>
              </w:rPr>
            </w:pPr>
            <w:r>
              <w:rPr>
                <w:rFonts w:ascii="Times New Roman" w:cs="Times New Roman" w:eastAsia="Times New Roman" w:hAnsi="Times New Roman"/>
                <w:sz w:val="19"/>
                <w:szCs w:val="19"/>
                <w:color w:val="auto"/>
              </w:rPr>
              <w:t>by the Supplier</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sectPr>
          <w:pgSz w:w="11900" w:h="16838" w:orient="portrait"/>
          <w:cols w:equalWidth="0" w:num="1">
            <w:col w:w="9019"/>
          </w:cols>
          <w:pgMar w:left="1440" w:top="1079" w:right="1440" w:bottom="0" w:gutter="0" w:footer="0" w:header="0"/>
        </w:sectPr>
      </w:pPr>
    </w:p>
    <w:bookmarkStart w:id="194" w:name="page195"/>
    <w:bookmarkEnd w:id="19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5" w:name="page196"/>
    <w:bookmarkEnd w:id="195"/>
    <w:p>
      <w:pPr>
        <w:ind w:left="1600"/>
        <w:spacing w:after="0"/>
        <w:rPr>
          <w:sz w:val="20"/>
          <w:szCs w:val="20"/>
          <w:color w:val="auto"/>
        </w:rPr>
      </w:pPr>
      <w:r>
        <w:rPr>
          <w:rFonts w:ascii="Times New Roman" w:cs="Times New Roman" w:eastAsia="Times New Roman" w:hAnsi="Times New Roman"/>
          <w:sz w:val="19"/>
          <w:szCs w:val="19"/>
          <w:color w:val="auto"/>
        </w:rPr>
        <w:t>Special Inventory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Shall mean any Long Lead Time</w:t>
      </w:r>
    </w:p>
    <w:p>
      <w:pPr>
        <w:spacing w:after="0" w:line="1" w:lineRule="exact"/>
        <w:rPr>
          <w:sz w:val="20"/>
          <w:szCs w:val="20"/>
          <w:color w:val="auto"/>
        </w:rPr>
      </w:pPr>
    </w:p>
    <w:p>
      <w:pPr>
        <w:sectPr>
          <w:pgSz w:w="11900" w:h="16838" w:orient="portrait"/>
          <w:cols w:equalWidth="0" w:num="2">
            <w:col w:w="3580" w:space="720"/>
            <w:col w:w="4719"/>
          </w:cols>
          <w:pgMar w:left="1440" w:top="1244" w:right="1440" w:bottom="1440" w:gutter="0" w:footer="0" w:header="0"/>
        </w:sectPr>
      </w:pPr>
    </w:p>
    <w:p>
      <w:pPr>
        <w:ind w:left="4300"/>
        <w:spacing w:after="0" w:line="201" w:lineRule="auto"/>
        <w:rPr>
          <w:sz w:val="20"/>
          <w:szCs w:val="20"/>
          <w:color w:val="auto"/>
        </w:rPr>
      </w:pPr>
      <w:r>
        <w:rPr>
          <w:rFonts w:ascii="Times New Roman" w:cs="Times New Roman" w:eastAsia="Times New Roman" w:hAnsi="Times New Roman"/>
          <w:sz w:val="19"/>
          <w:szCs w:val="19"/>
          <w:color w:val="auto"/>
        </w:rPr>
        <w:t>Materials and/or Minimum Order</w:t>
      </w:r>
    </w:p>
    <w:p>
      <w:pPr>
        <w:ind w:left="4300"/>
        <w:spacing w:after="0" w:line="217" w:lineRule="auto"/>
        <w:rPr>
          <w:sz w:val="20"/>
          <w:szCs w:val="20"/>
          <w:color w:val="auto"/>
        </w:rPr>
      </w:pPr>
      <w:r>
        <w:rPr>
          <w:rFonts w:ascii="Times New Roman" w:cs="Times New Roman" w:eastAsia="Times New Roman" w:hAnsi="Times New Roman"/>
          <w:sz w:val="19"/>
          <w:szCs w:val="19"/>
          <w:color w:val="auto"/>
        </w:rPr>
        <w:t>Inventory and/or Economic Order</w:t>
      </w:r>
    </w:p>
    <w:p>
      <w:pPr>
        <w:jc w:val="center"/>
        <w:ind w:right="-360"/>
        <w:spacing w:after="0"/>
        <w:rPr>
          <w:sz w:val="20"/>
          <w:szCs w:val="20"/>
          <w:color w:val="auto"/>
        </w:rPr>
      </w:pPr>
      <w:r>
        <w:rPr>
          <w:rFonts w:ascii="Times New Roman" w:cs="Times New Roman" w:eastAsia="Times New Roman" w:hAnsi="Times New Roman"/>
          <w:sz w:val="18"/>
          <w:szCs w:val="18"/>
          <w:color w:val="auto"/>
        </w:rPr>
        <w:t>Inventory.</w:t>
      </w:r>
    </w:p>
    <w:p>
      <w:pPr>
        <w:sectPr>
          <w:pgSz w:w="11900" w:h="16838" w:orient="portrait"/>
          <w:cols w:equalWidth="0" w:num="1">
            <w:col w:w="9019"/>
          </w:cols>
          <w:pgMar w:left="1440" w:top="1244" w:right="1440" w:bottom="1440" w:gutter="0" w:footer="0" w:header="0"/>
          <w:type w:val="continuous"/>
        </w:sectPr>
      </w:pPr>
    </w:p>
    <w:p>
      <w:pPr>
        <w:spacing w:after="0" w:line="164"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9"/>
          <w:szCs w:val="19"/>
          <w:color w:val="auto"/>
        </w:rPr>
        <w:t>Specifications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Shall have the meaning set forth in</w:t>
      </w:r>
    </w:p>
    <w:p>
      <w:pPr>
        <w:spacing w:after="0" w:line="11" w:lineRule="exact"/>
        <w:rPr>
          <w:sz w:val="20"/>
          <w:szCs w:val="20"/>
          <w:color w:val="auto"/>
        </w:rPr>
      </w:pPr>
    </w:p>
    <w:p>
      <w:pPr>
        <w:sectPr>
          <w:pgSz w:w="11900" w:h="16838" w:orient="portrait"/>
          <w:cols w:equalWidth="0" w:num="2">
            <w:col w:w="3580" w:space="720"/>
            <w:col w:w="4719"/>
          </w:cols>
          <w:pgMar w:left="1440" w:top="1244" w:right="1440" w:bottom="1440" w:gutter="0" w:footer="0" w:header="0"/>
          <w:type w:val="continuous"/>
        </w:sectPr>
      </w:pPr>
    </w:p>
    <w:p>
      <w:pPr>
        <w:ind w:left="4300"/>
        <w:spacing w:after="0"/>
        <w:rPr>
          <w:sz w:val="20"/>
          <w:szCs w:val="20"/>
          <w:color w:val="auto"/>
        </w:rPr>
      </w:pPr>
      <w:r>
        <w:rPr>
          <w:rFonts w:ascii="Times New Roman" w:cs="Times New Roman" w:eastAsia="Times New Roman" w:hAnsi="Times New Roman"/>
          <w:sz w:val="19"/>
          <w:szCs w:val="19"/>
          <w:color w:val="auto"/>
        </w:rPr>
        <w:t>Section 2.1</w:t>
      </w:r>
    </w:p>
    <w:p>
      <w:pPr>
        <w:sectPr>
          <w:pgSz w:w="11900" w:h="16838" w:orient="portrait"/>
          <w:cols w:equalWidth="0" w:num="1">
            <w:col w:w="9019"/>
          </w:cols>
          <w:pgMar w:left="1440" w:top="1244" w:right="1440" w:bottom="1440" w:gutter="0" w:footer="0" w:header="0"/>
          <w:type w:val="continuous"/>
        </w:sectPr>
      </w:pPr>
    </w:p>
    <w:p>
      <w:pPr>
        <w:spacing w:after="0" w:line="1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Work</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Shall have the meaning set forth in</w:t>
      </w:r>
    </w:p>
    <w:p>
      <w:pPr>
        <w:spacing w:after="0" w:line="11" w:lineRule="exact"/>
        <w:rPr>
          <w:sz w:val="20"/>
          <w:szCs w:val="20"/>
          <w:color w:val="auto"/>
        </w:rPr>
      </w:pPr>
    </w:p>
    <w:p>
      <w:pPr>
        <w:sectPr>
          <w:pgSz w:w="11900" w:h="16838" w:orient="portrait"/>
          <w:cols w:equalWidth="0" w:num="2">
            <w:col w:w="3580" w:space="720"/>
            <w:col w:w="4719"/>
          </w:cols>
          <w:pgMar w:left="1440" w:top="1244" w:right="1440" w:bottom="1440" w:gutter="0" w:footer="0" w:header="0"/>
          <w:type w:val="continuous"/>
        </w:sectPr>
      </w:pPr>
    </w:p>
    <w:p>
      <w:pPr>
        <w:ind w:left="4300"/>
        <w:spacing w:after="0"/>
        <w:rPr>
          <w:sz w:val="20"/>
          <w:szCs w:val="20"/>
          <w:color w:val="auto"/>
        </w:rPr>
      </w:pPr>
      <w:r>
        <w:rPr>
          <w:rFonts w:ascii="Times New Roman" w:cs="Times New Roman" w:eastAsia="Times New Roman" w:hAnsi="Times New Roman"/>
          <w:sz w:val="19"/>
          <w:szCs w:val="19"/>
          <w:color w:val="auto"/>
        </w:rPr>
        <w:t>Section 2.1</w:t>
      </w:r>
    </w:p>
    <w:p>
      <w:pPr>
        <w:sectPr>
          <w:pgSz w:w="11900" w:h="16838" w:orient="portrait"/>
          <w:cols w:equalWidth="0" w:num="1">
            <w:col w:w="9019"/>
          </w:cols>
          <w:pgMar w:left="1440" w:top="1244" w:right="1440" w:bottom="1440" w:gutter="0" w:footer="0" w:header="0"/>
          <w:type w:val="continuous"/>
        </w:sectPr>
      </w:pPr>
    </w:p>
    <w:p>
      <w:pPr>
        <w:spacing w:after="0" w:line="1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WEEE Requirements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Means any requirements, obligations,</w:t>
      </w:r>
    </w:p>
    <w:p>
      <w:pPr>
        <w:spacing w:after="0" w:line="1" w:lineRule="exact"/>
        <w:rPr>
          <w:sz w:val="20"/>
          <w:szCs w:val="20"/>
          <w:color w:val="auto"/>
        </w:rPr>
      </w:pPr>
    </w:p>
    <w:p>
      <w:pPr>
        <w:sectPr>
          <w:pgSz w:w="11900" w:h="16838" w:orient="portrait"/>
          <w:cols w:equalWidth="0" w:num="2">
            <w:col w:w="3580" w:space="720"/>
            <w:col w:w="4719"/>
          </w:cols>
          <w:pgMar w:left="1440" w:top="1244" w:right="1440" w:bottom="1440" w:gutter="0" w:footer="0" w:header="0"/>
          <w:type w:val="continuous"/>
        </w:sectPr>
      </w:pPr>
    </w:p>
    <w:p>
      <w:pPr>
        <w:ind w:left="4300"/>
        <w:spacing w:after="0" w:line="201" w:lineRule="auto"/>
        <w:rPr>
          <w:sz w:val="20"/>
          <w:szCs w:val="20"/>
          <w:color w:val="auto"/>
        </w:rPr>
      </w:pPr>
      <w:r>
        <w:rPr>
          <w:rFonts w:ascii="Times New Roman" w:cs="Times New Roman" w:eastAsia="Times New Roman" w:hAnsi="Times New Roman"/>
          <w:sz w:val="19"/>
          <w:szCs w:val="19"/>
          <w:color w:val="auto"/>
        </w:rPr>
        <w:t>standards, duties or responsibilities</w:t>
      </w:r>
    </w:p>
    <w:p>
      <w:pPr>
        <w:ind w:left="4300"/>
        <w:spacing w:after="0" w:line="217" w:lineRule="auto"/>
        <w:rPr>
          <w:sz w:val="20"/>
          <w:szCs w:val="20"/>
          <w:color w:val="auto"/>
        </w:rPr>
      </w:pPr>
      <w:r>
        <w:rPr>
          <w:rFonts w:ascii="Times New Roman" w:cs="Times New Roman" w:eastAsia="Times New Roman" w:hAnsi="Times New Roman"/>
          <w:sz w:val="19"/>
          <w:szCs w:val="19"/>
          <w:color w:val="auto"/>
        </w:rPr>
        <w:t>pursuant to any environmental, product</w:t>
      </w:r>
    </w:p>
    <w:p>
      <w:pPr>
        <w:ind w:left="4300"/>
        <w:spacing w:after="0" w:line="216" w:lineRule="auto"/>
        <w:rPr>
          <w:sz w:val="20"/>
          <w:szCs w:val="20"/>
          <w:color w:val="auto"/>
        </w:rPr>
      </w:pPr>
      <w:r>
        <w:rPr>
          <w:rFonts w:ascii="Times New Roman" w:cs="Times New Roman" w:eastAsia="Times New Roman" w:hAnsi="Times New Roman"/>
          <w:sz w:val="19"/>
          <w:szCs w:val="19"/>
          <w:color w:val="auto"/>
        </w:rPr>
        <w:t>or packaging recycling, reuse or waste</w:t>
      </w:r>
    </w:p>
    <w:p>
      <w:pPr>
        <w:ind w:left="4300"/>
        <w:spacing w:after="0" w:line="201" w:lineRule="auto"/>
        <w:rPr>
          <w:sz w:val="20"/>
          <w:szCs w:val="20"/>
          <w:color w:val="auto"/>
        </w:rPr>
      </w:pPr>
      <w:r>
        <w:rPr>
          <w:rFonts w:ascii="Times New Roman" w:cs="Times New Roman" w:eastAsia="Times New Roman" w:hAnsi="Times New Roman"/>
          <w:sz w:val="19"/>
          <w:szCs w:val="19"/>
          <w:color w:val="auto"/>
        </w:rPr>
        <w:t>Laws and any regulations, interpretive</w:t>
      </w:r>
    </w:p>
    <w:p>
      <w:pPr>
        <w:ind w:left="4300"/>
        <w:spacing w:after="0" w:line="216" w:lineRule="auto"/>
        <w:rPr>
          <w:sz w:val="20"/>
          <w:szCs w:val="20"/>
          <w:color w:val="auto"/>
        </w:rPr>
      </w:pPr>
      <w:r>
        <w:rPr>
          <w:rFonts w:ascii="Times New Roman" w:cs="Times New Roman" w:eastAsia="Times New Roman" w:hAnsi="Times New Roman"/>
          <w:sz w:val="19"/>
          <w:szCs w:val="19"/>
          <w:color w:val="auto"/>
        </w:rPr>
        <w:t>guidance or enforcement policies</w:t>
      </w:r>
    </w:p>
    <w:p>
      <w:pPr>
        <w:ind w:left="4300"/>
        <w:spacing w:after="0" w:line="216" w:lineRule="auto"/>
        <w:rPr>
          <w:sz w:val="20"/>
          <w:szCs w:val="20"/>
          <w:color w:val="auto"/>
        </w:rPr>
      </w:pPr>
      <w:r>
        <w:rPr>
          <w:rFonts w:ascii="Times New Roman" w:cs="Times New Roman" w:eastAsia="Times New Roman" w:hAnsi="Times New Roman"/>
          <w:sz w:val="19"/>
          <w:szCs w:val="19"/>
          <w:color w:val="auto"/>
        </w:rPr>
        <w:t>relating to any of the foregoing,</w:t>
      </w:r>
    </w:p>
    <w:p>
      <w:pPr>
        <w:ind w:left="4300"/>
        <w:spacing w:after="0" w:line="202" w:lineRule="auto"/>
        <w:rPr>
          <w:sz w:val="20"/>
          <w:szCs w:val="20"/>
          <w:color w:val="auto"/>
        </w:rPr>
      </w:pPr>
      <w:r>
        <w:rPr>
          <w:rFonts w:ascii="Times New Roman" w:cs="Times New Roman" w:eastAsia="Times New Roman" w:hAnsi="Times New Roman"/>
          <w:sz w:val="19"/>
          <w:szCs w:val="19"/>
          <w:color w:val="auto"/>
        </w:rPr>
        <w:t>including the WEEE directive,</w:t>
      </w:r>
    </w:p>
    <w:p>
      <w:pPr>
        <w:ind w:left="4300"/>
        <w:spacing w:after="0" w:line="216" w:lineRule="auto"/>
        <w:rPr>
          <w:sz w:val="20"/>
          <w:szCs w:val="20"/>
          <w:color w:val="auto"/>
        </w:rPr>
      </w:pPr>
      <w:r>
        <w:rPr>
          <w:rFonts w:ascii="Times New Roman" w:cs="Times New Roman" w:eastAsia="Times New Roman" w:hAnsi="Times New Roman"/>
          <w:sz w:val="19"/>
          <w:szCs w:val="19"/>
          <w:color w:val="auto"/>
        </w:rPr>
        <w:t>California RoHS or other similar or</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related Laws.</w:t>
      </w:r>
    </w:p>
    <w:p>
      <w:pPr>
        <w:sectPr>
          <w:pgSz w:w="11900" w:h="16838" w:orient="portrait"/>
          <w:cols w:equalWidth="0" w:num="1">
            <w:col w:w="9019"/>
          </w:cols>
          <w:pgMar w:left="1440" w:top="1244" w:right="1440" w:bottom="1440" w:gutter="0" w:footer="0" w:header="0"/>
          <w:type w:val="continuous"/>
        </w:sectPr>
      </w:pPr>
    </w:p>
    <w:bookmarkStart w:id="196" w:name="page197"/>
    <w:bookmarkEnd w:id="196"/>
    <w:p>
      <w:pPr>
        <w:spacing w:after="0" w:line="14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9"/>
          <w:szCs w:val="19"/>
          <w:b w:val="1"/>
          <w:bCs w:val="1"/>
          <w:color w:val="151515"/>
        </w:rPr>
        <w:t>EXHIBIT B</w:t>
      </w:r>
    </w:p>
    <w:p>
      <w:pPr>
        <w:spacing w:after="0" w:line="11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9"/>
          <w:szCs w:val="19"/>
          <w:color w:val="151515"/>
        </w:rPr>
        <w:t>SPECIFICATIONS</w:t>
      </w:r>
    </w:p>
    <w:p>
      <w:pPr>
        <w:spacing w:after="0" w:line="136" w:lineRule="exact"/>
        <w:rPr>
          <w:sz w:val="20"/>
          <w:szCs w:val="20"/>
          <w:color w:val="auto"/>
        </w:rPr>
      </w:pPr>
    </w:p>
    <w:p>
      <w:pPr>
        <w:jc w:val="both"/>
        <w:ind w:left="120" w:right="579"/>
        <w:spacing w:after="0" w:line="280" w:lineRule="auto"/>
        <w:rPr>
          <w:sz w:val="20"/>
          <w:szCs w:val="20"/>
          <w:color w:val="auto"/>
        </w:rPr>
      </w:pPr>
      <w:r>
        <w:rPr>
          <w:rFonts w:ascii="Times New Roman" w:cs="Times New Roman" w:eastAsia="Times New Roman" w:hAnsi="Times New Roman"/>
          <w:sz w:val="19"/>
          <w:szCs w:val="19"/>
          <w:color w:val="151515"/>
        </w:rPr>
        <w:t>The Supplier shall perform the Work to the satisfaction of Enphase, according to the Specifications listed in the relevant document, as outlined in the table below. Enphase reserves the right to update this table from time to time and shall notify the Supplier thirty (30) days in advance of such updates, and upon such notification, these Specifications will be deemed to be updated.</w:t>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72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19"/>
                <w:szCs w:val="19"/>
                <w:b w:val="1"/>
                <w:bCs w:val="1"/>
                <w:color w:val="auto"/>
              </w:rPr>
              <w:t>Products (as</w:t>
            </w:r>
          </w:p>
        </w:tc>
        <w:tc>
          <w:tcPr>
            <w:tcW w:w="344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19"/>
                <w:szCs w:val="19"/>
                <w:b w:val="1"/>
                <w:bCs w:val="1"/>
                <w:color w:val="auto"/>
              </w:rPr>
              <w:t>Document</w:t>
            </w:r>
          </w:p>
        </w:tc>
        <w:tc>
          <w:tcPr>
            <w:tcW w:w="17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9"/>
                <w:szCs w:val="19"/>
                <w:b w:val="1"/>
                <w:bCs w:val="1"/>
                <w:color w:val="auto"/>
              </w:rPr>
              <w:t>Document</w:t>
            </w:r>
          </w:p>
        </w:tc>
        <w:tc>
          <w:tcPr>
            <w:tcW w:w="200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19"/>
                <w:szCs w:val="19"/>
                <w:b w:val="1"/>
                <w:bCs w:val="1"/>
                <w:color w:val="auto"/>
              </w:rPr>
              <w:t>Comment</w:t>
            </w: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vMerge w:val="restart"/>
          </w:tcPr>
          <w:p>
            <w:pPr>
              <w:jc w:val="center"/>
              <w:spacing w:after="0" w:line="231" w:lineRule="exact"/>
              <w:rPr>
                <w:sz w:val="20"/>
                <w:szCs w:val="20"/>
                <w:color w:val="auto"/>
              </w:rPr>
            </w:pPr>
            <w:r>
              <w:rPr>
                <w:rFonts w:ascii="Calibri" w:cs="Calibri" w:eastAsia="Calibri" w:hAnsi="Calibri"/>
                <w:sz w:val="19"/>
                <w:szCs w:val="19"/>
                <w:b w:val="1"/>
                <w:bCs w:val="1"/>
                <w:color w:val="auto"/>
              </w:rPr>
              <w:t>applicable)</w:t>
            </w:r>
          </w:p>
        </w:tc>
        <w:tc>
          <w:tcPr>
            <w:tcW w:w="344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jc w:val="center"/>
              <w:spacing w:after="0" w:line="231" w:lineRule="exact"/>
              <w:rPr>
                <w:sz w:val="20"/>
                <w:szCs w:val="20"/>
                <w:color w:val="auto"/>
              </w:rPr>
            </w:pPr>
            <w:r>
              <w:rPr>
                <w:rFonts w:ascii="Calibri" w:cs="Calibri" w:eastAsia="Calibri" w:hAnsi="Calibri"/>
                <w:sz w:val="19"/>
                <w:szCs w:val="19"/>
                <w:b w:val="1"/>
                <w:bCs w:val="1"/>
                <w:color w:val="auto"/>
              </w:rPr>
              <w:t>Number</w:t>
            </w:r>
          </w:p>
        </w:tc>
        <w:tc>
          <w:tcPr>
            <w:tcW w:w="2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720" w:type="dxa"/>
            <w:vAlign w:val="bottom"/>
            <w:tcBorders>
              <w:left w:val="single" w:sz="8" w:color="auto"/>
              <w:right w:val="single" w:sz="8" w:color="auto"/>
            </w:tcBorders>
            <w:vMerge w:val="continue"/>
          </w:tcPr>
          <w:p>
            <w:pPr>
              <w:spacing w:after="0"/>
              <w:rPr>
                <w:sz w:val="11"/>
                <w:szCs w:val="11"/>
                <w:color w:val="auto"/>
              </w:rPr>
            </w:pPr>
          </w:p>
        </w:tc>
        <w:tc>
          <w:tcPr>
            <w:tcW w:w="3440" w:type="dxa"/>
            <w:vAlign w:val="bottom"/>
            <w:tcBorders>
              <w:right w:val="single" w:sz="8" w:color="auto"/>
            </w:tcBorders>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2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720" w:type="dxa"/>
            <w:vAlign w:val="bottom"/>
            <w:tcBorders>
              <w:left w:val="single" w:sz="8" w:color="auto"/>
              <w:right w:val="single" w:sz="8" w:color="auto"/>
            </w:tcBorders>
          </w:tcPr>
          <w:p>
            <w:pPr>
              <w:spacing w:after="0"/>
              <w:rPr>
                <w:sz w:val="20"/>
                <w:szCs w:val="20"/>
                <w:color w:val="auto"/>
              </w:rPr>
            </w:pPr>
          </w:p>
        </w:tc>
        <w:tc>
          <w:tcPr>
            <w:tcW w:w="34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w:t>
            </w:r>
          </w:p>
        </w:tc>
        <w:tc>
          <w:tcPr>
            <w:tcW w:w="17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w:t>
            </w:r>
          </w:p>
        </w:tc>
        <w:tc>
          <w:tcPr>
            <w:tcW w:w="20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w:t>
            </w:r>
          </w:p>
        </w:tc>
        <w:tc>
          <w:tcPr>
            <w:tcW w:w="0" w:type="dxa"/>
            <w:vAlign w:val="bottom"/>
          </w:tcPr>
          <w:p>
            <w:pPr>
              <w:spacing w:after="0"/>
              <w:rPr>
                <w:sz w:val="1"/>
                <w:szCs w:val="1"/>
                <w:color w:val="auto"/>
              </w:rPr>
            </w:pPr>
          </w:p>
        </w:tc>
      </w:tr>
      <w:tr>
        <w:trPr>
          <w:trHeight w:val="24"/>
        </w:trPr>
        <w:tc>
          <w:tcPr>
            <w:tcW w:w="1720" w:type="dxa"/>
            <w:vAlign w:val="bottom"/>
            <w:tcBorders>
              <w:left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w:t>
            </w:r>
          </w:p>
        </w:tc>
        <w:tc>
          <w:tcPr>
            <w:tcW w:w="0" w:type="dxa"/>
            <w:vAlign w:val="bottom"/>
          </w:tcPr>
          <w:p>
            <w:pPr>
              <w:spacing w:after="0"/>
              <w:rPr>
                <w:sz w:val="1"/>
                <w:szCs w:val="1"/>
                <w:color w:val="auto"/>
              </w:rPr>
            </w:pPr>
          </w:p>
        </w:tc>
      </w:tr>
      <w:tr>
        <w:trPr>
          <w:trHeight w:val="460"/>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34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w:t>
            </w:r>
          </w:p>
        </w:tc>
        <w:tc>
          <w:tcPr>
            <w:tcW w:w="17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w:t>
            </w:r>
          </w:p>
        </w:tc>
        <w:tc>
          <w:tcPr>
            <w:tcW w:w="20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w:t>
            </w:r>
          </w:p>
        </w:tc>
        <w:tc>
          <w:tcPr>
            <w:tcW w:w="0" w:type="dxa"/>
            <w:vAlign w:val="bottom"/>
          </w:tcPr>
          <w:p>
            <w:pPr>
              <w:spacing w:after="0"/>
              <w:rPr>
                <w:sz w:val="1"/>
                <w:szCs w:val="1"/>
                <w:color w:val="auto"/>
              </w:rPr>
            </w:pPr>
          </w:p>
        </w:tc>
      </w:tr>
      <w:tr>
        <w:trPr>
          <w:trHeight w:val="52"/>
        </w:trPr>
        <w:tc>
          <w:tcPr>
            <w:tcW w:w="1720" w:type="dxa"/>
            <w:vAlign w:val="bottom"/>
            <w:tcBorders>
              <w:left w:val="single" w:sz="8" w:color="auto"/>
              <w:right w:val="single" w:sz="8" w:color="auto"/>
            </w:tcBorders>
            <w:vMerge w:val="continue"/>
          </w:tcPr>
          <w:p>
            <w:pPr>
              <w:spacing w:after="0"/>
              <w:rPr>
                <w:sz w:val="4"/>
                <w:szCs w:val="4"/>
                <w:color w:val="auto"/>
              </w:rPr>
            </w:pPr>
          </w:p>
        </w:tc>
        <w:tc>
          <w:tcPr>
            <w:tcW w:w="3440" w:type="dxa"/>
            <w:vAlign w:val="bottom"/>
            <w:tcBorders>
              <w:right w:val="single" w:sz="8" w:color="auto"/>
            </w:tcBorders>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1720" w:type="dxa"/>
            <w:vAlign w:val="bottom"/>
            <w:tcBorders>
              <w:left w:val="single" w:sz="8" w:color="auto"/>
              <w:right w:val="single" w:sz="8" w:color="auto"/>
            </w:tcBorders>
          </w:tcPr>
          <w:p>
            <w:pPr>
              <w:spacing w:after="0"/>
              <w:rPr>
                <w:sz w:val="5"/>
                <w:szCs w:val="5"/>
                <w:color w:val="auto"/>
              </w:rPr>
            </w:pPr>
          </w:p>
        </w:tc>
        <w:tc>
          <w:tcPr>
            <w:tcW w:w="3440" w:type="dxa"/>
            <w:vAlign w:val="bottom"/>
            <w:tcBorders>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89"/>
        </w:trPr>
        <w:tc>
          <w:tcPr>
            <w:tcW w:w="1720" w:type="dxa"/>
            <w:vAlign w:val="bottom"/>
            <w:tcBorders>
              <w:left w:val="single" w:sz="8" w:color="auto"/>
              <w:right w:val="single" w:sz="8" w:color="auto"/>
            </w:tcBorders>
          </w:tcPr>
          <w:p>
            <w:pPr>
              <w:spacing w:after="0"/>
              <w:rPr>
                <w:sz w:val="24"/>
                <w:szCs w:val="24"/>
                <w:color w:val="auto"/>
              </w:rPr>
            </w:pPr>
          </w:p>
        </w:tc>
        <w:tc>
          <w:tcPr>
            <w:tcW w:w="3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17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w:t>
            </w:r>
          </w:p>
        </w:tc>
        <w:tc>
          <w:tcPr>
            <w:tcW w:w="20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0" w:type="dxa"/>
            <w:vAlign w:val="bottom"/>
          </w:tcPr>
          <w:p>
            <w:pPr>
              <w:spacing w:after="0"/>
              <w:rPr>
                <w:sz w:val="1"/>
                <w:szCs w:val="1"/>
                <w:color w:val="auto"/>
              </w:rPr>
            </w:pPr>
          </w:p>
        </w:tc>
      </w:tr>
      <w:tr>
        <w:trPr>
          <w:trHeight w:val="131"/>
        </w:trPr>
        <w:tc>
          <w:tcPr>
            <w:tcW w:w="1720" w:type="dxa"/>
            <w:vAlign w:val="bottom"/>
            <w:tcBorders>
              <w:left w:val="single" w:sz="8" w:color="auto"/>
              <w:right w:val="single" w:sz="8" w:color="auto"/>
            </w:tcBorders>
          </w:tcPr>
          <w:p>
            <w:pPr>
              <w:spacing w:after="0"/>
              <w:rPr>
                <w:sz w:val="11"/>
                <w:szCs w:val="11"/>
                <w:color w:val="auto"/>
              </w:rPr>
            </w:pPr>
          </w:p>
        </w:tc>
        <w:tc>
          <w:tcPr>
            <w:tcW w:w="344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2"/>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720" w:type="dxa"/>
            <w:vAlign w:val="bottom"/>
            <w:tcBorders>
              <w:left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w:t>
            </w:r>
          </w:p>
        </w:tc>
        <w:tc>
          <w:tcPr>
            <w:tcW w:w="3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20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tcPr>
          <w:p>
            <w:pPr>
              <w:spacing w:after="0"/>
              <w:rPr>
                <w:sz w:val="14"/>
                <w:szCs w:val="14"/>
                <w:color w:val="auto"/>
              </w:rPr>
            </w:pPr>
          </w:p>
        </w:tc>
        <w:tc>
          <w:tcPr>
            <w:tcW w:w="3440" w:type="dxa"/>
            <w:vAlign w:val="bottom"/>
            <w:tcBorders>
              <w:right w:val="single" w:sz="8" w:color="auto"/>
            </w:tcBorders>
            <w:vMerge w:val="continue"/>
          </w:tcPr>
          <w:p>
            <w:pPr>
              <w:spacing w:after="0"/>
              <w:rPr>
                <w:sz w:val="14"/>
                <w:szCs w:val="14"/>
                <w:color w:val="auto"/>
              </w:rPr>
            </w:pPr>
          </w:p>
        </w:tc>
        <w:tc>
          <w:tcPr>
            <w:tcW w:w="1760" w:type="dxa"/>
            <w:vAlign w:val="bottom"/>
            <w:tcBorders>
              <w:right w:val="single" w:sz="8" w:color="auto"/>
            </w:tcBorders>
            <w:vMerge w:val="continue"/>
          </w:tcPr>
          <w:p>
            <w:pPr>
              <w:spacing w:after="0"/>
              <w:rPr>
                <w:sz w:val="14"/>
                <w:szCs w:val="14"/>
                <w:color w:val="auto"/>
              </w:rPr>
            </w:pPr>
          </w:p>
        </w:tc>
        <w:tc>
          <w:tcPr>
            <w:tcW w:w="20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20" w:type="dxa"/>
            <w:vAlign w:val="bottom"/>
            <w:tcBorders>
              <w:left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w:t>
            </w:r>
          </w:p>
        </w:tc>
        <w:tc>
          <w:tcPr>
            <w:tcW w:w="3440" w:type="dxa"/>
            <w:vAlign w:val="bottom"/>
            <w:tcBorders>
              <w:right w:val="single" w:sz="8" w:color="auto"/>
            </w:tcBorders>
            <w:vMerge w:val="restart"/>
          </w:tcPr>
          <w:p>
            <w:pPr>
              <w:jc w:val="right"/>
              <w:ind w:right="2092"/>
              <w:spacing w:after="0"/>
              <w:rPr>
                <w:sz w:val="20"/>
                <w:szCs w:val="20"/>
                <w:color w:val="auto"/>
              </w:rPr>
            </w:pPr>
            <w:r>
              <w:rPr>
                <w:rFonts w:ascii="Calibri" w:cs="Calibri" w:eastAsia="Calibri" w:hAnsi="Calibri"/>
                <w:sz w:val="17"/>
                <w:szCs w:val="17"/>
                <w:b w:val="1"/>
                <w:bCs w:val="1"/>
                <w:color w:val="auto"/>
              </w:rPr>
              <w:t>[*]</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2000" w:type="dxa"/>
            <w:vAlign w:val="bottom"/>
            <w:tcBorders>
              <w:right w:val="single" w:sz="8" w:color="auto"/>
            </w:tcBorders>
            <w:vMerge w:val="restart"/>
          </w:tcPr>
          <w:p>
            <w:pPr>
              <w:jc w:val="right"/>
              <w:ind w:right="1012"/>
              <w:spacing w:after="0"/>
              <w:rPr>
                <w:sz w:val="20"/>
                <w:szCs w:val="20"/>
                <w:color w:val="auto"/>
              </w:rPr>
            </w:pPr>
            <w:r>
              <w:rPr>
                <w:rFonts w:ascii="Calibri" w:cs="Calibri" w:eastAsia="Calibri" w:hAnsi="Calibri"/>
                <w:sz w:val="17"/>
                <w:szCs w:val="17"/>
                <w:b w:val="1"/>
                <w:bCs w:val="1"/>
                <w:color w:val="auto"/>
              </w:rPr>
              <w:t>[*]</w:t>
            </w: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tcPr>
          <w:p>
            <w:pPr>
              <w:spacing w:after="0"/>
              <w:rPr>
                <w:sz w:val="8"/>
                <w:szCs w:val="8"/>
                <w:color w:val="auto"/>
              </w:rPr>
            </w:pPr>
          </w:p>
        </w:tc>
        <w:tc>
          <w:tcPr>
            <w:tcW w:w="344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720" w:type="dxa"/>
            <w:vAlign w:val="bottom"/>
            <w:tcBorders>
              <w:left w:val="single" w:sz="8" w:color="auto"/>
              <w:right w:val="single" w:sz="8" w:color="auto"/>
            </w:tcBorders>
          </w:tcPr>
          <w:p>
            <w:pPr>
              <w:spacing w:after="0"/>
              <w:rPr>
                <w:sz w:val="5"/>
                <w:szCs w:val="5"/>
                <w:color w:val="auto"/>
              </w:rPr>
            </w:pPr>
          </w:p>
        </w:tc>
        <w:tc>
          <w:tcPr>
            <w:tcW w:w="3440" w:type="dxa"/>
            <w:vAlign w:val="bottom"/>
            <w:tcBorders>
              <w:right w:val="single" w:sz="8" w:color="auto"/>
            </w:tcBorders>
          </w:tcPr>
          <w:p>
            <w:pPr>
              <w:spacing w:after="0"/>
              <w:rPr>
                <w:sz w:val="5"/>
                <w:szCs w:val="5"/>
                <w:color w:val="auto"/>
              </w:rPr>
            </w:pPr>
          </w:p>
        </w:tc>
        <w:tc>
          <w:tcPr>
            <w:tcW w:w="1760" w:type="dxa"/>
            <w:vAlign w:val="bottom"/>
            <w:tcBorders>
              <w:right w:val="single" w:sz="8" w:color="auto"/>
            </w:tcBorders>
            <w:vMerge w:val="continue"/>
          </w:tcPr>
          <w:p>
            <w:pPr>
              <w:spacing w:after="0"/>
              <w:rPr>
                <w:sz w:val="5"/>
                <w:szCs w:val="5"/>
                <w:color w:val="auto"/>
              </w:rPr>
            </w:pPr>
          </w:p>
        </w:tc>
        <w:tc>
          <w:tcPr>
            <w:tcW w:w="20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20" w:type="dxa"/>
            <w:vAlign w:val="bottom"/>
            <w:tcBorders>
              <w:left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w:t>
            </w:r>
          </w:p>
        </w:tc>
        <w:tc>
          <w:tcPr>
            <w:tcW w:w="3440" w:type="dxa"/>
            <w:vAlign w:val="bottom"/>
            <w:tcBorders>
              <w:right w:val="single" w:sz="8" w:color="auto"/>
            </w:tcBorders>
            <w:vMerge w:val="restart"/>
          </w:tcPr>
          <w:p>
            <w:pPr>
              <w:jc w:val="right"/>
              <w:ind w:right="2032"/>
              <w:spacing w:after="0"/>
              <w:rPr>
                <w:sz w:val="20"/>
                <w:szCs w:val="20"/>
                <w:color w:val="auto"/>
              </w:rPr>
            </w:pPr>
            <w:r>
              <w:rPr>
                <w:rFonts w:ascii="Calibri" w:cs="Calibri" w:eastAsia="Calibri" w:hAnsi="Calibri"/>
                <w:sz w:val="17"/>
                <w:szCs w:val="17"/>
                <w:b w:val="1"/>
                <w:bCs w:val="1"/>
                <w:color w:val="auto"/>
              </w:rPr>
              <w:t>[*]</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20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tcPr>
          <w:p>
            <w:pPr>
              <w:spacing w:after="0"/>
              <w:rPr>
                <w:sz w:val="8"/>
                <w:szCs w:val="8"/>
                <w:color w:val="auto"/>
              </w:rPr>
            </w:pPr>
          </w:p>
        </w:tc>
        <w:tc>
          <w:tcPr>
            <w:tcW w:w="344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720" w:type="dxa"/>
            <w:vAlign w:val="bottom"/>
            <w:tcBorders>
              <w:left w:val="single" w:sz="8" w:color="auto"/>
              <w:right w:val="single" w:sz="8" w:color="auto"/>
            </w:tcBorders>
          </w:tcPr>
          <w:p>
            <w:pPr>
              <w:spacing w:after="0"/>
              <w:rPr>
                <w:sz w:val="5"/>
                <w:szCs w:val="5"/>
                <w:color w:val="auto"/>
              </w:rPr>
            </w:pPr>
          </w:p>
        </w:tc>
        <w:tc>
          <w:tcPr>
            <w:tcW w:w="3440" w:type="dxa"/>
            <w:vAlign w:val="bottom"/>
            <w:tcBorders>
              <w:right w:val="single" w:sz="8" w:color="auto"/>
            </w:tcBorders>
          </w:tcPr>
          <w:p>
            <w:pPr>
              <w:spacing w:after="0"/>
              <w:rPr>
                <w:sz w:val="5"/>
                <w:szCs w:val="5"/>
                <w:color w:val="auto"/>
              </w:rPr>
            </w:pPr>
          </w:p>
        </w:tc>
        <w:tc>
          <w:tcPr>
            <w:tcW w:w="1760" w:type="dxa"/>
            <w:vAlign w:val="bottom"/>
            <w:tcBorders>
              <w:right w:val="single" w:sz="8" w:color="auto"/>
            </w:tcBorders>
            <w:vMerge w:val="continue"/>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20" w:type="dxa"/>
            <w:vAlign w:val="bottom"/>
            <w:tcBorders>
              <w:left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w:t>
            </w:r>
          </w:p>
        </w:tc>
        <w:tc>
          <w:tcPr>
            <w:tcW w:w="3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20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tcPr>
          <w:p>
            <w:pPr>
              <w:spacing w:after="0"/>
              <w:rPr>
                <w:sz w:val="14"/>
                <w:szCs w:val="14"/>
                <w:color w:val="auto"/>
              </w:rPr>
            </w:pPr>
          </w:p>
        </w:tc>
        <w:tc>
          <w:tcPr>
            <w:tcW w:w="3440" w:type="dxa"/>
            <w:vAlign w:val="bottom"/>
            <w:tcBorders>
              <w:right w:val="single" w:sz="8" w:color="auto"/>
            </w:tcBorders>
            <w:vMerge w:val="continue"/>
          </w:tcPr>
          <w:p>
            <w:pPr>
              <w:spacing w:after="0"/>
              <w:rPr>
                <w:sz w:val="14"/>
                <w:szCs w:val="14"/>
                <w:color w:val="auto"/>
              </w:rPr>
            </w:pPr>
          </w:p>
        </w:tc>
        <w:tc>
          <w:tcPr>
            <w:tcW w:w="1760" w:type="dxa"/>
            <w:vAlign w:val="bottom"/>
            <w:tcBorders>
              <w:right w:val="single" w:sz="8" w:color="auto"/>
            </w:tcBorders>
            <w:vMerge w:val="continue"/>
          </w:tcPr>
          <w:p>
            <w:pPr>
              <w:spacing w:after="0"/>
              <w:rPr>
                <w:sz w:val="14"/>
                <w:szCs w:val="14"/>
                <w:color w:val="auto"/>
              </w:rPr>
            </w:pPr>
          </w:p>
        </w:tc>
        <w:tc>
          <w:tcPr>
            <w:tcW w:w="20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20" w:type="dxa"/>
            <w:vAlign w:val="bottom"/>
            <w:tcBorders>
              <w:left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w:t>
            </w:r>
          </w:p>
        </w:tc>
        <w:tc>
          <w:tcPr>
            <w:tcW w:w="3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2000" w:type="dxa"/>
            <w:vAlign w:val="bottom"/>
            <w:tcBorders>
              <w:right w:val="single" w:sz="8" w:color="auto"/>
            </w:tcBorders>
            <w:vMerge w:val="restart"/>
          </w:tcPr>
          <w:p>
            <w:pPr>
              <w:jc w:val="right"/>
              <w:ind w:right="972"/>
              <w:spacing w:after="0"/>
              <w:rPr>
                <w:sz w:val="20"/>
                <w:szCs w:val="20"/>
                <w:color w:val="auto"/>
              </w:rPr>
            </w:pPr>
            <w:r>
              <w:rPr>
                <w:rFonts w:ascii="Calibri" w:cs="Calibri" w:eastAsia="Calibri" w:hAnsi="Calibri"/>
                <w:sz w:val="17"/>
                <w:szCs w:val="17"/>
                <w:b w:val="1"/>
                <w:bCs w:val="1"/>
                <w:color w:val="auto"/>
              </w:rPr>
              <w:t>[*]</w:t>
            </w: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tcPr>
          <w:p>
            <w:pPr>
              <w:spacing w:after="0"/>
              <w:rPr>
                <w:sz w:val="8"/>
                <w:szCs w:val="8"/>
                <w:color w:val="auto"/>
              </w:rPr>
            </w:pPr>
          </w:p>
        </w:tc>
        <w:tc>
          <w:tcPr>
            <w:tcW w:w="344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720" w:type="dxa"/>
            <w:vAlign w:val="bottom"/>
            <w:tcBorders>
              <w:left w:val="single" w:sz="8" w:color="auto"/>
              <w:right w:val="single" w:sz="8" w:color="auto"/>
            </w:tcBorders>
          </w:tcPr>
          <w:p>
            <w:pPr>
              <w:spacing w:after="0"/>
              <w:rPr>
                <w:sz w:val="5"/>
                <w:szCs w:val="5"/>
                <w:color w:val="auto"/>
              </w:rPr>
            </w:pPr>
          </w:p>
        </w:tc>
        <w:tc>
          <w:tcPr>
            <w:tcW w:w="3440" w:type="dxa"/>
            <w:vAlign w:val="bottom"/>
            <w:tcBorders>
              <w:right w:val="single" w:sz="8" w:color="auto"/>
            </w:tcBorders>
            <w:vMerge w:val="continue"/>
          </w:tcPr>
          <w:p>
            <w:pPr>
              <w:spacing w:after="0"/>
              <w:rPr>
                <w:sz w:val="5"/>
                <w:szCs w:val="5"/>
                <w:color w:val="auto"/>
              </w:rPr>
            </w:pPr>
          </w:p>
        </w:tc>
        <w:tc>
          <w:tcPr>
            <w:tcW w:w="1760" w:type="dxa"/>
            <w:vAlign w:val="bottom"/>
            <w:tcBorders>
              <w:right w:val="single" w:sz="8" w:color="auto"/>
            </w:tcBorders>
            <w:vMerge w:val="continue"/>
          </w:tcPr>
          <w:p>
            <w:pPr>
              <w:spacing w:after="0"/>
              <w:rPr>
                <w:sz w:val="5"/>
                <w:szCs w:val="5"/>
                <w:color w:val="auto"/>
              </w:rPr>
            </w:pPr>
          </w:p>
        </w:tc>
        <w:tc>
          <w:tcPr>
            <w:tcW w:w="20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3440" w:type="dxa"/>
            <w:vAlign w:val="bottom"/>
            <w:tcBorders>
              <w:right w:val="single" w:sz="8" w:color="auto"/>
            </w:tcBorders>
          </w:tcPr>
          <w:p>
            <w:pPr>
              <w:jc w:val="right"/>
              <w:ind w:right="2432"/>
              <w:spacing w:after="0"/>
              <w:rPr>
                <w:sz w:val="20"/>
                <w:szCs w:val="20"/>
                <w:color w:val="auto"/>
              </w:rPr>
            </w:pPr>
            <w:r>
              <w:rPr>
                <w:rFonts w:ascii="Calibri" w:cs="Calibri" w:eastAsia="Calibri" w:hAnsi="Calibri"/>
                <w:sz w:val="17"/>
                <w:szCs w:val="17"/>
                <w:b w:val="1"/>
                <w:bCs w:val="1"/>
                <w:color w:val="auto"/>
              </w:rPr>
              <w:t>[*]</w:t>
            </w:r>
          </w:p>
        </w:tc>
        <w:tc>
          <w:tcPr>
            <w:tcW w:w="17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w:t>
            </w: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720" w:type="dxa"/>
            <w:vAlign w:val="bottom"/>
            <w:tcBorders>
              <w:left w:val="single" w:sz="8" w:color="auto"/>
              <w:right w:val="single" w:sz="8" w:color="auto"/>
            </w:tcBorders>
            <w:vMerge w:val="continue"/>
          </w:tcPr>
          <w:p>
            <w:pPr>
              <w:spacing w:after="0"/>
              <w:rPr>
                <w:sz w:val="7"/>
                <w:szCs w:val="7"/>
                <w:color w:val="auto"/>
              </w:rPr>
            </w:pPr>
          </w:p>
        </w:tc>
        <w:tc>
          <w:tcPr>
            <w:tcW w:w="3440" w:type="dxa"/>
            <w:vAlign w:val="bottom"/>
            <w:tcBorders>
              <w:right w:val="single" w:sz="8" w:color="auto"/>
            </w:tcBorders>
          </w:tcPr>
          <w:p>
            <w:pPr>
              <w:spacing w:after="0"/>
              <w:rPr>
                <w:sz w:val="7"/>
                <w:szCs w:val="7"/>
                <w:color w:val="auto"/>
              </w:rPr>
            </w:pPr>
          </w:p>
        </w:tc>
        <w:tc>
          <w:tcPr>
            <w:tcW w:w="1760" w:type="dxa"/>
            <w:vAlign w:val="bottom"/>
            <w:tcBorders>
              <w:right w:val="single" w:sz="8" w:color="auto"/>
            </w:tcBorders>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3440" w:type="dxa"/>
            <w:vAlign w:val="bottom"/>
            <w:tcBorders>
              <w:right w:val="single" w:sz="8" w:color="auto"/>
            </w:tcBorders>
          </w:tcPr>
          <w:p>
            <w:pPr>
              <w:jc w:val="right"/>
              <w:ind w:right="2052"/>
              <w:spacing w:after="0"/>
              <w:rPr>
                <w:sz w:val="20"/>
                <w:szCs w:val="20"/>
                <w:color w:val="auto"/>
              </w:rPr>
            </w:pPr>
            <w:r>
              <w:rPr>
                <w:rFonts w:ascii="Calibri" w:cs="Calibri" w:eastAsia="Calibri" w:hAnsi="Calibri"/>
                <w:sz w:val="17"/>
                <w:szCs w:val="17"/>
                <w:b w:val="1"/>
                <w:bCs w:val="1"/>
                <w:color w:val="auto"/>
              </w:rPr>
              <w:t>[*]</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2000" w:type="dxa"/>
            <w:vAlign w:val="bottom"/>
            <w:tcBorders>
              <w:right w:val="single" w:sz="8" w:color="auto"/>
            </w:tcBorders>
          </w:tcPr>
          <w:p>
            <w:pPr>
              <w:jc w:val="right"/>
              <w:ind w:right="1072"/>
              <w:spacing w:after="0"/>
              <w:rPr>
                <w:sz w:val="20"/>
                <w:szCs w:val="20"/>
                <w:color w:val="auto"/>
              </w:rPr>
            </w:pPr>
            <w:r>
              <w:rPr>
                <w:rFonts w:ascii="Calibri" w:cs="Calibri" w:eastAsia="Calibri" w:hAnsi="Calibri"/>
                <w:sz w:val="17"/>
                <w:szCs w:val="17"/>
                <w:b w:val="1"/>
                <w:bCs w:val="1"/>
                <w:color w:val="auto"/>
              </w:rPr>
              <w:t>[*]</w:t>
            </w:r>
          </w:p>
        </w:tc>
        <w:tc>
          <w:tcPr>
            <w:tcW w:w="0" w:type="dxa"/>
            <w:vAlign w:val="bottom"/>
          </w:tcPr>
          <w:p>
            <w:pPr>
              <w:spacing w:after="0"/>
              <w:rPr>
                <w:sz w:val="1"/>
                <w:szCs w:val="1"/>
                <w:color w:val="auto"/>
              </w:rPr>
            </w:pPr>
          </w:p>
        </w:tc>
      </w:tr>
      <w:tr>
        <w:trPr>
          <w:trHeight w:val="118"/>
        </w:trPr>
        <w:tc>
          <w:tcPr>
            <w:tcW w:w="1720" w:type="dxa"/>
            <w:vAlign w:val="bottom"/>
            <w:tcBorders>
              <w:left w:val="single" w:sz="8" w:color="auto"/>
              <w:right w:val="single" w:sz="8" w:color="auto"/>
            </w:tcBorders>
            <w:vMerge w:val="continue"/>
          </w:tcPr>
          <w:p>
            <w:pPr>
              <w:spacing w:after="0"/>
              <w:rPr>
                <w:sz w:val="10"/>
                <w:szCs w:val="10"/>
                <w:color w:val="auto"/>
              </w:rPr>
            </w:pPr>
          </w:p>
        </w:tc>
        <w:tc>
          <w:tcPr>
            <w:tcW w:w="344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720" w:type="dxa"/>
            <w:vAlign w:val="bottom"/>
            <w:tcBorders>
              <w:left w:val="single" w:sz="8" w:color="auto"/>
              <w:right w:val="single" w:sz="8" w:color="auto"/>
            </w:tcBorders>
          </w:tcPr>
          <w:p>
            <w:pPr>
              <w:jc w:val="center"/>
              <w:spacing w:after="0" w:line="200" w:lineRule="exact"/>
              <w:rPr>
                <w:sz w:val="20"/>
                <w:szCs w:val="20"/>
                <w:color w:val="auto"/>
              </w:rPr>
            </w:pPr>
            <w:r>
              <w:rPr>
                <w:rFonts w:ascii="Calibri" w:cs="Calibri" w:eastAsia="Calibri" w:hAnsi="Calibri"/>
                <w:sz w:val="17"/>
                <w:szCs w:val="17"/>
                <w:b w:val="1"/>
                <w:bCs w:val="1"/>
                <w:color w:val="auto"/>
              </w:rPr>
              <w:t>[*]</w:t>
            </w:r>
          </w:p>
        </w:tc>
        <w:tc>
          <w:tcPr>
            <w:tcW w:w="3440" w:type="dxa"/>
            <w:vAlign w:val="bottom"/>
            <w:tcBorders>
              <w:right w:val="single" w:sz="8" w:color="auto"/>
            </w:tcBorders>
            <w:vMerge w:val="restart"/>
          </w:tcPr>
          <w:p>
            <w:pPr>
              <w:jc w:val="right"/>
              <w:ind w:right="2272"/>
              <w:spacing w:after="0"/>
              <w:rPr>
                <w:sz w:val="20"/>
                <w:szCs w:val="20"/>
                <w:color w:val="auto"/>
              </w:rPr>
            </w:pPr>
            <w:r>
              <w:rPr>
                <w:rFonts w:ascii="Calibri" w:cs="Calibri" w:eastAsia="Calibri" w:hAnsi="Calibri"/>
                <w:sz w:val="17"/>
                <w:szCs w:val="17"/>
                <w:b w:val="1"/>
                <w:bCs w:val="1"/>
                <w:color w:val="auto"/>
              </w:rPr>
              <w:t>[*]</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20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tcPr>
          <w:p>
            <w:pPr>
              <w:spacing w:after="0"/>
              <w:rPr>
                <w:sz w:val="8"/>
                <w:szCs w:val="8"/>
                <w:color w:val="auto"/>
              </w:rPr>
            </w:pPr>
          </w:p>
        </w:tc>
        <w:tc>
          <w:tcPr>
            <w:tcW w:w="344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720" w:type="dxa"/>
            <w:vAlign w:val="bottom"/>
            <w:tcBorders>
              <w:left w:val="single" w:sz="8" w:color="auto"/>
              <w:right w:val="single" w:sz="8" w:color="auto"/>
            </w:tcBorders>
          </w:tcPr>
          <w:p>
            <w:pPr>
              <w:spacing w:after="0"/>
              <w:rPr>
                <w:sz w:val="5"/>
                <w:szCs w:val="5"/>
                <w:color w:val="auto"/>
              </w:rPr>
            </w:pPr>
          </w:p>
        </w:tc>
        <w:tc>
          <w:tcPr>
            <w:tcW w:w="3440" w:type="dxa"/>
            <w:vAlign w:val="bottom"/>
            <w:tcBorders>
              <w:right w:val="single" w:sz="8" w:color="auto"/>
            </w:tcBorders>
          </w:tcPr>
          <w:p>
            <w:pPr>
              <w:spacing w:after="0"/>
              <w:rPr>
                <w:sz w:val="5"/>
                <w:szCs w:val="5"/>
                <w:color w:val="auto"/>
              </w:rPr>
            </w:pPr>
          </w:p>
        </w:tc>
        <w:tc>
          <w:tcPr>
            <w:tcW w:w="1760" w:type="dxa"/>
            <w:vAlign w:val="bottom"/>
            <w:tcBorders>
              <w:right w:val="single" w:sz="8" w:color="auto"/>
            </w:tcBorders>
            <w:vMerge w:val="continue"/>
          </w:tcPr>
          <w:p>
            <w:pPr>
              <w:spacing w:after="0"/>
              <w:rPr>
                <w:sz w:val="5"/>
                <w:szCs w:val="5"/>
                <w:color w:val="auto"/>
              </w:rPr>
            </w:pPr>
          </w:p>
        </w:tc>
        <w:tc>
          <w:tcPr>
            <w:tcW w:w="20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172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w:t>
            </w:r>
          </w:p>
        </w:tc>
        <w:tc>
          <w:tcPr>
            <w:tcW w:w="3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b w:val="1"/>
                <w:bCs w:val="1"/>
                <w:color w:val="auto"/>
              </w:rPr>
              <w:t>[*]</w:t>
            </w:r>
          </w:p>
        </w:tc>
        <w:tc>
          <w:tcPr>
            <w:tcW w:w="20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w:t>
            </w:r>
          </w:p>
        </w:tc>
        <w:tc>
          <w:tcPr>
            <w:tcW w:w="0" w:type="dxa"/>
            <w:vAlign w:val="bottom"/>
          </w:tcPr>
          <w:p>
            <w:pPr>
              <w:spacing w:after="0"/>
              <w:rPr>
                <w:sz w:val="1"/>
                <w:szCs w:val="1"/>
                <w:color w:val="auto"/>
              </w:rPr>
            </w:pPr>
          </w:p>
        </w:tc>
      </w:tr>
      <w:tr>
        <w:trPr>
          <w:trHeight w:val="92"/>
        </w:trPr>
        <w:tc>
          <w:tcPr>
            <w:tcW w:w="1720" w:type="dxa"/>
            <w:vAlign w:val="bottom"/>
            <w:tcBorders>
              <w:left w:val="single" w:sz="8" w:color="auto"/>
              <w:right w:val="single" w:sz="8" w:color="auto"/>
            </w:tcBorders>
          </w:tcPr>
          <w:p>
            <w:pPr>
              <w:spacing w:after="0"/>
              <w:rPr>
                <w:sz w:val="7"/>
                <w:szCs w:val="7"/>
                <w:color w:val="auto"/>
              </w:rPr>
            </w:pPr>
          </w:p>
        </w:tc>
        <w:tc>
          <w:tcPr>
            <w:tcW w:w="3440" w:type="dxa"/>
            <w:vAlign w:val="bottom"/>
            <w:tcBorders>
              <w:right w:val="single" w:sz="8" w:color="auto"/>
            </w:tcBorders>
            <w:vMerge w:val="continue"/>
          </w:tcPr>
          <w:p>
            <w:pPr>
              <w:spacing w:after="0"/>
              <w:rPr>
                <w:sz w:val="7"/>
                <w:szCs w:val="7"/>
                <w:color w:val="auto"/>
              </w:rPr>
            </w:pPr>
          </w:p>
        </w:tc>
        <w:tc>
          <w:tcPr>
            <w:tcW w:w="1760" w:type="dxa"/>
            <w:vAlign w:val="bottom"/>
            <w:tcBorders>
              <w:right w:val="single" w:sz="8" w:color="auto"/>
            </w:tcBorders>
            <w:vMerge w:val="continue"/>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9539"/>
          </w:cols>
          <w:pgMar w:left="920" w:top="1440" w:right="1440" w:bottom="1440" w:gutter="0" w:footer="0" w:header="0"/>
        </w:sectPr>
      </w:pPr>
    </w:p>
    <w:bookmarkStart w:id="197" w:name="page198"/>
    <w:bookmarkEnd w:id="197"/>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0E0E0E"/>
        </w:rPr>
        <w:t>EXHIBIT C</w:t>
      </w:r>
    </w:p>
    <w:p>
      <w:pPr>
        <w:sectPr>
          <w:pgSz w:w="11900" w:h="16838" w:orient="portrait"/>
          <w:cols w:equalWidth="0" w:num="1">
            <w:col w:w="9019"/>
          </w:cols>
          <w:pgMar w:left="1440" w:top="1440" w:right="1440" w:bottom="1440" w:gutter="0" w:footer="0" w:header="0"/>
        </w:sectPr>
      </w:pP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FEES LIST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w:t>
      </w:r>
    </w:p>
    <w:p>
      <w:pPr>
        <w:sectPr>
          <w:pgSz w:w="11900" w:h="16838" w:orient="portrait"/>
          <w:cols w:equalWidth="0" w:num="1">
            <w:col w:w="9019"/>
          </w:cols>
          <w:pgMar w:left="1440" w:top="1440" w:right="1440" w:bottom="1440" w:gutter="0" w:footer="0" w:header="0"/>
          <w:type w:val="continuous"/>
        </w:sectPr>
      </w:pPr>
    </w:p>
    <w:bookmarkStart w:id="198" w:name="page199"/>
    <w:bookmarkEnd w:id="198"/>
    <w:p>
      <w:pPr>
        <w:ind w:left="4841"/>
        <w:spacing w:after="0"/>
        <w:rPr>
          <w:sz w:val="20"/>
          <w:szCs w:val="20"/>
          <w:color w:val="auto"/>
        </w:rPr>
      </w:pPr>
      <w:r>
        <w:rPr>
          <w:rFonts w:ascii="Times New Roman" w:cs="Times New Roman" w:eastAsia="Times New Roman" w:hAnsi="Times New Roman"/>
          <w:sz w:val="19"/>
          <w:szCs w:val="19"/>
          <w:b w:val="1"/>
          <w:bCs w:val="1"/>
          <w:color w:val="0E0E0E"/>
        </w:rPr>
        <w:t>EXHIBIT D</w:t>
      </w:r>
    </w:p>
    <w:p>
      <w:pPr>
        <w:spacing w:after="0" w:line="15"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9"/>
          <w:szCs w:val="19"/>
          <w:color w:val="0E0E0E"/>
        </w:rPr>
        <w:t>ENPHASE CONTROLLED EQUIPMENT</w:t>
      </w:r>
    </w:p>
    <w:p>
      <w:pPr>
        <w:spacing w:after="0" w:line="200" w:lineRule="exact"/>
        <w:rPr>
          <w:sz w:val="20"/>
          <w:szCs w:val="20"/>
          <w:color w:val="auto"/>
        </w:rPr>
      </w:pPr>
    </w:p>
    <w:p>
      <w:pPr>
        <w:spacing w:after="0" w:line="397" w:lineRule="exact"/>
        <w:rPr>
          <w:sz w:val="20"/>
          <w:szCs w:val="20"/>
          <w:color w:val="auto"/>
        </w:rPr>
      </w:pPr>
    </w:p>
    <w:p>
      <w:pPr>
        <w:ind w:left="301" w:hanging="301"/>
        <w:spacing w:after="0"/>
        <w:tabs>
          <w:tab w:leader="none" w:pos="301" w:val="left"/>
        </w:tabs>
        <w:numPr>
          <w:ilvl w:val="0"/>
          <w:numId w:val="1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PCBA and Generic Items</w:t>
      </w:r>
    </w:p>
    <w:p>
      <w:pPr>
        <w:spacing w:after="0" w:line="74" w:lineRule="exact"/>
        <w:rPr>
          <w:rFonts w:ascii="Times New Roman" w:cs="Times New Roman" w:eastAsia="Times New Roman" w:hAnsi="Times New Roman"/>
          <w:sz w:val="19"/>
          <w:szCs w:val="19"/>
          <w:b w:val="1"/>
          <w:bCs w:val="1"/>
          <w:color w:val="auto"/>
        </w:rPr>
      </w:pPr>
    </w:p>
    <w:p>
      <w:pPr>
        <w:ind w:left="941"/>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b w:val="1"/>
          <w:bCs w:val="1"/>
          <w:color w:val="auto"/>
        </w:rPr>
        <w:t>[*]</w:t>
      </w:r>
    </w:p>
    <w:p>
      <w:pPr>
        <w:spacing w:after="0" w:line="200" w:lineRule="exact"/>
        <w:rPr>
          <w:rFonts w:ascii="Times New Roman" w:cs="Times New Roman" w:eastAsia="Times New Roman" w:hAnsi="Times New Roman"/>
          <w:sz w:val="19"/>
          <w:szCs w:val="19"/>
          <w:b w:val="1"/>
          <w:bCs w:val="1"/>
          <w:color w:val="auto"/>
        </w:rPr>
      </w:pPr>
    </w:p>
    <w:p>
      <w:pPr>
        <w:spacing w:after="0" w:line="200" w:lineRule="exact"/>
        <w:rPr>
          <w:rFonts w:ascii="Times New Roman" w:cs="Times New Roman" w:eastAsia="Times New Roman" w:hAnsi="Times New Roman"/>
          <w:sz w:val="19"/>
          <w:szCs w:val="19"/>
          <w:b w:val="1"/>
          <w:bCs w:val="1"/>
          <w:color w:val="auto"/>
        </w:rPr>
      </w:pPr>
    </w:p>
    <w:p>
      <w:pPr>
        <w:spacing w:after="0" w:line="200" w:lineRule="exact"/>
        <w:rPr>
          <w:rFonts w:ascii="Times New Roman" w:cs="Times New Roman" w:eastAsia="Times New Roman" w:hAnsi="Times New Roman"/>
          <w:sz w:val="19"/>
          <w:szCs w:val="19"/>
          <w:b w:val="1"/>
          <w:bCs w:val="1"/>
          <w:color w:val="auto"/>
        </w:rPr>
      </w:pPr>
    </w:p>
    <w:p>
      <w:pPr>
        <w:spacing w:after="0" w:line="301" w:lineRule="exact"/>
        <w:rPr>
          <w:rFonts w:ascii="Times New Roman" w:cs="Times New Roman" w:eastAsia="Times New Roman" w:hAnsi="Times New Roman"/>
          <w:sz w:val="19"/>
          <w:szCs w:val="19"/>
          <w:b w:val="1"/>
          <w:bCs w:val="1"/>
          <w:color w:val="auto"/>
        </w:rPr>
      </w:pPr>
    </w:p>
    <w:p>
      <w:pPr>
        <w:ind w:left="301" w:hanging="301"/>
        <w:spacing w:after="0"/>
        <w:tabs>
          <w:tab w:leader="none" w:pos="301" w:val="left"/>
        </w:tabs>
        <w:numPr>
          <w:ilvl w:val="0"/>
          <w:numId w:val="1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Equipment for the microinverter Box Build process</w:t>
      </w:r>
    </w:p>
    <w:p>
      <w:pPr>
        <w:spacing w:after="0" w:line="87" w:lineRule="exact"/>
        <w:rPr>
          <w:rFonts w:ascii="Times New Roman" w:cs="Times New Roman" w:eastAsia="Times New Roman" w:hAnsi="Times New Roman"/>
          <w:sz w:val="19"/>
          <w:szCs w:val="19"/>
          <w:b w:val="1"/>
          <w:bCs w:val="1"/>
          <w:color w:val="auto"/>
        </w:rPr>
      </w:pPr>
    </w:p>
    <w:p>
      <w:pPr>
        <w:ind w:left="941"/>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b w:val="1"/>
          <w:bCs w:val="1"/>
          <w:color w:val="auto"/>
        </w:rPr>
        <w:t>[*]</w:t>
      </w:r>
    </w:p>
    <w:p>
      <w:pPr>
        <w:sectPr>
          <w:pgSz w:w="11900" w:h="16838" w:orient="portrait"/>
          <w:cols w:equalWidth="0" w:num="1">
            <w:col w:w="9540"/>
          </w:cols>
          <w:pgMar w:left="919" w:top="1046" w:right="1440" w:bottom="1440" w:gutter="0" w:footer="0" w:header="0"/>
        </w:sectPr>
      </w:pPr>
    </w:p>
    <w:bookmarkStart w:id="199" w:name="page200"/>
    <w:bookmarkEnd w:id="199"/>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SUPPLIER CONTROLLED EQUIPMENT</w:t>
      </w:r>
    </w:p>
    <w:p>
      <w:pPr>
        <w:spacing w:after="0" w:line="286"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w:t>
      </w:r>
    </w:p>
    <w:p>
      <w:pPr>
        <w:sectPr>
          <w:pgSz w:w="11900" w:h="16838" w:orient="portrait"/>
          <w:cols w:equalWidth="0" w:num="1">
            <w:col w:w="9019"/>
          </w:cols>
          <w:pgMar w:left="1440" w:top="1440" w:right="1440" w:bottom="1440" w:gutter="0" w:footer="0" w:header="0"/>
        </w:sectPr>
      </w:pPr>
    </w:p>
    <w:bookmarkStart w:id="200" w:name="page201"/>
    <w:bookmarkEnd w:id="200"/>
    <w:p>
      <w:pPr>
        <w:spacing w:after="0" w:line="39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9"/>
          <w:szCs w:val="19"/>
          <w:b w:val="1"/>
          <w:bCs w:val="1"/>
          <w:color w:val="auto"/>
        </w:rPr>
        <w:t>EXHIBIT F</w:t>
      </w:r>
    </w:p>
    <w:p>
      <w:pPr>
        <w:spacing w:after="0" w:line="11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(to be agreed by the Parties separately)</w:t>
      </w:r>
    </w:p>
    <w:p>
      <w:pPr>
        <w:sectPr>
          <w:pgSz w:w="11900" w:h="16838" w:orient="portrait"/>
          <w:cols w:equalWidth="0" w:num="1">
            <w:col w:w="9019"/>
          </w:cols>
          <w:pgMar w:left="1440" w:top="1440" w:right="1440" w:bottom="1440" w:gutter="0" w:footer="0" w:header="0"/>
        </w:sectPr>
      </w:pPr>
    </w:p>
    <w:bookmarkStart w:id="201" w:name="page202"/>
    <w:bookmarkEnd w:id="20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2" w:name="page203"/>
    <w:bookmarkEnd w:id="202"/>
    <w:p>
      <w:pPr>
        <w:jc w:val="center"/>
        <w:ind w:right="-216"/>
        <w:spacing w:after="0"/>
        <w:rPr>
          <w:sz w:val="20"/>
          <w:szCs w:val="20"/>
          <w:color w:val="auto"/>
        </w:rPr>
      </w:pPr>
      <w:r>
        <w:rPr>
          <w:rFonts w:ascii="Times New Roman" w:cs="Times New Roman" w:eastAsia="Times New Roman" w:hAnsi="Times New Roman"/>
          <w:sz w:val="19"/>
          <w:szCs w:val="19"/>
          <w:b w:val="1"/>
          <w:bCs w:val="1"/>
          <w:color w:val="auto"/>
        </w:rPr>
        <w:t>EXHIBIT H</w:t>
      </w:r>
    </w:p>
    <w:p>
      <w:pPr>
        <w:spacing w:after="0" w:line="72" w:lineRule="exact"/>
        <w:rPr>
          <w:sz w:val="20"/>
          <w:szCs w:val="20"/>
          <w:color w:val="auto"/>
        </w:rPr>
      </w:pPr>
    </w:p>
    <w:p>
      <w:pPr>
        <w:jc w:val="center"/>
        <w:ind w:right="-216"/>
        <w:spacing w:after="0"/>
        <w:rPr>
          <w:sz w:val="20"/>
          <w:szCs w:val="20"/>
          <w:color w:val="auto"/>
        </w:rPr>
      </w:pPr>
      <w:r>
        <w:rPr>
          <w:rFonts w:ascii="Times New Roman" w:cs="Times New Roman" w:eastAsia="Times New Roman" w:hAnsi="Times New Roman"/>
          <w:sz w:val="19"/>
          <w:szCs w:val="19"/>
          <w:color w:val="auto"/>
        </w:rPr>
        <w:t>IT SECURITY REQUIREMENTS</w:t>
      </w:r>
    </w:p>
    <w:p>
      <w:pPr>
        <w:spacing w:after="0" w:line="227" w:lineRule="exact"/>
        <w:rPr>
          <w:sz w:val="20"/>
          <w:szCs w:val="20"/>
          <w:color w:val="auto"/>
        </w:rPr>
      </w:pPr>
    </w:p>
    <w:p>
      <w:pPr>
        <w:jc w:val="both"/>
        <w:ind w:left="317" w:hanging="317"/>
        <w:spacing w:after="0" w:line="271" w:lineRule="auto"/>
        <w:tabs>
          <w:tab w:leader="none" w:pos="316"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Supplier acknowledges and understands that while performing its obligations under this agreement, it will have access to Enphase’s Confidential Information, as well as other proprietary information which is valuable to Enphase (collectively, “Enphase Data”). To safeguard such information, the Supplier shall comply with the following requirements, and on Enphase’s request, certify its compliance with the requirements listed below:</w:t>
      </w:r>
    </w:p>
    <w:p>
      <w:pPr>
        <w:spacing w:after="0" w:line="193" w:lineRule="exact"/>
        <w:rPr>
          <w:rFonts w:ascii="Times New Roman" w:cs="Times New Roman" w:eastAsia="Times New Roman" w:hAnsi="Times New Roman"/>
          <w:sz w:val="19"/>
          <w:szCs w:val="19"/>
          <w:color w:val="auto"/>
        </w:rPr>
      </w:pPr>
    </w:p>
    <w:p>
      <w:pPr>
        <w:jc w:val="both"/>
        <w:ind w:left="937" w:hanging="307"/>
        <w:spacing w:after="0" w:line="260" w:lineRule="auto"/>
        <w:tabs>
          <w:tab w:leader="none" w:pos="926"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Supplier shall conduct an annual cyber security awareness training for all its employees who will have access to Enphase Data. This training must be done according to industry standard practices for information security.</w:t>
      </w:r>
    </w:p>
    <w:p>
      <w:pPr>
        <w:jc w:val="both"/>
        <w:ind w:left="937" w:hanging="307"/>
        <w:spacing w:after="0" w:line="252" w:lineRule="auto"/>
        <w:tabs>
          <w:tab w:leader="none" w:pos="937"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Supplier shall ensure that all Enphase Data shall be stored on Enphase owned servers or on servers that Enphase employees will have unrestricted access to. The Supplier will prohibit data exfiltration from these servers which shall be monitored by Enphase SOC (Security Operation Center)</w:t>
      </w:r>
    </w:p>
    <w:p>
      <w:pPr>
        <w:ind w:left="937" w:hanging="307"/>
        <w:spacing w:after="0" w:line="255" w:lineRule="auto"/>
        <w:tabs>
          <w:tab w:leader="none" w:pos="926"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Supplier shall ensure Enphase Data is accessed only by approved users and avoid unauthorized access to systems containing Enphase Data by using methods including (but not limited to):</w:t>
      </w:r>
    </w:p>
    <w:p>
      <w:pPr>
        <w:spacing w:after="0" w:line="1" w:lineRule="exact"/>
        <w:rPr>
          <w:rFonts w:ascii="Times New Roman" w:cs="Times New Roman" w:eastAsia="Times New Roman" w:hAnsi="Times New Roman"/>
          <w:sz w:val="19"/>
          <w:szCs w:val="19"/>
          <w:color w:val="auto"/>
        </w:rPr>
      </w:pPr>
    </w:p>
    <w:p>
      <w:pPr>
        <w:ind w:left="1577" w:hanging="253"/>
        <w:spacing w:after="0"/>
        <w:tabs>
          <w:tab w:leader="none" w:pos="1577" w:val="left"/>
        </w:tabs>
        <w:numPr>
          <w:ilvl w:val="2"/>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Having unique user IDs;</w:t>
      </w:r>
    </w:p>
    <w:p>
      <w:pPr>
        <w:spacing w:after="0" w:line="11" w:lineRule="exact"/>
        <w:rPr>
          <w:rFonts w:ascii="Times New Roman" w:cs="Times New Roman" w:eastAsia="Times New Roman" w:hAnsi="Times New Roman"/>
          <w:sz w:val="19"/>
          <w:szCs w:val="19"/>
          <w:color w:val="auto"/>
        </w:rPr>
      </w:pPr>
    </w:p>
    <w:p>
      <w:pPr>
        <w:ind w:left="1557" w:hanging="277"/>
        <w:spacing w:after="0"/>
        <w:tabs>
          <w:tab w:leader="none" w:pos="1557" w:val="left"/>
        </w:tabs>
        <w:numPr>
          <w:ilvl w:val="2"/>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disabling or deleting user IDs of employees who’s employment is terminated;</w:t>
      </w:r>
    </w:p>
    <w:p>
      <w:pPr>
        <w:spacing w:after="0" w:line="10" w:lineRule="exact"/>
        <w:rPr>
          <w:rFonts w:ascii="Times New Roman" w:cs="Times New Roman" w:eastAsia="Times New Roman" w:hAnsi="Times New Roman"/>
          <w:sz w:val="19"/>
          <w:szCs w:val="19"/>
          <w:color w:val="auto"/>
        </w:rPr>
      </w:pPr>
    </w:p>
    <w:p>
      <w:pPr>
        <w:ind w:left="1557" w:hanging="323"/>
        <w:spacing w:after="0"/>
        <w:tabs>
          <w:tab w:leader="none" w:pos="1557" w:val="left"/>
        </w:tabs>
        <w:numPr>
          <w:ilvl w:val="3"/>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Identifying and deleting or disabling redundant user IDs on a periodic basis; and;</w:t>
      </w:r>
    </w:p>
    <w:p>
      <w:pPr>
        <w:spacing w:after="0" w:line="11" w:lineRule="exact"/>
        <w:rPr>
          <w:rFonts w:ascii="Times New Roman" w:cs="Times New Roman" w:eastAsia="Times New Roman" w:hAnsi="Times New Roman"/>
          <w:sz w:val="19"/>
          <w:szCs w:val="19"/>
          <w:color w:val="auto"/>
        </w:rPr>
      </w:pPr>
    </w:p>
    <w:p>
      <w:pPr>
        <w:ind w:left="1557" w:hanging="321"/>
        <w:spacing w:after="0"/>
        <w:tabs>
          <w:tab w:leader="none" w:pos="1557" w:val="left"/>
        </w:tabs>
        <w:numPr>
          <w:ilvl w:val="3"/>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Ensuring that user IDs are not shared.</w:t>
      </w:r>
    </w:p>
    <w:p>
      <w:pPr>
        <w:spacing w:after="0" w:line="10" w:lineRule="exact"/>
        <w:rPr>
          <w:rFonts w:ascii="Times New Roman" w:cs="Times New Roman" w:eastAsia="Times New Roman" w:hAnsi="Times New Roman"/>
          <w:sz w:val="19"/>
          <w:szCs w:val="19"/>
          <w:color w:val="auto"/>
        </w:rPr>
      </w:pPr>
    </w:p>
    <w:p>
      <w:pPr>
        <w:jc w:val="both"/>
        <w:ind w:left="937" w:hanging="307"/>
        <w:spacing w:after="0" w:line="253" w:lineRule="auto"/>
        <w:tabs>
          <w:tab w:leader="none" w:pos="937"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Supplier shall ensure all Enphase Data at rest is encrypted on all fixed and removable data drives along with operating system drives on Supplier’s systems (and any PCs or computers used by Supplier employees). Enphase Data in transit shall be encrypted using the TLS or IP-SEC standards. This pertains to systems dealing to Enphase .</w:t>
      </w:r>
    </w:p>
    <w:p>
      <w:pPr>
        <w:spacing w:after="0" w:line="3" w:lineRule="exact"/>
        <w:rPr>
          <w:rFonts w:ascii="Times New Roman" w:cs="Times New Roman" w:eastAsia="Times New Roman" w:hAnsi="Times New Roman"/>
          <w:sz w:val="19"/>
          <w:szCs w:val="19"/>
          <w:color w:val="auto"/>
        </w:rPr>
      </w:pPr>
    </w:p>
    <w:p>
      <w:pPr>
        <w:ind w:left="937" w:hanging="307"/>
        <w:spacing w:after="0" w:line="255" w:lineRule="auto"/>
        <w:tabs>
          <w:tab w:leader="none" w:pos="926"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this Agreement is terminated, the Supplier shall follow operating guidelines issued by Enphase for purging Enphase Data.</w:t>
      </w:r>
    </w:p>
    <w:p>
      <w:pPr>
        <w:spacing w:after="0" w:line="1" w:lineRule="exact"/>
        <w:rPr>
          <w:rFonts w:ascii="Times New Roman" w:cs="Times New Roman" w:eastAsia="Times New Roman" w:hAnsi="Times New Roman"/>
          <w:sz w:val="19"/>
          <w:szCs w:val="19"/>
          <w:color w:val="auto"/>
        </w:rPr>
      </w:pPr>
    </w:p>
    <w:p>
      <w:pPr>
        <w:jc w:val="both"/>
        <w:ind w:left="937" w:hanging="307"/>
        <w:spacing w:after="0" w:line="252" w:lineRule="auto"/>
        <w:tabs>
          <w:tab w:leader="none" w:pos="931"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Supplier shall implement a BCP (Business Continuity Plan) and DR (Disaster Recovery) plan, and submit the same to Enphase for Enphase’s approval. The security continuity controls for information security under the BCP of DR shall be tested annually in order to ensure that they are valid and effective, and Supplier shall provide relevant information regarding such testing, at Enphase’s request.</w:t>
      </w:r>
    </w:p>
    <w:p>
      <w:pPr>
        <w:ind w:left="937" w:hanging="307"/>
        <w:spacing w:after="0"/>
        <w:tabs>
          <w:tab w:leader="none" w:pos="937"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Throughout the term of this Agreement, the Supplier shall maintain a valid ISO 27001 certification.</w:t>
      </w:r>
    </w:p>
    <w:p>
      <w:pPr>
        <w:spacing w:after="0" w:line="17" w:lineRule="exact"/>
        <w:rPr>
          <w:rFonts w:ascii="Times New Roman" w:cs="Times New Roman" w:eastAsia="Times New Roman" w:hAnsi="Times New Roman"/>
          <w:sz w:val="19"/>
          <w:szCs w:val="19"/>
          <w:color w:val="auto"/>
        </w:rPr>
      </w:pPr>
    </w:p>
    <w:p>
      <w:pPr>
        <w:jc w:val="both"/>
        <w:ind w:left="937" w:hanging="307"/>
        <w:spacing w:after="0" w:line="252" w:lineRule="auto"/>
        <w:tabs>
          <w:tab w:leader="none" w:pos="937"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Supplier shall prohibit the use of unauthorized software and downloads on servers that hold Enphase Data, and use industry standard preventative measures and detective measures that will allow any malware to be immediately identified and contained in these servers.</w:t>
      </w:r>
    </w:p>
    <w:p>
      <w:pPr>
        <w:jc w:val="both"/>
        <w:ind w:left="937" w:hanging="307"/>
        <w:spacing w:after="0" w:line="253" w:lineRule="auto"/>
        <w:tabs>
          <w:tab w:leader="none" w:pos="934"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Supplier will establish a standard operating procedure (SOP), to address any security incidents. This SOP will include the Supplier’s responsibilities and processes that will be implemented in order to ensure a quick, effective and orderly response to address security incidents. This SOP will be approved by the CISO or the management of the Company.</w:t>
      </w:r>
    </w:p>
    <w:p>
      <w:pPr>
        <w:spacing w:after="0" w:line="3" w:lineRule="exact"/>
        <w:rPr>
          <w:rFonts w:ascii="Times New Roman" w:cs="Times New Roman" w:eastAsia="Times New Roman" w:hAnsi="Times New Roman"/>
          <w:sz w:val="19"/>
          <w:szCs w:val="19"/>
          <w:color w:val="auto"/>
        </w:rPr>
      </w:pPr>
    </w:p>
    <w:p>
      <w:pPr>
        <w:ind w:left="937" w:hanging="307"/>
        <w:spacing w:after="0" w:line="252" w:lineRule="auto"/>
        <w:tabs>
          <w:tab w:leader="none" w:pos="934"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Supplier shall conduct periodic vulnerability testing on the environment hosting Enphase Data and subsequent mitigation,</w:t>
      </w:r>
    </w:p>
    <w:p>
      <w:pPr>
        <w:jc w:val="both"/>
        <w:ind w:left="937" w:hanging="307"/>
        <w:spacing w:after="0" w:line="254" w:lineRule="auto"/>
        <w:tabs>
          <w:tab w:leader="none" w:pos="937"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Supplier shall ensure that: (i) any JTAG programming shall require an authorized user; and (ii) the manufacturing process used will ensure that the immutable memories are zeroed out prior to programming the memories.</w:t>
      </w:r>
    </w:p>
    <w:p>
      <w:pPr>
        <w:spacing w:after="0" w:line="1" w:lineRule="exact"/>
        <w:rPr>
          <w:rFonts w:ascii="Times New Roman" w:cs="Times New Roman" w:eastAsia="Times New Roman" w:hAnsi="Times New Roman"/>
          <w:sz w:val="19"/>
          <w:szCs w:val="19"/>
          <w:color w:val="auto"/>
        </w:rPr>
      </w:pPr>
    </w:p>
    <w:p>
      <w:pPr>
        <w:ind w:left="937" w:hanging="307"/>
        <w:spacing w:after="0" w:line="264" w:lineRule="auto"/>
        <w:tabs>
          <w:tab w:leader="none" w:pos="934"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Supplier uses any WiFi networks in the facilities/for the systems where Enphase Data is stored, the Supplier shall ensure that such WiFi network will not have access to the internet.</w:t>
      </w:r>
    </w:p>
    <w:p>
      <w:pPr>
        <w:sectPr>
          <w:pgSz w:w="11900" w:h="16838" w:orient="portrait"/>
          <w:cols w:equalWidth="0" w:num="1">
            <w:col w:w="9577"/>
          </w:cols>
          <w:pgMar w:left="1043" w:top="1334" w:right="1279" w:bottom="1440" w:gutter="0" w:footer="0" w:header="0"/>
        </w:sectPr>
      </w:pPr>
    </w:p>
    <w:bookmarkStart w:id="203" w:name="page204"/>
    <w:bookmarkEnd w:id="203"/>
    <w:p>
      <w:pPr>
        <w:jc w:val="right"/>
        <w:spacing w:after="0"/>
        <w:rPr>
          <w:sz w:val="20"/>
          <w:szCs w:val="20"/>
          <w:color w:val="auto"/>
        </w:rPr>
      </w:pPr>
      <w:r>
        <w:rPr>
          <w:rFonts w:ascii="Arial" w:cs="Arial" w:eastAsia="Arial" w:hAnsi="Arial"/>
          <w:sz w:val="17"/>
          <w:szCs w:val="17"/>
          <w:b w:val="1"/>
          <w:bCs w:val="1"/>
          <w:color w:val="auto"/>
        </w:rPr>
        <w:t>Exhibit 21.1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20" w:type="dxa"/>
            <w:vAlign w:val="bottom"/>
          </w:tcPr>
          <w:p>
            <w:pPr>
              <w:spacing w:after="0"/>
              <w:rPr>
                <w:sz w:val="20"/>
                <w:szCs w:val="20"/>
                <w:color w:val="auto"/>
              </w:rPr>
            </w:pPr>
          </w:p>
        </w:tc>
        <w:tc>
          <w:tcPr>
            <w:tcW w:w="7400" w:type="dxa"/>
            <w:vAlign w:val="bottom"/>
            <w:gridSpan w:val="3"/>
          </w:tcPr>
          <w:p>
            <w:pPr>
              <w:ind w:left="380"/>
              <w:spacing w:after="0"/>
              <w:rPr>
                <w:sz w:val="20"/>
                <w:szCs w:val="20"/>
                <w:color w:val="auto"/>
              </w:rPr>
            </w:pPr>
            <w:r>
              <w:rPr>
                <w:rFonts w:ascii="Arial" w:cs="Arial" w:eastAsia="Arial" w:hAnsi="Arial"/>
                <w:sz w:val="17"/>
                <w:szCs w:val="17"/>
                <w:b w:val="1"/>
                <w:bCs w:val="1"/>
                <w:color w:val="auto"/>
              </w:rPr>
              <w:t>SUBSIDIARIES OF REGISTRANT *</w:t>
            </w:r>
          </w:p>
        </w:tc>
      </w:tr>
      <w:tr>
        <w:trPr>
          <w:trHeight w:val="458"/>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Legal Name</w:t>
            </w:r>
          </w:p>
        </w:tc>
        <w:tc>
          <w:tcPr>
            <w:tcW w:w="3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231"/>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Enphase Energy Australia Pty. Ltd.</w:t>
            </w:r>
          </w:p>
        </w:tc>
        <w:tc>
          <w:tcPr>
            <w:tcW w:w="3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r>
      <w:tr>
        <w:trPr>
          <w:trHeight w:val="228"/>
        </w:trPr>
        <w:tc>
          <w:tcPr>
            <w:tcW w:w="3820" w:type="dxa"/>
            <w:vAlign w:val="bottom"/>
          </w:tcPr>
          <w:p>
            <w:pPr>
              <w:ind w:left="20"/>
              <w:spacing w:after="0"/>
              <w:rPr>
                <w:sz w:val="20"/>
                <w:szCs w:val="20"/>
                <w:color w:val="auto"/>
              </w:rPr>
            </w:pPr>
            <w:r>
              <w:rPr>
                <w:rFonts w:ascii="Arial" w:cs="Arial" w:eastAsia="Arial" w:hAnsi="Arial"/>
                <w:sz w:val="16"/>
                <w:szCs w:val="16"/>
                <w:color w:val="auto"/>
              </w:rPr>
              <w:t>Enphase Energy S.A.S.</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44"/>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Enphase Energy NL B.V.</w:t>
            </w:r>
          </w:p>
        </w:tc>
        <w:tc>
          <w:tcPr>
            <w:tcW w:w="3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Netherlands</w:t>
            </w:r>
          </w:p>
        </w:tc>
      </w:tr>
      <w:tr>
        <w:trPr>
          <w:trHeight w:val="228"/>
        </w:trPr>
        <w:tc>
          <w:tcPr>
            <w:tcW w:w="3820" w:type="dxa"/>
            <w:vAlign w:val="bottom"/>
          </w:tcPr>
          <w:p>
            <w:pPr>
              <w:ind w:left="20"/>
              <w:spacing w:after="0"/>
              <w:rPr>
                <w:sz w:val="20"/>
                <w:szCs w:val="20"/>
                <w:color w:val="auto"/>
              </w:rPr>
            </w:pPr>
            <w:r>
              <w:rPr>
                <w:rFonts w:ascii="Arial" w:cs="Arial" w:eastAsia="Arial" w:hAnsi="Arial"/>
                <w:sz w:val="16"/>
                <w:szCs w:val="16"/>
                <w:color w:val="auto"/>
              </w:rPr>
              <w:t>Enphase Energy New Zealand</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New Zealand</w:t>
            </w:r>
          </w:p>
        </w:tc>
      </w:tr>
      <w:tr>
        <w:trPr>
          <w:trHeight w:val="244"/>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Enphase Energy International LLC</w:t>
            </w:r>
          </w:p>
        </w:tc>
        <w:tc>
          <w:tcPr>
            <w:tcW w:w="3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8"/>
        </w:trPr>
        <w:tc>
          <w:tcPr>
            <w:tcW w:w="3820" w:type="dxa"/>
            <w:vAlign w:val="bottom"/>
          </w:tcPr>
          <w:p>
            <w:pPr>
              <w:ind w:left="20"/>
              <w:spacing w:after="0"/>
              <w:rPr>
                <w:sz w:val="20"/>
                <w:szCs w:val="20"/>
                <w:color w:val="auto"/>
              </w:rPr>
            </w:pPr>
            <w:r>
              <w:rPr>
                <w:rFonts w:ascii="Arial" w:cs="Arial" w:eastAsia="Arial" w:hAnsi="Arial"/>
                <w:sz w:val="16"/>
                <w:szCs w:val="16"/>
                <w:color w:val="auto"/>
              </w:rPr>
              <w:t>Enphase Solar Energy India Pvt. Limited</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India</w:t>
            </w:r>
          </w:p>
        </w:tc>
      </w:tr>
      <w:tr>
        <w:trPr>
          <w:trHeight w:val="244"/>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Enphase Energy Mexico, S. DE R.L. DE C.V.</w:t>
            </w:r>
          </w:p>
        </w:tc>
        <w:tc>
          <w:tcPr>
            <w:tcW w:w="3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Mexico</w:t>
            </w:r>
          </w:p>
        </w:tc>
      </w:tr>
      <w:tr>
        <w:trPr>
          <w:trHeight w:val="228"/>
        </w:trPr>
        <w:tc>
          <w:tcPr>
            <w:tcW w:w="3820" w:type="dxa"/>
            <w:vAlign w:val="bottom"/>
          </w:tcPr>
          <w:p>
            <w:pPr>
              <w:ind w:left="20"/>
              <w:spacing w:after="0"/>
              <w:rPr>
                <w:sz w:val="20"/>
                <w:szCs w:val="20"/>
                <w:color w:val="auto"/>
              </w:rPr>
            </w:pPr>
            <w:r>
              <w:rPr>
                <w:rFonts w:ascii="Arial" w:cs="Arial" w:eastAsia="Arial" w:hAnsi="Arial"/>
                <w:sz w:val="16"/>
                <w:szCs w:val="16"/>
                <w:color w:val="auto"/>
              </w:rPr>
              <w:t>Enphase Energy S.r.l.</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Italy</w:t>
            </w:r>
          </w:p>
        </w:tc>
      </w:tr>
      <w:tr>
        <w:trPr>
          <w:trHeight w:val="244"/>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Enphase Energy Canada Holdings, Inc.</w:t>
            </w:r>
          </w:p>
        </w:tc>
        <w:tc>
          <w:tcPr>
            <w:tcW w:w="3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Canada</w:t>
            </w:r>
          </w:p>
        </w:tc>
      </w:tr>
      <w:tr>
        <w:trPr>
          <w:trHeight w:val="228"/>
        </w:trPr>
        <w:tc>
          <w:tcPr>
            <w:tcW w:w="3820" w:type="dxa"/>
            <w:vAlign w:val="bottom"/>
          </w:tcPr>
          <w:p>
            <w:pPr>
              <w:ind w:left="20"/>
              <w:spacing w:after="0"/>
              <w:rPr>
                <w:sz w:val="20"/>
                <w:szCs w:val="20"/>
                <w:color w:val="auto"/>
              </w:rPr>
            </w:pPr>
            <w:r>
              <w:rPr>
                <w:rFonts w:ascii="Arial" w:cs="Arial" w:eastAsia="Arial" w:hAnsi="Arial"/>
                <w:sz w:val="16"/>
                <w:szCs w:val="16"/>
                <w:color w:val="auto"/>
              </w:rPr>
              <w:t>Enphase Service Company, LLC</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California</w:t>
            </w:r>
          </w:p>
        </w:tc>
      </w:tr>
      <w:tr>
        <w:trPr>
          <w:trHeight w:val="244"/>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Enphase Capital, Inc.</w:t>
            </w:r>
          </w:p>
        </w:tc>
        <w:tc>
          <w:tcPr>
            <w:tcW w:w="3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8"/>
        </w:trPr>
        <w:tc>
          <w:tcPr>
            <w:tcW w:w="3820" w:type="dxa"/>
            <w:vAlign w:val="bottom"/>
          </w:tcPr>
          <w:p>
            <w:pPr>
              <w:ind w:left="20"/>
              <w:spacing w:after="0"/>
              <w:rPr>
                <w:sz w:val="20"/>
                <w:szCs w:val="20"/>
                <w:color w:val="auto"/>
              </w:rPr>
            </w:pPr>
            <w:r>
              <w:rPr>
                <w:rFonts w:ascii="Arial" w:cs="Arial" w:eastAsia="Arial" w:hAnsi="Arial"/>
                <w:sz w:val="16"/>
                <w:szCs w:val="16"/>
                <w:color w:val="auto"/>
              </w:rPr>
              <w:t>Enphase Energy Technology (Shanghai) Co. Ltd.</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China</w:t>
            </w:r>
          </w:p>
        </w:tc>
      </w:tr>
      <w:tr>
        <w:trPr>
          <w:trHeight w:val="244"/>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Enphase Energy Germany AG</w:t>
            </w:r>
          </w:p>
        </w:tc>
        <w:tc>
          <w:tcPr>
            <w:tcW w:w="3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28"/>
        </w:trPr>
        <w:tc>
          <w:tcPr>
            <w:tcW w:w="3820" w:type="dxa"/>
            <w:vAlign w:val="bottom"/>
          </w:tcPr>
          <w:p>
            <w:pPr>
              <w:ind w:left="20"/>
              <w:spacing w:after="0"/>
              <w:rPr>
                <w:sz w:val="20"/>
                <w:szCs w:val="20"/>
                <w:color w:val="auto"/>
              </w:rPr>
            </w:pPr>
            <w:r>
              <w:rPr>
                <w:rFonts w:ascii="Arial" w:cs="Arial" w:eastAsia="Arial" w:hAnsi="Arial"/>
                <w:sz w:val="16"/>
                <w:szCs w:val="16"/>
                <w:color w:val="auto"/>
              </w:rPr>
              <w:t>Enphase Brasil Energia Solar LTDA</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Brazil</w:t>
            </w:r>
          </w:p>
        </w:tc>
      </w:tr>
      <w:tr>
        <w:trPr>
          <w:trHeight w:val="244"/>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Enphase Energy Spain, S.L.</w:t>
            </w:r>
          </w:p>
        </w:tc>
        <w:tc>
          <w:tcPr>
            <w:tcW w:w="3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Spain</w:t>
            </w: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rPr>
              <w:t>Enphase Energy Puerto Rico LLC</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Puerto Rico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59118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7">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60" w:hanging="255"/>
        <w:spacing w:after="0"/>
        <w:tabs>
          <w:tab w:leader="none" w:pos="2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All subsidiaries of Enphase Energy, Inc. are wholly owned, directly or indirectly, as of December 31, 2023.</w:t>
      </w:r>
    </w:p>
    <w:p>
      <w:pPr>
        <w:sectPr>
          <w:pgSz w:w="11900" w:h="16838" w:orient="portrait"/>
          <w:cols w:equalWidth="0" w:num="1">
            <w:col w:w="11240"/>
          </w:cols>
          <w:pgMar w:left="320" w:top="973"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472"/>
        <w:spacing w:after="0" w:line="252" w:lineRule="auto"/>
        <w:rPr>
          <w:sz w:val="20"/>
          <w:szCs w:val="20"/>
          <w:color w:val="auto"/>
        </w:rPr>
      </w:pPr>
      <w:r>
        <w:rPr>
          <w:rFonts w:ascii="Arial" w:cs="Arial" w:eastAsia="Arial" w:hAnsi="Arial"/>
          <w:sz w:val="17"/>
          <w:szCs w:val="17"/>
          <w:color w:val="auto"/>
        </w:rPr>
        <w:t>We consent to the incorporation by reference in Registration Statement No. 333-273512, 333-230716, 333-228775, 333-228774, 333-224101, 333-216886, 333-209315 and 333-195694 on Form S-3 and Registration Statement Nos. 333-256290, 333-253228, 333-238997, 333-230314, 333-224103, 333-216986, 333-210037, 333-202630, 333-194749, 333-187057, and 333-181382 on Form S-8 of our reports dated February 9, 2024, relating to the financial statements of Enphase Energy, Inc. and the effectiveness of Enphase Energy, Inc.'s internal control over financial reporting appearing in this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February 9, 2024</w:t>
      </w:r>
    </w:p>
    <w:p>
      <w:pPr>
        <w:sectPr>
          <w:pgSz w:w="11900" w:h="16838" w:orient="portrait"/>
          <w:cols w:equalWidth="0" w:num="1">
            <w:col w:w="11240"/>
          </w:cols>
          <w:pgMar w:left="320" w:top="973"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7"/>
          <w:szCs w:val="17"/>
          <w:b w:val="1"/>
          <w:bCs w:val="1"/>
          <w:color w:val="auto"/>
        </w:rPr>
        <w:t>Exhibit 31.1</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I,Badrinarayanan Kothandaraman, certify that:</w:t>
      </w:r>
    </w:p>
    <w:p>
      <w:pPr>
        <w:spacing w:after="0" w:line="119" w:lineRule="exact"/>
        <w:rPr>
          <w:sz w:val="20"/>
          <w:szCs w:val="20"/>
          <w:color w:val="auto"/>
        </w:rPr>
      </w:pPr>
    </w:p>
    <w:p>
      <w:pPr>
        <w:ind w:left="300" w:hanging="295"/>
        <w:spacing w:after="0"/>
        <w:tabs>
          <w:tab w:leader="none" w:pos="3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 have reviewed this Form 10-K of Enphase Energy, Inc.;</w:t>
      </w:r>
    </w:p>
    <w:p>
      <w:pPr>
        <w:spacing w:after="0" w:line="119" w:lineRule="exact"/>
        <w:rPr>
          <w:rFonts w:ascii="Arial" w:cs="Arial" w:eastAsia="Arial" w:hAnsi="Arial"/>
          <w:sz w:val="17"/>
          <w:szCs w:val="17"/>
          <w:color w:val="auto"/>
        </w:rPr>
      </w:pPr>
    </w:p>
    <w:p>
      <w:pPr>
        <w:ind w:left="320" w:right="100" w:hanging="315"/>
        <w:spacing w:after="0" w:line="278" w:lineRule="auto"/>
        <w:tabs>
          <w:tab w:leader="none" w:pos="30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320" w:right="60" w:hanging="315"/>
        <w:spacing w:after="0" w:line="300" w:lineRule="auto"/>
        <w:tabs>
          <w:tab w:leader="none" w:pos="30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7"/>
          <w:szCs w:val="17"/>
          <w:color w:val="auto"/>
        </w:rPr>
      </w:pPr>
    </w:p>
    <w:p>
      <w:pPr>
        <w:ind w:left="320" w:right="60" w:hanging="315"/>
        <w:spacing w:after="0" w:line="278" w:lineRule="auto"/>
        <w:tabs>
          <w:tab w:leader="none" w:pos="30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Arial" w:cs="Arial" w:eastAsia="Arial" w:hAnsi="Arial"/>
          <w:sz w:val="17"/>
          <w:szCs w:val="17"/>
          <w:color w:val="auto"/>
        </w:rPr>
      </w:pPr>
    </w:p>
    <w:p>
      <w:pPr>
        <w:ind w:left="1100" w:right="140" w:hanging="308"/>
        <w:spacing w:after="0" w:line="278" w:lineRule="auto"/>
        <w:tabs>
          <w:tab w:leader="none" w:pos="108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1100" w:right="20" w:hanging="308"/>
        <w:spacing w:after="0" w:line="278" w:lineRule="auto"/>
        <w:tabs>
          <w:tab w:leader="none" w:pos="108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7"/>
          <w:szCs w:val="17"/>
          <w:color w:val="auto"/>
        </w:rPr>
      </w:pPr>
    </w:p>
    <w:p>
      <w:pPr>
        <w:ind w:left="1100" w:right="60" w:hanging="308"/>
        <w:spacing w:after="0" w:line="278" w:lineRule="auto"/>
        <w:tabs>
          <w:tab w:leader="none" w:pos="1092" w:val="left"/>
        </w:tabs>
        <w:numPr>
          <w:ilvl w:val="1"/>
          <w:numId w:val="1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7"/>
          <w:szCs w:val="17"/>
          <w:color w:val="auto"/>
        </w:rPr>
      </w:pPr>
    </w:p>
    <w:p>
      <w:pPr>
        <w:ind w:left="1100" w:right="280" w:hanging="308"/>
        <w:spacing w:after="0" w:line="278" w:lineRule="auto"/>
        <w:tabs>
          <w:tab w:leader="none" w:pos="108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320" w:right="460" w:hanging="315"/>
        <w:spacing w:after="0" w:line="278" w:lineRule="auto"/>
        <w:tabs>
          <w:tab w:leader="none" w:pos="30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7"/>
          <w:szCs w:val="17"/>
          <w:color w:val="auto"/>
        </w:rPr>
      </w:pPr>
    </w:p>
    <w:p>
      <w:pPr>
        <w:ind w:left="1100" w:right="120" w:hanging="308"/>
        <w:spacing w:after="0" w:line="300" w:lineRule="auto"/>
        <w:tabs>
          <w:tab w:leader="none" w:pos="108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7"/>
          <w:szCs w:val="17"/>
          <w:color w:val="auto"/>
        </w:rPr>
      </w:pPr>
    </w:p>
    <w:p>
      <w:pPr>
        <w:ind w:left="1100" w:right="340" w:hanging="308"/>
        <w:spacing w:after="0" w:line="300" w:lineRule="auto"/>
        <w:tabs>
          <w:tab w:leader="none" w:pos="108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2024</w:t>
      </w:r>
    </w:p>
    <w:p>
      <w:pPr>
        <w:spacing w:after="0" w:line="200" w:lineRule="exact"/>
        <w:rPr>
          <w:sz w:val="20"/>
          <w:szCs w:val="20"/>
          <w:color w:val="auto"/>
        </w:rPr>
      </w:pP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19685</wp:posOffset>
            </wp:positionV>
            <wp:extent cx="357251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8">
                      <a:extLst>
                        <a:ext uri="{28A0092B-C50C-407E-A947-70E740481C1C}"/>
                      </a:extLst>
                    </a:blip>
                    <a:srcRect/>
                    <a:stretch>
                      <a:fillRect/>
                    </a:stretch>
                  </pic:blipFill>
                  <pic:spPr bwMode="auto">
                    <a:xfrm>
                      <a:off x="0" y="0"/>
                      <a:ext cx="3572510" cy="825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Badrinarayanan Kothandaraman</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President and Chief Executive Officer</w:t>
      </w:r>
    </w:p>
    <w:p>
      <w:pPr>
        <w:ind w:left="56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039"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b w:val="1"/>
          <w:bCs w:val="1"/>
          <w:color w:val="auto"/>
        </w:rPr>
        <w:t>Exhibit 31.2</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I, Mandy Yang, certify that:</w:t>
      </w:r>
    </w:p>
    <w:p>
      <w:pPr>
        <w:spacing w:after="0" w:line="119" w:lineRule="exact"/>
        <w:rPr>
          <w:sz w:val="20"/>
          <w:szCs w:val="20"/>
          <w:color w:val="auto"/>
        </w:rPr>
      </w:pPr>
    </w:p>
    <w:p>
      <w:pPr>
        <w:ind w:left="300" w:hanging="295"/>
        <w:spacing w:after="0"/>
        <w:tabs>
          <w:tab w:leader="none" w:pos="3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 have reviewed this Form 10-K of Enphase Energy, Inc.;</w:t>
      </w:r>
    </w:p>
    <w:p>
      <w:pPr>
        <w:spacing w:after="0" w:line="119" w:lineRule="exact"/>
        <w:rPr>
          <w:rFonts w:ascii="Arial" w:cs="Arial" w:eastAsia="Arial" w:hAnsi="Arial"/>
          <w:sz w:val="17"/>
          <w:szCs w:val="17"/>
          <w:color w:val="auto"/>
        </w:rPr>
      </w:pPr>
    </w:p>
    <w:p>
      <w:pPr>
        <w:ind w:left="320" w:right="100" w:hanging="315"/>
        <w:spacing w:after="0" w:line="278" w:lineRule="auto"/>
        <w:tabs>
          <w:tab w:leader="none" w:pos="30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320" w:right="60" w:hanging="315"/>
        <w:spacing w:after="0" w:line="300" w:lineRule="auto"/>
        <w:tabs>
          <w:tab w:leader="none" w:pos="30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7"/>
          <w:szCs w:val="17"/>
          <w:color w:val="auto"/>
        </w:rPr>
      </w:pPr>
    </w:p>
    <w:p>
      <w:pPr>
        <w:ind w:left="320" w:right="60" w:hanging="315"/>
        <w:spacing w:after="0" w:line="278" w:lineRule="auto"/>
        <w:tabs>
          <w:tab w:leader="none" w:pos="30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Arial" w:cs="Arial" w:eastAsia="Arial" w:hAnsi="Arial"/>
          <w:sz w:val="17"/>
          <w:szCs w:val="17"/>
          <w:color w:val="auto"/>
        </w:rPr>
      </w:pPr>
    </w:p>
    <w:p>
      <w:pPr>
        <w:ind w:left="1100" w:right="140" w:hanging="308"/>
        <w:spacing w:after="0" w:line="278" w:lineRule="auto"/>
        <w:tabs>
          <w:tab w:leader="none" w:pos="1088" w:val="left"/>
        </w:tabs>
        <w:numPr>
          <w:ilvl w:val="1"/>
          <w:numId w:val="1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1100" w:right="20" w:hanging="308"/>
        <w:spacing w:after="0" w:line="278" w:lineRule="auto"/>
        <w:tabs>
          <w:tab w:leader="none" w:pos="1088" w:val="left"/>
        </w:tabs>
        <w:numPr>
          <w:ilvl w:val="1"/>
          <w:numId w:val="1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7"/>
          <w:szCs w:val="17"/>
          <w:color w:val="auto"/>
        </w:rPr>
      </w:pPr>
    </w:p>
    <w:p>
      <w:pPr>
        <w:ind w:left="1100" w:right="60" w:hanging="308"/>
        <w:spacing w:after="0" w:line="278" w:lineRule="auto"/>
        <w:tabs>
          <w:tab w:leader="none" w:pos="1092" w:val="left"/>
        </w:tabs>
        <w:numPr>
          <w:ilvl w:val="1"/>
          <w:numId w:val="1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7"/>
          <w:szCs w:val="17"/>
          <w:color w:val="auto"/>
        </w:rPr>
      </w:pPr>
    </w:p>
    <w:p>
      <w:pPr>
        <w:ind w:left="1100" w:right="280" w:hanging="308"/>
        <w:spacing w:after="0" w:line="278" w:lineRule="auto"/>
        <w:tabs>
          <w:tab w:leader="none" w:pos="1088" w:val="left"/>
        </w:tabs>
        <w:numPr>
          <w:ilvl w:val="1"/>
          <w:numId w:val="1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320" w:right="460" w:hanging="315"/>
        <w:spacing w:after="0" w:line="278" w:lineRule="auto"/>
        <w:tabs>
          <w:tab w:leader="none" w:pos="30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7"/>
          <w:szCs w:val="17"/>
          <w:color w:val="auto"/>
        </w:rPr>
      </w:pPr>
    </w:p>
    <w:p>
      <w:pPr>
        <w:ind w:left="1100" w:right="120" w:hanging="308"/>
        <w:spacing w:after="0" w:line="300" w:lineRule="auto"/>
        <w:tabs>
          <w:tab w:leader="none" w:pos="1088"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7"/>
          <w:szCs w:val="17"/>
          <w:color w:val="auto"/>
        </w:rPr>
      </w:pPr>
    </w:p>
    <w:p>
      <w:pPr>
        <w:ind w:left="1100" w:right="340" w:hanging="308"/>
        <w:spacing w:after="0" w:line="300" w:lineRule="auto"/>
        <w:tabs>
          <w:tab w:leader="none" w:pos="1088"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2024</w:t>
      </w:r>
    </w:p>
    <w:p>
      <w:pPr>
        <w:spacing w:after="0" w:line="200" w:lineRule="exact"/>
        <w:rPr>
          <w:sz w:val="20"/>
          <w:szCs w:val="20"/>
          <w:color w:val="auto"/>
        </w:rPr>
      </w:pP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MANDY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19685</wp:posOffset>
            </wp:positionV>
            <wp:extent cx="357251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9">
                      <a:extLst>
                        <a:ext uri="{28A0092B-C50C-407E-A947-70E740481C1C}"/>
                      </a:extLst>
                    </a:blip>
                    <a:srcRect/>
                    <a:stretch>
                      <a:fillRect/>
                    </a:stretch>
                  </pic:blipFill>
                  <pic:spPr bwMode="auto">
                    <a:xfrm>
                      <a:off x="0" y="0"/>
                      <a:ext cx="3572510" cy="825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Mandy Yang</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w:t>
      </w:r>
    </w:p>
    <w:p>
      <w:pPr>
        <w:ind w:left="5640"/>
        <w:spacing w:after="0"/>
        <w:rPr>
          <w:sz w:val="20"/>
          <w:szCs w:val="20"/>
          <w:color w:val="auto"/>
        </w:rPr>
      </w:pPr>
      <w:r>
        <w:rPr>
          <w:rFonts w:ascii="Arial" w:cs="Arial" w:eastAsia="Arial" w:hAnsi="Arial"/>
          <w:sz w:val="17"/>
          <w:szCs w:val="17"/>
          <w:color w:val="auto"/>
        </w:rPr>
        <w:t>(Principal Financial Officer and Principal Accounting Officer)</w:t>
      </w:r>
    </w:p>
    <w:p>
      <w:pPr>
        <w:sectPr>
          <w:pgSz w:w="11900" w:h="16838" w:orient="portrait"/>
          <w:cols w:equalWidth="0" w:num="1">
            <w:col w:w="11240"/>
          </w:cols>
          <w:pgMar w:left="320" w:top="1039"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7"/>
          <w:szCs w:val="17"/>
          <w:b w:val="1"/>
          <w:bCs w:val="1"/>
          <w:color w:val="auto"/>
        </w:rPr>
        <w:t>Exhibit 32.1</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8"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Mandy Yang, Chief Financial Officer (Principal Financial Officer and Principal Accounting Officer) of the Company, each hereby certifies that, to the best of his or her knowledge:</w:t>
      </w:r>
    </w:p>
    <w:p>
      <w:pPr>
        <w:spacing w:after="0" w:line="61" w:lineRule="exact"/>
        <w:rPr>
          <w:sz w:val="20"/>
          <w:szCs w:val="20"/>
          <w:color w:val="auto"/>
        </w:rPr>
      </w:pPr>
    </w:p>
    <w:p>
      <w:pPr>
        <w:ind w:right="220" w:firstLine="5"/>
        <w:spacing w:after="0" w:line="300" w:lineRule="auto"/>
        <w:tabs>
          <w:tab w:leader="none" w:pos="19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Company’s Annual Report on Form 10-K for the period ended December 31, 2023, to which this Certification is attached as Exhibit 32.1 (the “Periodic Report”), fully complies with the requirements of Section 13(a) or Section 15(d) of the Exchange Act; and</w:t>
      </w:r>
    </w:p>
    <w:p>
      <w:pPr>
        <w:spacing w:after="0" w:line="35" w:lineRule="exact"/>
        <w:rPr>
          <w:rFonts w:ascii="Arial" w:cs="Arial" w:eastAsia="Arial" w:hAnsi="Arial"/>
          <w:sz w:val="17"/>
          <w:szCs w:val="17"/>
          <w:color w:val="auto"/>
        </w:rPr>
      </w:pPr>
    </w:p>
    <w:p>
      <w:pPr>
        <w:ind w:right="100" w:firstLine="5"/>
        <w:spacing w:after="0" w:line="300" w:lineRule="auto"/>
        <w:tabs>
          <w:tab w:leader="none" w:pos="19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Date: February 9, 2024</w:t>
            </w:r>
          </w:p>
        </w:tc>
        <w:tc>
          <w:tcPr>
            <w:tcW w:w="5560" w:type="dxa"/>
            <w:vAlign w:val="bottom"/>
          </w:tcPr>
          <w:p>
            <w:pPr>
              <w:ind w:left="20"/>
              <w:spacing w:after="0"/>
              <w:rPr>
                <w:sz w:val="20"/>
                <w:szCs w:val="20"/>
                <w:color w:val="auto"/>
              </w:rPr>
            </w:pPr>
            <w:r>
              <w:rPr>
                <w:rFonts w:ascii="Arial" w:cs="Arial" w:eastAsia="Arial" w:hAnsi="Arial"/>
                <w:sz w:val="17"/>
                <w:szCs w:val="17"/>
                <w:color w:val="auto"/>
              </w:rPr>
              <w:t>Date: February 9, 2024</w:t>
            </w:r>
          </w:p>
        </w:tc>
      </w:tr>
      <w:tr>
        <w:trPr>
          <w:trHeight w:val="429"/>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/s/ BADRINARAYANAN KOTHANDARAMAN</w:t>
            </w:r>
          </w:p>
        </w:tc>
        <w:tc>
          <w:tcPr>
            <w:tcW w:w="5560" w:type="dxa"/>
            <w:vAlign w:val="bottom"/>
          </w:tcPr>
          <w:p>
            <w:pPr>
              <w:ind w:left="20"/>
              <w:spacing w:after="0"/>
              <w:rPr>
                <w:sz w:val="20"/>
                <w:szCs w:val="20"/>
                <w:color w:val="auto"/>
              </w:rPr>
            </w:pPr>
            <w:r>
              <w:rPr>
                <w:rFonts w:ascii="Arial" w:cs="Arial" w:eastAsia="Arial" w:hAnsi="Arial"/>
                <w:sz w:val="17"/>
                <w:szCs w:val="17"/>
                <w:color w:val="auto"/>
              </w:rPr>
              <w:t>/s/ MANDY YANG</w:t>
            </w:r>
          </w:p>
        </w:tc>
      </w:tr>
      <w:tr>
        <w:trPr>
          <w:trHeight w:val="212"/>
        </w:trPr>
        <w:tc>
          <w:tcPr>
            <w:tcW w:w="55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Badrinarayanan Kothandaraman</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Mandy Yang</w:t>
            </w:r>
          </w:p>
        </w:tc>
      </w:tr>
      <w:tr>
        <w:trPr>
          <w:trHeight w:val="174"/>
        </w:trPr>
        <w:tc>
          <w:tcPr>
            <w:tcW w:w="5640" w:type="dxa"/>
            <w:vAlign w:val="bottom"/>
            <w:gridSpan w:val="2"/>
          </w:tcPr>
          <w:p>
            <w:pPr>
              <w:ind w:left="20"/>
              <w:spacing w:after="0" w:line="174" w:lineRule="exact"/>
              <w:rPr>
                <w:sz w:val="20"/>
                <w:szCs w:val="20"/>
                <w:color w:val="auto"/>
              </w:rPr>
            </w:pPr>
            <w:r>
              <w:rPr>
                <w:rFonts w:ascii="Arial" w:cs="Arial" w:eastAsia="Arial" w:hAnsi="Arial"/>
                <w:sz w:val="17"/>
                <w:szCs w:val="17"/>
                <w:color w:val="auto"/>
              </w:rPr>
              <w:t>President and Chief Executive Officer</w:t>
            </w:r>
          </w:p>
        </w:tc>
        <w:tc>
          <w:tcPr>
            <w:tcW w:w="5560" w:type="dxa"/>
            <w:vAlign w:val="bottom"/>
          </w:tcPr>
          <w:p>
            <w:pPr>
              <w:ind w:left="20"/>
              <w:spacing w:after="0" w:line="174" w:lineRule="exact"/>
              <w:rPr>
                <w:sz w:val="20"/>
                <w:szCs w:val="20"/>
                <w:color w:val="auto"/>
              </w:rPr>
            </w:pPr>
            <w:r>
              <w:rPr>
                <w:rFonts w:ascii="Arial" w:cs="Arial" w:eastAsia="Arial" w:hAnsi="Arial"/>
                <w:sz w:val="17"/>
                <w:szCs w:val="17"/>
                <w:color w:val="auto"/>
              </w:rPr>
              <w:t>Chief Financial Officer</w:t>
            </w: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(Principal Executive Officer)</w:t>
            </w:r>
          </w:p>
        </w:tc>
        <w:tc>
          <w:tcPr>
            <w:tcW w:w="5560" w:type="dxa"/>
            <w:vAlign w:val="bottom"/>
          </w:tcPr>
          <w:p>
            <w:pPr>
              <w:ind w:left="20"/>
              <w:spacing w:after="0"/>
              <w:rPr>
                <w:sz w:val="20"/>
                <w:szCs w:val="20"/>
                <w:color w:val="auto"/>
              </w:rPr>
            </w:pPr>
            <w:r>
              <w:rPr>
                <w:rFonts w:ascii="Arial" w:cs="Arial" w:eastAsia="Arial" w:hAnsi="Arial"/>
                <w:sz w:val="17"/>
                <w:szCs w:val="17"/>
                <w:color w:val="auto"/>
              </w:rPr>
              <w:t>(Principal Financial Officer and Principal Accounting Officer)</w:t>
            </w:r>
          </w:p>
        </w:tc>
      </w:tr>
    </w:tbl>
    <w:p>
      <w:pPr>
        <w:spacing w:after="0" w:line="15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10-K), irrespective of any general incorporation language contained in such filing.</w:t>
      </w:r>
    </w:p>
    <w:p>
      <w:pPr>
        <w:spacing w:after="0" w:line="376" w:lineRule="exact"/>
        <w:rPr>
          <w:sz w:val="20"/>
          <w:szCs w:val="20"/>
          <w:color w:val="auto"/>
        </w:rPr>
      </w:pPr>
    </w:p>
    <w:p>
      <w:pPr>
        <w:ind w:right="320"/>
        <w:spacing w:after="0" w:line="300" w:lineRule="auto"/>
        <w:rPr>
          <w:sz w:val="20"/>
          <w:szCs w:val="20"/>
          <w:color w:val="auto"/>
        </w:rPr>
      </w:pPr>
      <w:r>
        <w:rPr>
          <w:rFonts w:ascii="Arial" w:cs="Arial" w:eastAsia="Arial" w:hAnsi="Arial"/>
          <w:sz w:val="17"/>
          <w:szCs w:val="17"/>
          <w:color w:val="auto"/>
        </w:rPr>
        <w:t>A signed original of this written statement has been provided to Enphase Energy, Inc. and will be retained by it and furnished to the Securities and Exchange Commission or its staff upon request.</w:t>
      </w:r>
    </w:p>
    <w:p>
      <w:pPr>
        <w:sectPr>
          <w:pgSz w:w="11900" w:h="16838" w:orient="portrait"/>
          <w:cols w:equalWidth="0" w:num="1">
            <w:col w:w="11240"/>
          </w:cols>
          <w:pgMar w:left="320" w:top="1038" w:right="339" w:bottom="1440" w:gutter="0" w:footer="0" w:header="0"/>
        </w:sectPr>
      </w:pPr>
    </w:p>
    <w:bookmarkStart w:id="208" w:name="page209"/>
    <w:bookmarkEnd w:id="208"/>
    <w:p>
      <w:pPr>
        <w:ind w:left="10160"/>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ENPHASE ENERGY, INC.</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Incentive Compensation Recoupment Policy</w:t>
      </w:r>
    </w:p>
    <w:p>
      <w:pPr>
        <w:spacing w:after="0" w:line="309" w:lineRule="exact"/>
        <w:rPr>
          <w:sz w:val="20"/>
          <w:szCs w:val="20"/>
          <w:color w:val="auto"/>
        </w:rPr>
      </w:pPr>
    </w:p>
    <w:p>
      <w:pPr>
        <w:ind w:left="580" w:hanging="418"/>
        <w:spacing w:after="0"/>
        <w:tabs>
          <w:tab w:leader="none" w:pos="580" w:val="left"/>
        </w:tabs>
        <w:numPr>
          <w:ilvl w:val="0"/>
          <w:numId w:val="1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INTRODUCTION</w:t>
      </w:r>
    </w:p>
    <w:p>
      <w:pPr>
        <w:spacing w:after="0" w:line="235" w:lineRule="exact"/>
        <w:rPr>
          <w:sz w:val="20"/>
          <w:szCs w:val="20"/>
          <w:color w:val="auto"/>
        </w:rPr>
      </w:pPr>
    </w:p>
    <w:p>
      <w:pPr>
        <w:jc w:val="both"/>
        <w:ind w:firstLine="629"/>
        <w:spacing w:after="0" w:line="247" w:lineRule="auto"/>
        <w:rPr>
          <w:sz w:val="20"/>
          <w:szCs w:val="20"/>
          <w:color w:val="auto"/>
        </w:rPr>
      </w:pPr>
      <w:r>
        <w:rPr>
          <w:rFonts w:ascii="Times New Roman" w:cs="Times New Roman" w:eastAsia="Times New Roman" w:hAnsi="Times New Roman"/>
          <w:sz w:val="19"/>
          <w:szCs w:val="19"/>
          <w:color w:val="auto"/>
        </w:rPr>
        <w:t>The Compensation Committee (the “</w:t>
      </w:r>
      <w:r>
        <w:rPr>
          <w:rFonts w:ascii="Times New Roman" w:cs="Times New Roman" w:eastAsia="Times New Roman" w:hAnsi="Times New Roman"/>
          <w:sz w:val="19"/>
          <w:szCs w:val="19"/>
          <w:b w:val="1"/>
          <w:bCs w:val="1"/>
          <w:i w:val="1"/>
          <w:iCs w:val="1"/>
          <w:color w:val="auto"/>
        </w:rPr>
        <w:t>Compensation Committee</w:t>
      </w:r>
      <w:r>
        <w:rPr>
          <w:rFonts w:ascii="Times New Roman" w:cs="Times New Roman" w:eastAsia="Times New Roman" w:hAnsi="Times New Roman"/>
          <w:sz w:val="19"/>
          <w:szCs w:val="19"/>
          <w:color w:val="auto"/>
        </w:rPr>
        <w:t>”) of the Board of Directors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of Enphase Energy,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91"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9"/>
          <w:szCs w:val="19"/>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19"/>
          <w:szCs w:val="19"/>
          <w:b w:val="1"/>
          <w:bCs w:val="1"/>
          <w:i w:val="1"/>
          <w:iCs w:val="1"/>
          <w:color w:val="auto"/>
        </w:rPr>
        <w:t>Rule 10D-1</w:t>
      </w:r>
      <w:r>
        <w:rPr>
          <w:rFonts w:ascii="Times New Roman" w:cs="Times New Roman" w:eastAsia="Times New Roman" w:hAnsi="Times New Roman"/>
          <w:sz w:val="19"/>
          <w:szCs w:val="19"/>
          <w:color w:val="auto"/>
        </w:rPr>
        <w:t>”) and Nasdaq Listing Rule 5608 (the “</w:t>
      </w:r>
      <w:r>
        <w:rPr>
          <w:rFonts w:ascii="Times New Roman" w:cs="Times New Roman" w:eastAsia="Times New Roman" w:hAnsi="Times New Roman"/>
          <w:sz w:val="19"/>
          <w:szCs w:val="19"/>
          <w:b w:val="1"/>
          <w:bCs w:val="1"/>
          <w:i w:val="1"/>
          <w:iCs w:val="1"/>
          <w:color w:val="auto"/>
        </w:rPr>
        <w:t>Listing Standards</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ind w:left="580" w:hanging="418"/>
        <w:spacing w:after="0"/>
        <w:tabs>
          <w:tab w:leader="none" w:pos="580" w:val="left"/>
        </w:tabs>
        <w:numPr>
          <w:ilvl w:val="0"/>
          <w:numId w:val="1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EFFECTIVE DATE</w:t>
      </w:r>
    </w:p>
    <w:p>
      <w:pPr>
        <w:spacing w:after="0" w:line="235"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19"/>
          <w:szCs w:val="19"/>
          <w:color w:val="auto"/>
        </w:rPr>
        <w:t>This Policy shall apply to all Incentive Compensation that is received by a Covered Officer on or after October 2, 2023 (the “</w:t>
      </w:r>
      <w:r>
        <w:rPr>
          <w:rFonts w:ascii="Times New Roman" w:cs="Times New Roman" w:eastAsia="Times New Roman" w:hAnsi="Times New Roman"/>
          <w:sz w:val="19"/>
          <w:szCs w:val="19"/>
          <w:b w:val="1"/>
          <w:bCs w:val="1"/>
          <w:i w:val="1"/>
          <w:iCs w:val="1"/>
          <w:color w:val="auto"/>
        </w:rPr>
        <w:t>Effective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Date</w:t>
      </w:r>
      <w:r>
        <w:rPr>
          <w:rFonts w:ascii="Times New Roman" w:cs="Times New Roman" w:eastAsia="Times New Roman" w:hAnsi="Times New Roman"/>
          <w:sz w:val="19"/>
          <w:szCs w:val="19"/>
          <w:color w:val="auto"/>
        </w:rPr>
        <w:t>”). Incentive Compensation is deemed “</w:t>
      </w:r>
      <w:r>
        <w:rPr>
          <w:rFonts w:ascii="Times New Roman" w:cs="Times New Roman" w:eastAsia="Times New Roman" w:hAnsi="Times New Roman"/>
          <w:sz w:val="19"/>
          <w:szCs w:val="19"/>
          <w:b w:val="1"/>
          <w:bCs w:val="1"/>
          <w:i w:val="1"/>
          <w:iCs w:val="1"/>
          <w:color w:val="auto"/>
        </w:rPr>
        <w:t>received</w:t>
      </w:r>
      <w:r>
        <w:rPr>
          <w:rFonts w:ascii="Times New Roman" w:cs="Times New Roman" w:eastAsia="Times New Roman" w:hAnsi="Times New Roman"/>
          <w:sz w:val="19"/>
          <w:szCs w:val="19"/>
          <w:color w:val="auto"/>
        </w:rPr>
        <w:t>” in the Company’s fiscal period in which the Financial Reporting Measure specified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Incentive Compensation award is attained, even if the payment or grant of such Incentive Compensation occurs after the end of that period.</w:t>
      </w:r>
    </w:p>
    <w:p>
      <w:pPr>
        <w:spacing w:after="0" w:line="185" w:lineRule="exact"/>
        <w:rPr>
          <w:sz w:val="20"/>
          <w:szCs w:val="20"/>
          <w:color w:val="auto"/>
        </w:rPr>
      </w:pPr>
    </w:p>
    <w:p>
      <w:pPr>
        <w:ind w:left="580" w:hanging="418"/>
        <w:spacing w:after="0"/>
        <w:tabs>
          <w:tab w:leader="none" w:pos="580" w:val="left"/>
        </w:tabs>
        <w:numPr>
          <w:ilvl w:val="0"/>
          <w:numId w:val="1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235" w:lineRule="exact"/>
        <w:rPr>
          <w:sz w:val="20"/>
          <w:szCs w:val="20"/>
          <w:color w:val="auto"/>
        </w:rPr>
      </w:pPr>
    </w:p>
    <w:p>
      <w:pPr>
        <w:jc w:val="both"/>
        <w:ind w:firstLine="629"/>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Accounting Restatement</w:t>
      </w:r>
      <w:r>
        <w:rPr>
          <w:rFonts w:ascii="Times New Roman" w:cs="Times New Roman" w:eastAsia="Times New Roman" w:hAnsi="Times New Roman"/>
          <w:sz w:val="19"/>
          <w:szCs w:val="19"/>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98" w:lineRule="exact"/>
        <w:rPr>
          <w:sz w:val="20"/>
          <w:szCs w:val="20"/>
          <w:color w:val="auto"/>
        </w:rPr>
      </w:pPr>
    </w:p>
    <w:p>
      <w:pPr>
        <w:jc w:val="both"/>
        <w:ind w:firstLine="629"/>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Accounting Restatement Date</w:t>
      </w:r>
      <w:r>
        <w:rPr>
          <w:rFonts w:ascii="Times New Roman" w:cs="Times New Roman" w:eastAsia="Times New Roman" w:hAnsi="Times New Roman"/>
          <w:sz w:val="19"/>
          <w:szCs w:val="19"/>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Administrator</w:t>
      </w:r>
      <w:r>
        <w:rPr>
          <w:rFonts w:ascii="Times New Roman" w:cs="Times New Roman" w:eastAsia="Times New Roman" w:hAnsi="Times New Roman"/>
          <w:sz w:val="19"/>
          <w:szCs w:val="19"/>
          <w:color w:val="auto"/>
        </w:rPr>
        <w:t>” means the Compensation Committee or, in the absence of such committee,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Board.</w:t>
      </w:r>
    </w:p>
    <w:p>
      <w:pPr>
        <w:spacing w:after="0" w:line="201" w:lineRule="exact"/>
        <w:rPr>
          <w:sz w:val="20"/>
          <w:szCs w:val="20"/>
          <w:color w:val="auto"/>
        </w:rPr>
      </w:pPr>
    </w:p>
    <w:p>
      <w:pPr>
        <w:ind w:right="3800" w:firstLine="629"/>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U.S. Internal Revenue Code of 1986, as amended, and the regulations promulgated thereunder.</w:t>
      </w:r>
    </w:p>
    <w:p>
      <w:pPr>
        <w:spacing w:after="0" w:line="1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Officer</w:t>
      </w:r>
      <w:r>
        <w:rPr>
          <w:rFonts w:ascii="Times New Roman" w:cs="Times New Roman" w:eastAsia="Times New Roman" w:hAnsi="Times New Roman"/>
          <w:sz w:val="19"/>
          <w:szCs w:val="19"/>
          <w:color w:val="auto"/>
        </w:rPr>
        <w:t>” means each current and former Executive Officer.</w:t>
      </w:r>
    </w:p>
    <w:p>
      <w:pPr>
        <w:spacing w:after="0" w:line="2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w:t>
      </w:r>
      <w:r>
        <w:rPr>
          <w:rFonts w:ascii="Times New Roman" w:cs="Times New Roman" w:eastAsia="Times New Roman" w:hAnsi="Times New Roman"/>
          <w:sz w:val="19"/>
          <w:szCs w:val="19"/>
          <w:color w:val="auto"/>
        </w:rPr>
        <w:t>” means the Nasdaq Stock Market.</w:t>
      </w:r>
    </w:p>
    <w:p>
      <w:pPr>
        <w:sectPr>
          <w:pgSz w:w="11900" w:h="16838" w:orient="portrait"/>
          <w:cols w:equalWidth="0" w:num="1">
            <w:col w:w="11240"/>
          </w:cols>
          <w:pgMar w:left="320" w:top="110" w:right="339" w:bottom="1440" w:gutter="0" w:footer="0" w:header="0"/>
        </w:sectPr>
      </w:pPr>
    </w:p>
    <w:bookmarkStart w:id="209" w:name="page210"/>
    <w:bookmarkEnd w:id="209"/>
    <w:p>
      <w:pPr>
        <w:ind w:left="10160"/>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U.S. Securities Exchange Act of 1934, as amended.</w:t>
      </w:r>
    </w:p>
    <w:p>
      <w:pPr>
        <w:spacing w:after="0" w:line="227" w:lineRule="exact"/>
        <w:rPr>
          <w:sz w:val="20"/>
          <w:szCs w:val="20"/>
          <w:color w:val="auto"/>
        </w:rPr>
      </w:pPr>
    </w:p>
    <w:p>
      <w:pPr>
        <w:jc w:val="both"/>
        <w:ind w:firstLine="62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Executive Officer</w:t>
      </w:r>
      <w:r>
        <w:rPr>
          <w:rFonts w:ascii="Times New Roman" w:cs="Times New Roman" w:eastAsia="Times New Roman" w:hAnsi="Times New Roman"/>
          <w:sz w:val="19"/>
          <w:szCs w:val="19"/>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Identification of an executive officer for purposes of this Policy would include at a minimum executive officers identified pursuant to Item 401(b) of Regulation S-K promulgated under the Exchange Act.</w:t>
      </w:r>
    </w:p>
    <w:p>
      <w:pPr>
        <w:spacing w:after="0" w:line="3" w:lineRule="exact"/>
        <w:rPr>
          <w:sz w:val="20"/>
          <w:szCs w:val="20"/>
          <w:color w:val="auto"/>
        </w:rPr>
      </w:pPr>
    </w:p>
    <w:p>
      <w:pPr>
        <w:jc w:val="both"/>
        <w:ind w:firstLine="629"/>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Financial Reporting Measures</w:t>
      </w:r>
      <w:r>
        <w:rPr>
          <w:rFonts w:ascii="Times New Roman" w:cs="Times New Roman" w:eastAsia="Times New Roman" w:hAnsi="Times New Roman"/>
          <w:sz w:val="19"/>
          <w:szCs w:val="19"/>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19"/>
          <w:szCs w:val="19"/>
          <w:b w:val="1"/>
          <w:bCs w:val="1"/>
          <w:i w:val="1"/>
          <w:iCs w:val="1"/>
          <w:color w:val="auto"/>
        </w:rPr>
        <w:t>TSR</w:t>
      </w:r>
      <w:r>
        <w:rPr>
          <w:rFonts w:ascii="Times New Roman" w:cs="Times New Roman" w:eastAsia="Times New Roman" w:hAnsi="Times New Roman"/>
          <w:sz w:val="19"/>
          <w:szCs w:val="19"/>
          <w:color w:val="auto"/>
        </w:rPr>
        <w:t>”). A measure need not be presented in the Company’s financial statements or included in a filing with the SEC in order to be a Financial Reporting Measure.</w:t>
      </w:r>
    </w:p>
    <w:p>
      <w:pPr>
        <w:spacing w:after="0" w:line="205"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Incentive Compensation</w:t>
      </w:r>
      <w:r>
        <w:rPr>
          <w:rFonts w:ascii="Times New Roman" w:cs="Times New Roman" w:eastAsia="Times New Roman" w:hAnsi="Times New Roman"/>
          <w:sz w:val="19"/>
          <w:szCs w:val="19"/>
          <w:color w:val="auto"/>
        </w:rPr>
        <w:t>” means any compensation that is granted, earned or vested based wholly or in part upon the attainment of a Financial Reporting Measure.</w:t>
      </w:r>
    </w:p>
    <w:p>
      <w:pPr>
        <w:spacing w:after="0" w:line="177" w:lineRule="exact"/>
        <w:rPr>
          <w:sz w:val="20"/>
          <w:szCs w:val="20"/>
          <w:color w:val="auto"/>
        </w:rPr>
      </w:pPr>
    </w:p>
    <w:p>
      <w:pPr>
        <w:jc w:val="both"/>
        <w:ind w:firstLine="629"/>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Lookback Period</w:t>
      </w:r>
      <w:r>
        <w:rPr>
          <w:rFonts w:ascii="Times New Roman" w:cs="Times New Roman" w:eastAsia="Times New Roman" w:hAnsi="Times New Roman"/>
          <w:sz w:val="19"/>
          <w:szCs w:val="19"/>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85"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Recoverable Incentive Compensation</w:t>
      </w:r>
      <w:r>
        <w:rPr>
          <w:rFonts w:ascii="Times New Roman" w:cs="Times New Roman" w:eastAsia="Times New Roman" w:hAnsi="Times New Roman"/>
          <w:sz w:val="19"/>
          <w:szCs w:val="19"/>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200" w:lineRule="exact"/>
        <w:rPr>
          <w:sz w:val="20"/>
          <w:szCs w:val="20"/>
          <w:color w:val="auto"/>
        </w:rPr>
      </w:pP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means the U.S. Securities and Exchange Commission.</w:t>
      </w:r>
    </w:p>
    <w:p>
      <w:pPr>
        <w:spacing w:after="0" w:line="223" w:lineRule="exact"/>
        <w:rPr>
          <w:sz w:val="20"/>
          <w:szCs w:val="20"/>
          <w:color w:val="auto"/>
        </w:rPr>
      </w:pPr>
    </w:p>
    <w:p>
      <w:pPr>
        <w:ind w:left="580" w:hanging="418"/>
        <w:spacing w:after="0"/>
        <w:tabs>
          <w:tab w:leader="none" w:pos="580"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RECOUPMENT</w:t>
      </w:r>
    </w:p>
    <w:p>
      <w:pPr>
        <w:spacing w:after="0" w:line="250" w:lineRule="exact"/>
        <w:rPr>
          <w:rFonts w:ascii="Times New Roman" w:cs="Times New Roman" w:eastAsia="Times New Roman" w:hAnsi="Times New Roman"/>
          <w:sz w:val="21"/>
          <w:szCs w:val="21"/>
          <w:b w:val="1"/>
          <w:bCs w:val="1"/>
          <w:color w:val="auto"/>
        </w:rPr>
      </w:pPr>
    </w:p>
    <w:p>
      <w:pPr>
        <w:jc w:val="both"/>
        <w:ind w:left="800" w:hanging="323"/>
        <w:spacing w:after="0" w:line="252" w:lineRule="auto"/>
        <w:tabs>
          <w:tab w:leader="none" w:pos="1140" w:val="left"/>
        </w:tabs>
        <w:numPr>
          <w:ilvl w:val="1"/>
          <w:numId w:val="1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Applicability of Policy. </w:t>
      </w:r>
      <w:r>
        <w:rPr>
          <w:rFonts w:ascii="Times New Roman" w:cs="Times New Roman" w:eastAsia="Times New Roman" w:hAnsi="Times New Roman"/>
          <w:sz w:val="19"/>
          <w:szCs w:val="19"/>
          <w:color w:val="auto"/>
        </w:rPr>
        <w:t>This Policy applies to Incentive Compensation received by a Covered Officer (i) after beginning services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97" w:lineRule="exact"/>
        <w:rPr>
          <w:rFonts w:ascii="Times New Roman" w:cs="Times New Roman" w:eastAsia="Times New Roman" w:hAnsi="Times New Roman"/>
          <w:sz w:val="19"/>
          <w:szCs w:val="19"/>
          <w:b w:val="1"/>
          <w:bCs w:val="1"/>
          <w:color w:val="auto"/>
        </w:rPr>
      </w:pPr>
    </w:p>
    <w:p>
      <w:pPr>
        <w:ind w:left="800" w:hanging="323"/>
        <w:spacing w:after="0" w:line="283" w:lineRule="auto"/>
        <w:tabs>
          <w:tab w:leader="none" w:pos="1283" w:val="left"/>
        </w:tabs>
        <w:numPr>
          <w:ilvl w:val="1"/>
          <w:numId w:val="1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Recoupment Generally. </w:t>
      </w:r>
      <w:r>
        <w:rPr>
          <w:rFonts w:ascii="Times New Roman" w:cs="Times New Roman" w:eastAsia="Times New Roman" w:hAnsi="Times New Roman"/>
          <w:sz w:val="19"/>
          <w:szCs w:val="19"/>
          <w:color w:val="auto"/>
        </w:rPr>
        <w:t>Pursuant to the provisions of this Policy, if there is an Accounting Restatement, the Company must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reasonably promptly recoup the full amount of the</w:t>
      </w:r>
    </w:p>
    <w:p>
      <w:pPr>
        <w:sectPr>
          <w:pgSz w:w="11900" w:h="16838" w:orient="portrait"/>
          <w:cols w:equalWidth="0" w:num="1">
            <w:col w:w="11240"/>
          </w:cols>
          <w:pgMar w:left="320" w:top="110" w:right="339" w:bottom="1440" w:gutter="0" w:footer="0" w:header="0"/>
        </w:sectPr>
      </w:pPr>
    </w:p>
    <w:bookmarkStart w:id="210" w:name="page211"/>
    <w:bookmarkEnd w:id="210"/>
    <w:p>
      <w:pPr>
        <w:ind w:left="9683"/>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323"/>
        <w:spacing w:after="0" w:line="250" w:lineRule="auto"/>
        <w:rPr>
          <w:sz w:val="20"/>
          <w:szCs w:val="20"/>
          <w:color w:val="auto"/>
        </w:rPr>
      </w:pPr>
      <w:r>
        <w:rPr>
          <w:rFonts w:ascii="Times New Roman" w:cs="Times New Roman" w:eastAsia="Times New Roman" w:hAnsi="Times New Roman"/>
          <w:sz w:val="19"/>
          <w:szCs w:val="19"/>
          <w:color w:val="auto"/>
        </w:rPr>
        <w:t>Recoverable Incentive Compensation, unless the conditions of one or more subsections of Section 4(c) of this Policy are met and the Compensation Committee or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98" w:lineRule="exact"/>
        <w:rPr>
          <w:sz w:val="20"/>
          <w:szCs w:val="20"/>
          <w:color w:val="auto"/>
        </w:rPr>
      </w:pPr>
    </w:p>
    <w:p>
      <w:pPr>
        <w:ind w:left="323" w:right="3160" w:hanging="323"/>
        <w:spacing w:after="0" w:line="283" w:lineRule="auto"/>
        <w:tabs>
          <w:tab w:leader="none" w:pos="606" w:val="left"/>
        </w:tabs>
        <w:numPr>
          <w:ilvl w:val="0"/>
          <w:numId w:val="1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Impracticability of Recovery. </w:t>
      </w:r>
      <w:r>
        <w:rPr>
          <w:rFonts w:ascii="Times New Roman" w:cs="Times New Roman" w:eastAsia="Times New Roman" w:hAnsi="Times New Roman"/>
          <w:sz w:val="19"/>
          <w:szCs w:val="19"/>
          <w:color w:val="auto"/>
        </w:rPr>
        <w:t>Recoupment may be determined to be impracticable if,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only if:</w:t>
      </w:r>
    </w:p>
    <w:p>
      <w:pPr>
        <w:spacing w:after="0" w:line="181" w:lineRule="exact"/>
        <w:rPr>
          <w:rFonts w:ascii="Times New Roman" w:cs="Times New Roman" w:eastAsia="Times New Roman" w:hAnsi="Times New Roman"/>
          <w:sz w:val="19"/>
          <w:szCs w:val="19"/>
          <w:b w:val="1"/>
          <w:bCs w:val="1"/>
          <w:color w:val="auto"/>
        </w:rPr>
      </w:pPr>
    </w:p>
    <w:p>
      <w:pPr>
        <w:jc w:val="both"/>
        <w:ind w:left="323" w:hanging="8"/>
        <w:spacing w:after="0" w:line="243" w:lineRule="auto"/>
        <w:tabs>
          <w:tab w:leader="none" w:pos="784"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w:t>
      </w:r>
    </w:p>
    <w:p>
      <w:pPr>
        <w:spacing w:after="0" w:line="205" w:lineRule="exact"/>
        <w:rPr>
          <w:rFonts w:ascii="Times New Roman" w:cs="Times New Roman" w:eastAsia="Times New Roman" w:hAnsi="Times New Roman"/>
          <w:sz w:val="19"/>
          <w:szCs w:val="19"/>
          <w:color w:val="auto"/>
        </w:rPr>
      </w:pPr>
    </w:p>
    <w:p>
      <w:pPr>
        <w:jc w:val="both"/>
        <w:ind w:left="323" w:hanging="8"/>
        <w:spacing w:after="0" w:line="246" w:lineRule="auto"/>
        <w:tabs>
          <w:tab w:leader="none" w:pos="811"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recoupment of the applicable Recoverable Incentive Compensation would violate home country law where that law was adopted prior to November 28, 2022; provided that, before concluding that it would be impracticable to recover any amount of Recoverable Incentive Compensation based on violation of home country law, the Company shall obtain an opinion of home country counsel, acceptable to the Exchange, that recoupment would result in such a violation, and shall provide such opinion to the Exchange in accordance with the Listing Standards; or</w:t>
      </w:r>
    </w:p>
    <w:p>
      <w:pPr>
        <w:spacing w:after="0" w:line="191" w:lineRule="exact"/>
        <w:rPr>
          <w:rFonts w:ascii="Times New Roman" w:cs="Times New Roman" w:eastAsia="Times New Roman" w:hAnsi="Times New Roman"/>
          <w:sz w:val="19"/>
          <w:szCs w:val="19"/>
          <w:color w:val="auto"/>
        </w:rPr>
      </w:pPr>
    </w:p>
    <w:p>
      <w:pPr>
        <w:jc w:val="both"/>
        <w:ind w:left="323" w:hanging="8"/>
        <w:spacing w:after="0" w:line="255" w:lineRule="auto"/>
        <w:tabs>
          <w:tab w:leader="none" w:pos="943"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recoupment of the applicable Recoverable Incentive Compensation would likely cause an otherwise tax-qualified retirement plan, under which benefits are broadly available to employees of the Company, to fail to meet the requirements of Code Section 401(a) (13) or Code Section 411(a) and regulations thereunder.</w:t>
      </w:r>
    </w:p>
    <w:p>
      <w:pPr>
        <w:spacing w:after="0" w:line="180" w:lineRule="exact"/>
        <w:rPr>
          <w:rFonts w:ascii="Times New Roman" w:cs="Times New Roman" w:eastAsia="Times New Roman" w:hAnsi="Times New Roman"/>
          <w:sz w:val="19"/>
          <w:szCs w:val="19"/>
          <w:color w:val="auto"/>
        </w:rPr>
      </w:pPr>
    </w:p>
    <w:p>
      <w:pPr>
        <w:jc w:val="both"/>
        <w:ind w:left="323" w:hanging="323"/>
        <w:spacing w:after="0"/>
        <w:tabs>
          <w:tab w:leader="none" w:pos="713" w:val="left"/>
        </w:tabs>
        <w:numPr>
          <w:ilvl w:val="0"/>
          <w:numId w:val="1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Sources of Recoupment. </w:t>
      </w:r>
      <w:r>
        <w:rPr>
          <w:rFonts w:ascii="Times New Roman" w:cs="Times New Roman" w:eastAsia="Times New Roman" w:hAnsi="Times New Roman"/>
          <w:sz w:val="19"/>
          <w:szCs w:val="19"/>
          <w:color w:val="auto"/>
        </w:rPr>
        <w:t>To the extent permitted by applicable law, the Administrator shall, in its sole discretion, determine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e.g., base salary, bonuses or commissions and compensation previously deferred by the Covered Officer. The Administrator need not utilize the same method of recovery for all Covered Officers or with respect to all types of Recoverable Incentive Compensation.</w:t>
      </w:r>
    </w:p>
    <w:p>
      <w:pPr>
        <w:sectPr>
          <w:pgSz w:w="11900" w:h="16838" w:orient="portrait"/>
          <w:cols w:equalWidth="0" w:num="1">
            <w:col w:w="10763"/>
          </w:cols>
          <w:pgMar w:left="797" w:top="110" w:right="339" w:bottom="1440" w:gutter="0" w:footer="0" w:header="0"/>
        </w:sectPr>
      </w:pPr>
    </w:p>
    <w:bookmarkStart w:id="211" w:name="page212"/>
    <w:bookmarkEnd w:id="211"/>
    <w:p>
      <w:pPr>
        <w:ind w:left="10160"/>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800" w:hanging="323"/>
        <w:spacing w:after="0" w:line="256" w:lineRule="auto"/>
        <w:tabs>
          <w:tab w:leader="none" w:pos="1220" w:val="left"/>
        </w:tabs>
        <w:numPr>
          <w:ilvl w:val="1"/>
          <w:numId w:val="1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 Indemnification of Covered Officers. </w:t>
      </w:r>
      <w:r>
        <w:rPr>
          <w:rFonts w:ascii="Times New Roman" w:cs="Times New Roman" w:eastAsia="Times New Roman" w:hAnsi="Times New Roman"/>
          <w:sz w:val="19"/>
          <w:szCs w:val="19"/>
          <w:color w:val="auto"/>
        </w:rPr>
        <w:t>Notwithstanding any indemnification agreement, applicable insurance policy or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agreement or provision of the Company’s certificate of incorporation or bylaws to the contrary, no Covered Officer shall be entitled to indemnification in connection with any enforcement of this Policy by the Company.</w:t>
      </w:r>
    </w:p>
    <w:p>
      <w:pPr>
        <w:spacing w:after="0" w:line="179" w:lineRule="exact"/>
        <w:rPr>
          <w:rFonts w:ascii="Times New Roman" w:cs="Times New Roman" w:eastAsia="Times New Roman" w:hAnsi="Times New Roman"/>
          <w:sz w:val="19"/>
          <w:szCs w:val="19"/>
          <w:b w:val="1"/>
          <w:bCs w:val="1"/>
          <w:color w:val="auto"/>
        </w:rPr>
      </w:pPr>
    </w:p>
    <w:p>
      <w:pPr>
        <w:jc w:val="both"/>
        <w:ind w:left="800" w:hanging="323"/>
        <w:spacing w:after="0" w:line="247" w:lineRule="auto"/>
        <w:tabs>
          <w:tab w:leader="none" w:pos="1195" w:val="left"/>
        </w:tabs>
        <w:numPr>
          <w:ilvl w:val="1"/>
          <w:numId w:val="1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Indemnification of Administrator. </w:t>
      </w:r>
      <w:r>
        <w:rPr>
          <w:rFonts w:ascii="Times New Roman" w:cs="Times New Roman" w:eastAsia="Times New Roman" w:hAnsi="Times New Roman"/>
          <w:sz w:val="19"/>
          <w:szCs w:val="19"/>
          <w:color w:val="auto"/>
        </w:rPr>
        <w:t>Any members of the Administrator, and any other members of the Board who assist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80" w:lineRule="exact"/>
        <w:rPr>
          <w:rFonts w:ascii="Times New Roman" w:cs="Times New Roman" w:eastAsia="Times New Roman" w:hAnsi="Times New Roman"/>
          <w:sz w:val="19"/>
          <w:szCs w:val="19"/>
          <w:b w:val="1"/>
          <w:bCs w:val="1"/>
          <w:color w:val="auto"/>
        </w:rPr>
      </w:pPr>
    </w:p>
    <w:p>
      <w:pPr>
        <w:ind w:left="580" w:hanging="418"/>
        <w:spacing w:after="0"/>
        <w:tabs>
          <w:tab w:leader="none" w:pos="580" w:val="left"/>
        </w:tabs>
        <w:numPr>
          <w:ilvl w:val="0"/>
          <w:numId w:val="1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ADMINISTRATION</w:t>
      </w:r>
    </w:p>
    <w:p>
      <w:pPr>
        <w:spacing w:after="0" w:line="252"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19"/>
          <w:szCs w:val="19"/>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90" w:lineRule="exact"/>
        <w:rPr>
          <w:sz w:val="20"/>
          <w:szCs w:val="20"/>
          <w:color w:val="auto"/>
        </w:rPr>
      </w:pPr>
    </w:p>
    <w:p>
      <w:pPr>
        <w:ind w:left="580" w:hanging="418"/>
        <w:spacing w:after="0"/>
        <w:tabs>
          <w:tab w:leader="none" w:pos="580" w:val="left"/>
        </w:tabs>
        <w:numPr>
          <w:ilvl w:val="0"/>
          <w:numId w:val="1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SEVERABILITY</w:t>
      </w:r>
    </w:p>
    <w:p>
      <w:pPr>
        <w:spacing w:after="0" w:line="252" w:lineRule="exact"/>
        <w:rPr>
          <w:sz w:val="20"/>
          <w:szCs w:val="20"/>
          <w:color w:val="auto"/>
        </w:rPr>
      </w:pPr>
    </w:p>
    <w:p>
      <w:pPr>
        <w:jc w:val="both"/>
        <w:ind w:firstLine="629"/>
        <w:spacing w:after="0" w:line="247" w:lineRule="auto"/>
        <w:rPr>
          <w:sz w:val="20"/>
          <w:szCs w:val="20"/>
          <w:color w:val="auto"/>
        </w:rPr>
      </w:pPr>
      <w:r>
        <w:rPr>
          <w:rFonts w:ascii="Times New Roman" w:cs="Times New Roman" w:eastAsia="Times New Roman" w:hAnsi="Times New Roman"/>
          <w:sz w:val="19"/>
          <w:szCs w:val="19"/>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80" w:lineRule="exact"/>
        <w:rPr>
          <w:sz w:val="20"/>
          <w:szCs w:val="20"/>
          <w:color w:val="auto"/>
        </w:rPr>
      </w:pPr>
    </w:p>
    <w:p>
      <w:pPr>
        <w:ind w:left="580" w:hanging="418"/>
        <w:spacing w:after="0"/>
        <w:tabs>
          <w:tab w:leader="none" w:pos="580" w:val="left"/>
        </w:tabs>
        <w:numPr>
          <w:ilvl w:val="0"/>
          <w:numId w:val="1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IMPAIRMENTS OF OTHER REMEDIES</w:t>
      </w:r>
    </w:p>
    <w:p>
      <w:pPr>
        <w:spacing w:after="0" w:line="252" w:lineRule="exact"/>
        <w:rPr>
          <w:sz w:val="20"/>
          <w:szCs w:val="20"/>
          <w:color w:val="auto"/>
        </w:rPr>
      </w:pPr>
    </w:p>
    <w:p>
      <w:pPr>
        <w:jc w:val="both"/>
        <w:ind w:firstLine="629"/>
        <w:spacing w:after="0" w:line="239" w:lineRule="auto"/>
        <w:rPr>
          <w:sz w:val="20"/>
          <w:szCs w:val="20"/>
          <w:color w:val="auto"/>
        </w:rPr>
      </w:pPr>
      <w:r>
        <w:rPr>
          <w:rFonts w:ascii="Times New Roman" w:cs="Times New Roman" w:eastAsia="Times New Roman" w:hAnsi="Times New Roman"/>
          <w:sz w:val="19"/>
          <w:szCs w:val="19"/>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(“SOX 304”)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ectPr>
          <w:pgSz w:w="11900" w:h="16838" w:orient="portrait"/>
          <w:cols w:equalWidth="0" w:num="1">
            <w:col w:w="11240"/>
          </w:cols>
          <w:pgMar w:left="320" w:top="110"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21"/>
          <w:szCs w:val="21"/>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0" w:hanging="418"/>
        <w:spacing w:after="0"/>
        <w:tabs>
          <w:tab w:leader="none" w:pos="580" w:val="left"/>
        </w:tabs>
        <w:numPr>
          <w:ilvl w:val="0"/>
          <w:numId w:val="1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AMENDMENT; TERMINATION</w:t>
      </w:r>
    </w:p>
    <w:p>
      <w:pPr>
        <w:spacing w:after="0" w:line="239" w:lineRule="exact"/>
        <w:rPr>
          <w:sz w:val="20"/>
          <w:szCs w:val="20"/>
          <w:color w:val="auto"/>
        </w:rPr>
      </w:pPr>
    </w:p>
    <w:p>
      <w:pPr>
        <w:ind w:firstLine="629"/>
        <w:spacing w:after="0" w:line="280" w:lineRule="auto"/>
        <w:rPr>
          <w:sz w:val="20"/>
          <w:szCs w:val="20"/>
          <w:color w:val="auto"/>
        </w:rPr>
      </w:pPr>
      <w:r>
        <w:rPr>
          <w:rFonts w:ascii="Times New Roman" w:cs="Times New Roman" w:eastAsia="Times New Roman" w:hAnsi="Times New Roman"/>
          <w:sz w:val="19"/>
          <w:szCs w:val="19"/>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50" w:lineRule="exact"/>
        <w:rPr>
          <w:sz w:val="20"/>
          <w:szCs w:val="20"/>
          <w:color w:val="auto"/>
        </w:rPr>
      </w:pPr>
    </w:p>
    <w:p>
      <w:pPr>
        <w:ind w:left="580" w:hanging="418"/>
        <w:spacing w:after="0"/>
        <w:tabs>
          <w:tab w:leader="none" w:pos="580" w:val="left"/>
        </w:tabs>
        <w:numPr>
          <w:ilvl w:val="0"/>
          <w:numId w:val="1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SUCCESSORS</w:t>
      </w:r>
    </w:p>
    <w:p>
      <w:pPr>
        <w:spacing w:after="0" w:line="252" w:lineRule="exact"/>
        <w:rPr>
          <w:sz w:val="20"/>
          <w:szCs w:val="20"/>
          <w:color w:val="auto"/>
        </w:rPr>
      </w:pPr>
    </w:p>
    <w:p>
      <w:pPr>
        <w:ind w:firstLine="629"/>
        <w:spacing w:after="0" w:line="266" w:lineRule="auto"/>
        <w:rPr>
          <w:sz w:val="20"/>
          <w:szCs w:val="20"/>
          <w:color w:val="auto"/>
        </w:rPr>
      </w:pPr>
      <w:r>
        <w:rPr>
          <w:rFonts w:ascii="Times New Roman" w:cs="Times New Roman" w:eastAsia="Times New Roman" w:hAnsi="Times New Roman"/>
          <w:sz w:val="19"/>
          <w:szCs w:val="19"/>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color w:val="auto"/>
        </w:rPr>
        <w:t>10. REQUIRED FILINGS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Company shall make any disclosures and filings with respect to this Policy that are required by law, including as required by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w:t>
      </w: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 * * * *</w:t>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1)"/>
      <w:numFmt w:val="decimal"/>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endash "/>
      <w:numFmt w:val="bullet"/>
      <w:start w:val="1"/>
    </w:lvl>
    <w:lvl w:ilvl="1">
      <w:lvlJc w:val="left"/>
      <w:lvlText w:val="•"/>
      <w:numFmt w:val="bullet"/>
      <w:start w:val="1"/>
    </w:lvl>
  </w:abstractNum>
  <w:abstractNum w:abstractNumId="35">
    <w:nsid w:val="1716703B"/>
    <w:multiLevelType w:val="hybridMultilevel"/>
    <w:lvl w:ilvl="0">
      <w:lvlJc w:val="left"/>
      <w:lvlText w:val="%1."/>
      <w:numFmt w:val="decimal"/>
      <w:start w:val="1"/>
    </w:lvl>
  </w:abstractNum>
  <w:abstractNum w:abstractNumId="36">
    <w:nsid w:val="14E17E33"/>
    <w:multiLevelType w:val="hybridMultilevel"/>
    <w:lvl w:ilvl="0">
      <w:lvlJc w:val="left"/>
      <w:lvlText w:val="%1."/>
      <w:numFmt w:val="decimal"/>
      <w:start w:val="2"/>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1."/>
      <w:numFmt w:val="decimal"/>
      <w:start w:val="3"/>
    </w:lvl>
  </w:abstractNum>
  <w:abstractNum w:abstractNumId="41">
    <w:nsid w:val="46B7D447"/>
    <w:multiLevelType w:val="hybridMultilevel"/>
    <w:lvl w:ilvl="0">
      <w:lvlJc w:val="left"/>
      <w:lvlText w:val="%1."/>
      <w:numFmt w:val="decimal"/>
      <w:start w:val="6"/>
    </w:lvl>
  </w:abstractNum>
  <w:abstractNum w:abstractNumId="42">
    <w:nsid w:val="4A2AC315"/>
    <w:multiLevelType w:val="hybridMultilevel"/>
    <w:lvl w:ilvl="0">
      <w:lvlJc w:val="left"/>
      <w:lvlText w:val="%1."/>
      <w:numFmt w:val="decimal"/>
      <w:start w:val="8"/>
    </w:lvl>
  </w:abstractNum>
  <w:abstractNum w:abstractNumId="43">
    <w:nsid w:val="39EE015C"/>
    <w:multiLevelType w:val="hybridMultilevel"/>
    <w:lvl w:ilvl="0">
      <w:lvlJc w:val="left"/>
      <w:lvlText w:val="(%1)"/>
      <w:numFmt w:val="decimal"/>
      <w:start w:val="1"/>
    </w:lvl>
  </w:abstractNum>
  <w:abstractNum w:abstractNumId="44">
    <w:nsid w:val="57FC4FBB"/>
    <w:multiLevelType w:val="hybridMultilevel"/>
    <w:lvl w:ilvl="0">
      <w:lvlJc w:val="left"/>
      <w:lvlText w:val="%1."/>
      <w:numFmt w:val="decimal"/>
      <w:start w:val="1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1."/>
      <w:numFmt w:val="decimal"/>
      <w:start w:val="12"/>
    </w:lvl>
  </w:abstractNum>
  <w:abstractNum w:abstractNumId="47">
    <w:nsid w:val="60EF0119"/>
    <w:multiLevelType w:val="hybridMultilevel"/>
    <w:lvl w:ilvl="0">
      <w:lvlJc w:val="left"/>
      <w:lvlText w:val="%1."/>
      <w:numFmt w:val="decimal"/>
      <w:start w:val="14"/>
    </w:lvl>
  </w:abstractNum>
  <w:abstractNum w:abstractNumId="48">
    <w:nsid w:val="26F324BA"/>
    <w:multiLevelType w:val="hybridMultilevel"/>
    <w:lvl w:ilvl="0">
      <w:lvlJc w:val="left"/>
      <w:lvlText w:val="%1."/>
      <w:numFmt w:val="decimal"/>
      <w:start w:val="15"/>
    </w:lvl>
  </w:abstractNum>
  <w:abstractNum w:abstractNumId="49">
    <w:nsid w:val="7F01579B"/>
    <w:multiLevelType w:val="hybridMultilevel"/>
    <w:lvl w:ilvl="0">
      <w:lvlJc w:val="left"/>
      <w:lvlText w:val="%1."/>
      <w:numFmt w:val="decimal"/>
      <w:start w:val="16"/>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1)"/>
      <w:numFmt w:val="decimal"/>
      <w:start w:val="1"/>
    </w:lvl>
  </w:abstractNum>
  <w:abstractNum w:abstractNumId="52">
    <w:nsid w:val="5FB8370B"/>
    <w:multiLevelType w:val="hybridMultilevel"/>
    <w:lvl w:ilvl="0">
      <w:lvlJc w:val="left"/>
      <w:lvlText w:val="(%1)"/>
      <w:numFmt w:val="decimal"/>
      <w:start w:val="1"/>
    </w:lvl>
  </w:abstractNum>
  <w:abstractNum w:abstractNumId="53">
    <w:nsid w:val="50801EE1"/>
    <w:multiLevelType w:val="hybridMultilevel"/>
    <w:lvl w:ilvl="0">
      <w:lvlJc w:val="left"/>
      <w:lvlText w:val="(%1)"/>
      <w:numFmt w:val="decimal"/>
      <w:start w:val="1"/>
    </w:lvl>
  </w:abstractNum>
  <w:abstractNum w:abstractNumId="54">
    <w:nsid w:val="488AC1A"/>
    <w:multiLevelType w:val="hybridMultilevel"/>
    <w:lvl w:ilvl="0">
      <w:lvlJc w:val="left"/>
      <w:lvlText w:val="%1."/>
      <w:numFmt w:val="decimal"/>
      <w:start w:val="17"/>
    </w:lvl>
  </w:abstractNum>
  <w:abstractNum w:abstractNumId="55">
    <w:nsid w:val="5FB8011C"/>
    <w:multiLevelType w:val="hybridMultilevel"/>
    <w:lvl w:ilvl="0">
      <w:lvlJc w:val="left"/>
      <w:lvlText w:val="%1."/>
      <w:numFmt w:val="decimal"/>
      <w:start w:val="18"/>
    </w:lvl>
  </w:abstractNum>
  <w:abstractNum w:abstractNumId="56">
    <w:nsid w:val="6AA78F7F"/>
    <w:multiLevelType w:val="hybridMultilevel"/>
    <w:lvl w:ilvl="0">
      <w:lvlJc w:val="left"/>
      <w:lvlText w:val="%1."/>
      <w:numFmt w:val="decimal"/>
      <w:start w:val="19"/>
    </w:lvl>
  </w:abstractNum>
  <w:abstractNum w:abstractNumId="57">
    <w:nsid w:val="7672BD23"/>
    <w:multiLevelType w:val="hybridMultilevel"/>
    <w:lvl w:ilvl="0">
      <w:lvlJc w:val="left"/>
      <w:lvlText w:val="%1."/>
      <w:numFmt w:val="decimal"/>
      <w:start w:val="20"/>
    </w:lvl>
  </w:abstractNum>
  <w:abstractNum w:abstractNumId="58">
    <w:nsid w:val="6FC75AF8"/>
    <w:multiLevelType w:val="hybridMultilevel"/>
    <w:lvl w:ilvl="0">
      <w:lvlJc w:val="left"/>
      <w:lvlText w:val="%1."/>
      <w:numFmt w:val="decimal"/>
      <w:start w:val="21"/>
    </w:lvl>
  </w:abstractNum>
  <w:abstractNum w:abstractNumId="59">
    <w:nsid w:val="6A5F7029"/>
    <w:multiLevelType w:val="hybridMultilevel"/>
    <w:lvl w:ilvl="0">
      <w:lvlJc w:val="left"/>
      <w:lvlText w:val="%1"/>
      <w:numFmt w:val="decimal"/>
      <w:start w:val="104"/>
    </w:lvl>
  </w:abstractNum>
  <w:abstractNum w:abstractNumId="60">
    <w:nsid w:val="7D5E18F8"/>
    <w:multiLevelType w:val="hybridMultilevel"/>
    <w:lvl w:ilvl="0">
      <w:lvlJc w:val="left"/>
      <w:lvlText w:val="†"/>
      <w:numFmt w:val="bullet"/>
      <w:start w:val="1"/>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1)"/>
      <w:numFmt w:val="lowerLetter"/>
      <w:start w:val="1"/>
    </w:lvl>
  </w:abstractNum>
  <w:abstractNum w:abstractNumId="65">
    <w:nsid w:val="3FA62ACA"/>
    <w:multiLevelType w:val="hybridMultilevel"/>
    <w:lvl w:ilvl="0">
      <w:lvlJc w:val="left"/>
      <w:lvlText w:val="(%1)"/>
      <w:numFmt w:val="lowerLetter"/>
      <w:start w:val="1"/>
    </w:lvl>
  </w:abstractNum>
  <w:abstractNum w:abstractNumId="66">
    <w:nsid w:val="14FCE74E"/>
    <w:multiLevelType w:val="hybridMultilevel"/>
    <w:lvl w:ilvl="0">
      <w:lvlJc w:val="left"/>
      <w:lvlText w:val="(%1)"/>
      <w:numFmt w:val="lowerRoman"/>
      <w:start w:val="1"/>
    </w:lvl>
  </w:abstractNum>
  <w:abstractNum w:abstractNumId="67">
    <w:nsid w:val="6A3DD3E8"/>
    <w:multiLevelType w:val="hybridMultilevel"/>
    <w:lvl w:ilvl="0">
      <w:lvlJc w:val="left"/>
      <w:lvlText w:val="(%1)"/>
      <w:numFmt w:val="lowerLetter"/>
      <w:start w:val="1"/>
    </w:lvl>
  </w:abstractNum>
  <w:abstractNum w:abstractNumId="68">
    <w:nsid w:val="71C91298"/>
    <w:multiLevelType w:val="hybridMultilevel"/>
    <w:lvl w:ilvl="0">
      <w:lvlJc w:val="left"/>
      <w:lvlText w:val="(%1)"/>
      <w:numFmt w:val="lowerLetter"/>
      <w:start w:val="2"/>
    </w:lvl>
  </w:abstractNum>
  <w:abstractNum w:abstractNumId="69">
    <w:nsid w:val="9DAF632"/>
    <w:multiLevelType w:val="hybridMultilevel"/>
    <w:lvl w:ilvl="0">
      <w:lvlJc w:val="left"/>
      <w:lvlText w:val="%1"/>
      <w:numFmt w:val="lowerLetter"/>
      <w:start w:val="1"/>
    </w:lvl>
    <w:lvl w:ilvl="1">
      <w:lvlJc w:val="left"/>
      <w:lvlText w:val="(%2)"/>
      <w:numFmt w:val="lowerLetter"/>
      <w:start w:val="1"/>
    </w:lvl>
  </w:abstractNum>
  <w:abstractNum w:abstractNumId="70">
    <w:nsid w:val="53299938"/>
    <w:multiLevelType w:val="hybridMultilevel"/>
    <w:lvl w:ilvl="0">
      <w:lvlJc w:val="left"/>
      <w:lvlText w:val="(%1)"/>
      <w:numFmt w:val="lowerLetter"/>
      <w:start w:val="9"/>
    </w:lvl>
    <w:lvl w:ilvl="1">
      <w:lvlJc w:val="left"/>
      <w:lvlText w:val="(%2)"/>
      <w:numFmt w:val="lowerLetter"/>
      <w:start w:val="2"/>
    </w:lvl>
  </w:abstractNum>
  <w:abstractNum w:abstractNumId="71">
    <w:nsid w:val="1FBFE8E0"/>
    <w:multiLevelType w:val="hybridMultilevel"/>
    <w:lvl w:ilvl="0">
      <w:lvlJc w:val="left"/>
      <w:lvlText w:val="%1"/>
      <w:numFmt w:val="lowerLetter"/>
      <w:start w:val="1"/>
    </w:lvl>
    <w:lvl w:ilvl="1">
      <w:lvlJc w:val="left"/>
      <w:lvlText w:val="(%2)"/>
      <w:numFmt w:val="lowerLetter"/>
      <w:start w:val="1"/>
    </w:lvl>
  </w:abstractNum>
  <w:abstractNum w:abstractNumId="72">
    <w:nsid w:val="5092CA79"/>
    <w:multiLevelType w:val="hybridMultilevel"/>
    <w:lvl w:ilvl="0">
      <w:lvlJc w:val="left"/>
      <w:lvlText w:val="(%1)"/>
      <w:numFmt w:val="lowerLetter"/>
      <w:start w:val="1"/>
    </w:lvl>
    <w:lvl w:ilvl="1">
      <w:lvlJc w:val="left"/>
      <w:lvlText w:val="%2"/>
      <w:numFmt w:val="lowerLetter"/>
      <w:start w:val="1"/>
    </w:lvl>
  </w:abstractNum>
  <w:abstractNum w:abstractNumId="73">
    <w:nsid w:val="1D545C4D"/>
    <w:multiLevelType w:val="hybridMultilevel"/>
    <w:lvl w:ilvl="0">
      <w:lvlJc w:val="left"/>
      <w:lvlText w:val="(%1)"/>
      <w:numFmt w:val="lowerRoman"/>
      <w:start w:val="2"/>
    </w:lvl>
  </w:abstractNum>
  <w:abstractNum w:abstractNumId="74">
    <w:nsid w:val="59ADEA3D"/>
    <w:multiLevelType w:val="hybridMultilevel"/>
    <w:lvl w:ilvl="0">
      <w:lvlJc w:val="left"/>
      <w:lvlText w:val="(%1)"/>
      <w:numFmt w:val="lowerLetter"/>
      <w:start w:val="1"/>
    </w:lvl>
  </w:abstractNum>
  <w:abstractNum w:abstractNumId="75">
    <w:nsid w:val="288F1A34"/>
    <w:multiLevelType w:val="hybridMultilevel"/>
    <w:lvl w:ilvl="0">
      <w:lvlJc w:val="left"/>
      <w:lvlText w:val="(%1)"/>
      <w:numFmt w:val="lowerLetter"/>
      <w:start w:val="2"/>
    </w:lvl>
  </w:abstractNum>
  <w:abstractNum w:abstractNumId="76">
    <w:nsid w:val="2A155DBC"/>
    <w:multiLevelType w:val="hybridMultilevel"/>
    <w:lvl w:ilvl="0">
      <w:lvlJc w:val="left"/>
      <w:lvlText w:val="(%1)"/>
      <w:numFmt w:val="lowerLetter"/>
      <w:start w:val="1"/>
    </w:lvl>
    <w:lvl w:ilvl="1">
      <w:lvlJc w:val="left"/>
      <w:lvlText w:val="(%2)"/>
      <w:numFmt w:val="lowerLetter"/>
      <w:start w:val="9"/>
    </w:lvl>
  </w:abstractNum>
  <w:abstractNum w:abstractNumId="77">
    <w:nsid w:val="1D9F6E5F"/>
    <w:multiLevelType w:val="hybridMultilevel"/>
    <w:lvl w:ilvl="0">
      <w:lvlJc w:val="left"/>
      <w:lvlText w:val="(%1)"/>
      <w:numFmt w:val="lowerRoman"/>
      <w:start w:val="2"/>
    </w:lvl>
  </w:abstractNum>
  <w:abstractNum w:abstractNumId="78">
    <w:nsid w:val="97E1B4E"/>
    <w:multiLevelType w:val="hybridMultilevel"/>
    <w:lvl w:ilvl="0">
      <w:lvlJc w:val="left"/>
      <w:lvlText w:val="(%1)"/>
      <w:numFmt w:val="lowerLetter"/>
      <w:start w:val="1"/>
    </w:lvl>
  </w:abstractNum>
  <w:abstractNum w:abstractNumId="79">
    <w:nsid w:val="5108827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0">
    <w:nsid w:val="1CA0C5FA"/>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3"/>
    </w:lvl>
  </w:abstractNum>
  <w:abstractNum w:abstractNumId="81">
    <w:nsid w:val="53584B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2">
    <w:nsid w:val="415E286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3">
    <w:nsid w:val="7C58FD05"/>
    <w:multiLevelType w:val="hybridMultilevel"/>
    <w:lvl w:ilvl="0">
      <w:lvlJc w:val="left"/>
      <w:lvlText w:val="(%1)"/>
      <w:numFmt w:val="lowerLetter"/>
      <w:start w:val="1"/>
    </w:lvl>
  </w:abstractNum>
  <w:abstractNum w:abstractNumId="84">
    <w:nsid w:val="23D86AAC"/>
    <w:multiLevelType w:val="hybridMultilevel"/>
    <w:lvl w:ilvl="0">
      <w:lvlJc w:val="left"/>
      <w:lvlText w:val="%1"/>
      <w:numFmt w:val="lowerLetter"/>
      <w:start w:val="1"/>
    </w:lvl>
    <w:lvl w:ilvl="1">
      <w:lvlJc w:val="left"/>
      <w:lvlText w:val="(%2)"/>
      <w:numFmt w:val="lowerLetter"/>
      <w:start w:val="1"/>
    </w:lvl>
  </w:abstractNum>
  <w:abstractNum w:abstractNumId="85">
    <w:nsid w:val="45E6D486"/>
    <w:multiLevelType w:val="hybridMultilevel"/>
    <w:lvl w:ilvl="0">
      <w:lvlJc w:val="left"/>
      <w:lvlText w:val="(%1)"/>
      <w:numFmt w:val="lowerLetter"/>
      <w:start w:val="22"/>
    </w:lvl>
    <w:lvl w:ilvl="1">
      <w:lvlJc w:val="left"/>
      <w:lvlText w:val="(%2)"/>
      <w:numFmt w:val="lowerLetter"/>
      <w:start w:val="3"/>
    </w:lvl>
  </w:abstractNum>
  <w:abstractNum w:abstractNumId="86">
    <w:nsid w:val="5C10FE21"/>
    <w:multiLevelType w:val="hybridMultilevel"/>
    <w:lvl w:ilvl="0">
      <w:lvlJc w:val="left"/>
      <w:lvlText w:val="(%1)"/>
      <w:numFmt w:val="lowerLetter"/>
      <w:start w:val="1"/>
    </w:lvl>
  </w:abstractNum>
  <w:abstractNum w:abstractNumId="87">
    <w:nsid w:val="E7FFA2B"/>
    <w:multiLevelType w:val="hybridMultilevel"/>
    <w:lvl w:ilvl="0">
      <w:lvlJc w:val="left"/>
      <w:lvlText w:val="(%1)"/>
      <w:numFmt w:val="lowerLetter"/>
      <w:start w:val="3"/>
    </w:lvl>
  </w:abstractNum>
  <w:abstractNum w:abstractNumId="88">
    <w:nsid w:val="3C5991AA"/>
    <w:multiLevelType w:val="hybridMultilevel"/>
    <w:lvl w:ilvl="0">
      <w:lvlJc w:val="left"/>
      <w:lvlText w:val="(%1)"/>
      <w:numFmt w:val="lowerLetter"/>
      <w:start w:val="1"/>
    </w:lvl>
  </w:abstractNum>
  <w:abstractNum w:abstractNumId="89">
    <w:nsid w:val="4BD8591A"/>
    <w:multiLevelType w:val="hybridMultilevel"/>
    <w:lvl w:ilvl="0">
      <w:lvlJc w:val="left"/>
      <w:lvlText w:val="(%1)"/>
      <w:numFmt w:val="lowerLetter"/>
      <w:start w:val="2"/>
    </w:lvl>
  </w:abstractNum>
  <w:abstractNum w:abstractNumId="90">
    <w:nsid w:val="78DF6A55"/>
    <w:multiLevelType w:val="hybridMultilevel"/>
    <w:lvl w:ilvl="0">
      <w:lvlJc w:val="left"/>
      <w:lvlText w:val="%1."/>
      <w:numFmt w:val="decimal"/>
      <w:start w:val="1"/>
    </w:lvl>
  </w:abstractNum>
  <w:abstractNum w:abstractNumId="91">
    <w:nsid w:val="39B7AAA2"/>
    <w:multiLevelType w:val="hybridMultilevel"/>
    <w:lvl w:ilvl="0">
      <w:lvlJc w:val="left"/>
      <w:lvlText w:val="[*]"/>
      <w:numFmt w:val="bullet"/>
      <w:start w:val="1"/>
    </w:lvl>
  </w:abstractNum>
  <w:abstractNum w:abstractNumId="92">
    <w:nsid w:val="2B0D8DBE"/>
    <w:multiLevelType w:val="hybridMultilevel"/>
    <w:lvl w:ilvl="0">
      <w:lvlJc w:val="left"/>
      <w:lvlText w:val="%1"/>
      <w:numFmt w:val="decimal"/>
      <w:start w:val="1"/>
    </w:lvl>
    <w:lvl w:ilvl="1">
      <w:lvlJc w:val="left"/>
      <w:lvlText w:val="%2."/>
      <w:numFmt w:val="decimal"/>
      <w:start w:val="1"/>
    </w:lvl>
  </w:abstractNum>
  <w:abstractNum w:abstractNumId="93">
    <w:nsid w:val="6C80EC70"/>
    <w:multiLevelType w:val="hybridMultilevel"/>
    <w:lvl w:ilvl="0">
      <w:lvlJc w:val="left"/>
      <w:lvlText w:val="%1."/>
      <w:numFmt w:val="decimal"/>
      <w:start w:val="2"/>
    </w:lvl>
    <w:lvl w:ilvl="1">
      <w:lvlJc w:val="left"/>
      <w:lvlText w:val="%2"/>
      <w:numFmt w:val="decimal"/>
      <w:start w:val="1"/>
    </w:lvl>
  </w:abstractNum>
  <w:abstractNum w:abstractNumId="94">
    <w:nsid w:val="379E21B5"/>
    <w:multiLevelType w:val="hybridMultilevel"/>
    <w:lvl w:ilvl="0">
      <w:lvlJc w:val="left"/>
      <w:lvlText w:val="[*]"/>
      <w:numFmt w:val="bullet"/>
      <w:start w:val="1"/>
    </w:lvl>
  </w:abstractNum>
  <w:abstractNum w:abstractNumId="95">
    <w:nsid w:val="69E373"/>
    <w:multiLevelType w:val="hybridMultilevel"/>
    <w:lvl w:ilvl="0">
      <w:lvlJc w:val="left"/>
      <w:lvlText w:val="%1."/>
      <w:numFmt w:val="upperLetter"/>
      <w:start w:val="1"/>
    </w:lvl>
  </w:abstractNum>
  <w:abstractNum w:abstractNumId="96">
    <w:nsid w:val="2C27173B"/>
    <w:multiLevelType w:val="hybridMultilevel"/>
    <w:lvl w:ilvl="0">
      <w:lvlJc w:val="left"/>
      <w:lvlText w:val="(%1)"/>
      <w:numFmt w:val="lowerLetter"/>
      <w:start w:val="1"/>
    </w:lvl>
  </w:abstractNum>
  <w:abstractNum w:abstractNumId="97">
    <w:nsid w:val="4C9B0904"/>
    <w:multiLevelType w:val="hybridMultilevel"/>
    <w:lvl w:ilvl="0">
      <w:lvlJc w:val="left"/>
      <w:lvlText w:val="%1"/>
      <w:numFmt w:val="lowerLetter"/>
      <w:start w:val="1"/>
    </w:lvl>
    <w:lvl w:ilvl="1">
      <w:lvlJc w:val="left"/>
      <w:lvlText w:val="(%2)"/>
      <w:numFmt w:val="lowerLetter"/>
      <w:start w:val="5"/>
    </w:lvl>
  </w:abstractNum>
  <w:abstractNum w:abstractNumId="98">
    <w:nsid w:val="6AA7B75C"/>
    <w:multiLevelType w:val="hybridMultilevel"/>
    <w:lvl w:ilvl="0">
      <w:lvlJc w:val="left"/>
      <w:lvlText w:val="(%1)"/>
      <w:numFmt w:val="lowerLetter"/>
      <w:start w:val="6"/>
    </w:lvl>
    <w:lvl w:ilvl="1">
      <w:lvlJc w:val="left"/>
      <w:lvlText w:val="(%2)"/>
      <w:numFmt w:val="lowerLetter"/>
      <w:start w:val="8"/>
    </w:lvl>
  </w:abstractNum>
  <w:abstractNum w:abstractNumId="99">
    <w:nsid w:val="1DF029D3"/>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13"/>
    </w:lvl>
  </w:abstractNum>
  <w:abstractNum w:abstractNumId="100">
    <w:nsid w:val="5675FF3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01">
    <w:nsid w:val="3DD15094"/>
    <w:multiLevelType w:val="hybridMultilevel"/>
    <w:lvl w:ilvl="0">
      <w:lvlJc w:val="left"/>
      <w:lvlText w:val="(%1)"/>
      <w:numFmt w:val="lowerLetter"/>
      <w:start w:val="1"/>
    </w:lvl>
  </w:abstractNum>
  <w:abstractNum w:abstractNumId="102">
    <w:nsid w:val="3DB012B3"/>
    <w:multiLevelType w:val="hybridMultilevel"/>
    <w:lvl w:ilvl="0">
      <w:lvlJc w:val="left"/>
      <w:lvlText w:val="(%1)"/>
      <w:numFmt w:val="lowerLetter"/>
      <w:start w:val="2"/>
    </w:lvl>
  </w:abstractNum>
  <w:abstractNum w:abstractNumId="103">
    <w:nsid w:val="2708C9AF"/>
    <w:multiLevelType w:val="hybridMultilevel"/>
    <w:lvl w:ilvl="0">
      <w:lvlJc w:val="left"/>
      <w:lvlText w:val="(%1)"/>
      <w:numFmt w:val="lowerRoman"/>
      <w:start w:val="1"/>
    </w:lvl>
    <w:lvl w:ilvl="1">
      <w:lvlJc w:val="left"/>
      <w:lvlText w:val="%2"/>
      <w:numFmt w:val="lowerRoman"/>
      <w:start w:val="1"/>
    </w:lvl>
  </w:abstractNum>
  <w:abstractNum w:abstractNumId="104">
    <w:nsid w:val="5B25ACE2"/>
    <w:multiLevelType w:val="hybridMultilevel"/>
    <w:lvl w:ilvl="0">
      <w:lvlJc w:val="left"/>
      <w:lvlText w:val="(%1)"/>
      <w:numFmt w:val="lowerRoman"/>
      <w:start w:val="1"/>
    </w:lvl>
    <w:lvl w:ilvl="1">
      <w:lvlJc w:val="left"/>
      <w:lvlText w:val="%2"/>
      <w:numFmt w:val="lowerRoman"/>
      <w:start w:val="1"/>
    </w:lvl>
  </w:abstractNum>
  <w:abstractNum w:abstractNumId="105">
    <w:nsid w:val="175DFCF0"/>
    <w:multiLevelType w:val="hybridMultilevel"/>
    <w:lvl w:ilvl="0">
      <w:lvlJc w:val="left"/>
      <w:lvlText w:val="(%1)"/>
      <w:numFmt w:val="lowerRoman"/>
      <w:start w:val="3"/>
    </w:lvl>
    <w:lvl w:ilvl="1">
      <w:lvlJc w:val="left"/>
      <w:lvlText w:val="(%2)"/>
      <w:numFmt w:val="lowerLetter"/>
      <w:start w:val="4"/>
    </w:lvl>
    <w:lvl w:ilvl="2">
      <w:lvlJc w:val="left"/>
      <w:lvlText w:val="(%3)"/>
      <w:numFmt w:val="lowerLetter"/>
      <w:start w:val="3"/>
    </w:lvl>
  </w:abstractNum>
  <w:abstractNum w:abstractNumId="106">
    <w:nsid w:val="4F97E3E4"/>
    <w:multiLevelType w:val="hybridMultilevel"/>
    <w:lvl w:ilvl="0">
      <w:lvlJc w:val="left"/>
      <w:lvlText w:val="%1)"/>
      <w:numFmt w:val="lowerRoman"/>
      <w:start w:val="1"/>
    </w:lvl>
    <w:lvl w:ilvl="1">
      <w:lvlJc w:val="left"/>
      <w:lvlText w:val="%2."/>
      <w:numFmt w:val="decimal"/>
      <w:start w:val="5"/>
    </w:lvl>
  </w:abstractNum>
  <w:abstractNum w:abstractNumId="107">
    <w:nsid w:val="53B0A9E"/>
    <w:multiLevelType w:val="hybridMultilevel"/>
    <w:lvl w:ilvl="0">
      <w:lvlJc w:val="left"/>
      <w:lvlText w:val="(%1)"/>
      <w:numFmt w:val="lowerLetter"/>
      <w:start w:val="1"/>
    </w:lvl>
  </w:abstractNum>
  <w:abstractNum w:abstractNumId="108">
    <w:nsid w:val="34FD6B4F"/>
    <w:multiLevelType w:val="hybridMultilevel"/>
    <w:lvl w:ilvl="0">
      <w:lvlJc w:val="left"/>
      <w:lvlText w:val="(%1)"/>
      <w:numFmt w:val="lowerLetter"/>
      <w:start w:val="1"/>
    </w:lvl>
  </w:abstractNum>
  <w:abstractNum w:abstractNumId="109">
    <w:nsid w:val="5915FF32"/>
    <w:multiLevelType w:val="hybridMultilevel"/>
    <w:lvl w:ilvl="0">
      <w:lvlJc w:val="left"/>
      <w:lvlText w:val="%1."/>
      <w:numFmt w:val="decimal"/>
      <w:start w:val="7"/>
    </w:lvl>
  </w:abstractNum>
  <w:abstractNum w:abstractNumId="110">
    <w:nsid w:val="56438D15"/>
    <w:multiLevelType w:val="hybridMultilevel"/>
    <w:lvl w:ilvl="0">
      <w:lvlJc w:val="left"/>
      <w:lvlText w:val="%1."/>
      <w:numFmt w:val="decimal"/>
      <w:start w:val="8"/>
    </w:lvl>
  </w:abstractNum>
  <w:abstractNum w:abstractNumId="111">
    <w:nsid w:val="519E3149"/>
    <w:multiLevelType w:val="hybridMultilevel"/>
    <w:lvl w:ilvl="0">
      <w:lvlJc w:val="left"/>
      <w:lvlText w:val="%1."/>
      <w:numFmt w:val="decimal"/>
      <w:start w:val="9"/>
    </w:lvl>
  </w:abstractNum>
  <w:abstractNum w:abstractNumId="112">
    <w:nsid w:val="2C6E4AF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13">
    <w:nsid w:val="17A1B582"/>
    <w:multiLevelType w:val="hybridMultilevel"/>
    <w:lvl w:ilvl="0">
      <w:lvlJc w:val="left"/>
      <w:lvlText w:val="(%1)"/>
      <w:numFmt w:val="lowerLetter"/>
      <w:start w:val="4"/>
    </w:lvl>
    <w:lvl w:ilvl="1">
      <w:lvlJc w:val="left"/>
      <w:lvlText w:val="(%2)"/>
      <w:numFmt w:val="lowerLetter"/>
      <w:start w:val="5"/>
    </w:lvl>
    <w:lvl w:ilvl="2">
      <w:lvlJc w:val="left"/>
      <w:lvlText w:val="%3"/>
      <w:numFmt w:val="lowerLetter"/>
      <w:start w:val="1"/>
    </w:lvl>
  </w:abstractNum>
  <w:abstractNum w:abstractNumId="114">
    <w:nsid w:val="4DF72E4E"/>
    <w:multiLevelType w:val="hybridMultilevel"/>
    <w:lvl w:ilvl="0">
      <w:lvlJc w:val="left"/>
      <w:lvlText w:val="(%1)"/>
      <w:numFmt w:val="lowerLetter"/>
      <w:start w:val="2"/>
    </w:lvl>
  </w:abstractNum>
  <w:abstractNum w:abstractNumId="115">
    <w:nsid w:val="5046B5A9"/>
    <w:multiLevelType w:val="hybridMultilevel"/>
    <w:lvl w:ilvl="0">
      <w:lvlJc w:val="left"/>
      <w:lvlText w:val="(%1)"/>
      <w:numFmt w:val="lowerLetter"/>
      <w:start w:val="1"/>
    </w:lvl>
  </w:abstractNum>
  <w:abstractNum w:abstractNumId="116">
    <w:nsid w:val="5D888A08"/>
    <w:multiLevelType w:val="hybridMultilevel"/>
    <w:lvl w:ilvl="0">
      <w:lvlJc w:val="left"/>
      <w:lvlText w:val="(%1)"/>
      <w:numFmt w:val="lowerLetter"/>
      <w:start w:val="1"/>
    </w:lvl>
    <w:lvl w:ilvl="1">
      <w:lvlJc w:val="left"/>
      <w:lvlText w:val="(%2)"/>
      <w:numFmt w:val="lowerRoman"/>
      <w:start w:val="1"/>
    </w:lvl>
  </w:abstractNum>
  <w:abstractNum w:abstractNumId="117">
    <w:nsid w:val="2A082C70"/>
    <w:multiLevelType w:val="hybridMultilevel"/>
    <w:lvl w:ilvl="0">
      <w:lvlJc w:val="left"/>
      <w:lvlText w:val="%1"/>
      <w:numFmt w:val="lowerLetter"/>
      <w:start w:val="1"/>
    </w:lvl>
    <w:lvl w:ilvl="1">
      <w:lvlJc w:val="left"/>
      <w:lvlText w:val="(%2)"/>
      <w:numFmt w:val="lowerLetter"/>
      <w:start w:val="22"/>
    </w:lvl>
  </w:abstractNum>
  <w:abstractNum w:abstractNumId="118">
    <w:nsid w:val="5EC6AFD4"/>
    <w:multiLevelType w:val="hybridMultilevel"/>
    <w:lvl w:ilvl="0">
      <w:lvlJc w:val="left"/>
      <w:lvlText w:val="(%1)"/>
      <w:numFmt w:val="lowerLetter"/>
      <w:start w:val="2"/>
    </w:lvl>
    <w:lvl w:ilvl="1">
      <w:lvlJc w:val="left"/>
      <w:lvlText w:val="%2"/>
      <w:numFmt w:val="lowerLetter"/>
      <w:start w:val="1"/>
    </w:lvl>
  </w:abstractNum>
  <w:abstractNum w:abstractNumId="119">
    <w:nsid w:val="19E21BB2"/>
    <w:multiLevelType w:val="hybridMultilevel"/>
    <w:lvl w:ilvl="0">
      <w:lvlJc w:val="left"/>
      <w:lvlText w:val="(%1)"/>
      <w:numFmt w:val="lowerLetter"/>
      <w:start w:val="1"/>
    </w:lvl>
  </w:abstractNum>
  <w:abstractNum w:abstractNumId="120">
    <w:nsid w:val="75E0858A"/>
    <w:multiLevelType w:val="hybridMultilevel"/>
    <w:lvl w:ilvl="0">
      <w:lvlJc w:val="left"/>
      <w:lvlText w:val="(%1)"/>
      <w:numFmt w:val="lowerLetter"/>
      <w:start w:val="3"/>
    </w:lvl>
  </w:abstractNum>
  <w:abstractNum w:abstractNumId="121">
    <w:nsid w:val="57A61A29"/>
    <w:multiLevelType w:val="hybridMultilevel"/>
    <w:lvl w:ilvl="0">
      <w:lvlJc w:val="left"/>
      <w:lvlText w:val="(%1)"/>
      <w:numFmt w:val="decimal"/>
      <w:start w:val="30"/>
    </w:lvl>
  </w:abstractNum>
  <w:abstractNum w:abstractNumId="122">
    <w:nsid w:val="5399C654"/>
    <w:multiLevelType w:val="hybridMultilevel"/>
    <w:lvl w:ilvl="0">
      <w:lvlJc w:val="left"/>
      <w:lvlText w:val="(%1)"/>
      <w:numFmt w:val="lowerRoman"/>
      <w:start w:val="3"/>
    </w:lvl>
  </w:abstractNum>
  <w:abstractNum w:abstractNumId="123">
    <w:nsid w:val="20EE1348"/>
    <w:multiLevelType w:val="hybridMultilevel"/>
    <w:lvl w:ilvl="0">
      <w:lvlJc w:val="left"/>
      <w:lvlText w:val="%1."/>
      <w:numFmt w:val="decimal"/>
      <w:start w:val="1"/>
    </w:lvl>
  </w:abstractNum>
  <w:abstractNum w:abstractNumId="124">
    <w:nsid w:val="442706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125">
    <w:nsid w:val="B37E80A"/>
    <w:multiLevelType w:val="hybridMultilevel"/>
    <w:lvl w:ilvl="0">
      <w:lvlJc w:val="left"/>
      <w:lvlText w:val="*"/>
      <w:numFmt w:val="bullet"/>
      <w:start w:val="1"/>
    </w:lvl>
  </w:abstractNum>
  <w:abstractNum w:abstractNumId="126">
    <w:nsid w:val="2157F6BC"/>
    <w:multiLevelType w:val="hybridMultilevel"/>
    <w:lvl w:ilvl="0">
      <w:lvlJc w:val="left"/>
      <w:lvlText w:val="%1."/>
      <w:numFmt w:val="decimal"/>
      <w:start w:val="1"/>
    </w:lvl>
    <w:lvl w:ilvl="1">
      <w:lvlJc w:val="left"/>
      <w:lvlText w:val="%2."/>
      <w:numFmt w:val="lowerLetter"/>
      <w:start w:val="1"/>
    </w:lvl>
  </w:abstractNum>
  <w:abstractNum w:abstractNumId="127">
    <w:nsid w:val="704E1DD5"/>
    <w:multiLevelType w:val="hybridMultilevel"/>
    <w:lvl w:ilvl="0">
      <w:lvlJc w:val="left"/>
      <w:lvlText w:val="%1."/>
      <w:numFmt w:val="decimal"/>
      <w:start w:val="1"/>
    </w:lvl>
    <w:lvl w:ilvl="1">
      <w:lvlJc w:val="left"/>
      <w:lvlText w:val="%2."/>
      <w:numFmt w:val="lowerLetter"/>
      <w:start w:val="1"/>
    </w:lvl>
  </w:abstractNum>
  <w:abstractNum w:abstractNumId="128">
    <w:nsid w:val="57D2F10E"/>
    <w:multiLevelType w:val="hybridMultilevel"/>
    <w:lvl w:ilvl="0">
      <w:lvlJc w:val="left"/>
      <w:lvlText w:val="%1."/>
      <w:numFmt w:val="decimal"/>
      <w:start w:val="1"/>
    </w:lvl>
  </w:abstractNum>
  <w:abstractNum w:abstractNumId="129">
    <w:nsid w:val="BFFAE18"/>
    <w:multiLevelType w:val="hybridMultilevel"/>
    <w:lvl w:ilvl="0">
      <w:lvlJc w:val="left"/>
      <w:lvlText w:val="%1."/>
      <w:numFmt w:val="decimal"/>
      <w:start w:val="1"/>
    </w:lvl>
  </w:abstractNum>
  <w:abstractNum w:abstractNumId="130">
    <w:nsid w:val="E3E47A8"/>
    <w:multiLevelType w:val="hybridMultilevel"/>
    <w:lvl w:ilvl="0">
      <w:lvlJc w:val="left"/>
      <w:lvlText w:val="%1."/>
      <w:numFmt w:val="decimal"/>
      <w:start w:val="2"/>
    </w:lvl>
  </w:abstractNum>
  <w:abstractNum w:abstractNumId="131">
    <w:nsid w:val="2E48F044"/>
    <w:multiLevelType w:val="hybridMultilevel"/>
    <w:lvl w:ilvl="0">
      <w:lvlJc w:val="left"/>
      <w:lvlText w:val="%1."/>
      <w:numFmt w:val="decimal"/>
      <w:start w:val="3"/>
    </w:lvl>
  </w:abstractNum>
  <w:abstractNum w:abstractNumId="132">
    <w:nsid w:val="49D0FEAC"/>
    <w:multiLevelType w:val="hybridMultilevel"/>
    <w:lvl w:ilvl="0">
      <w:lvlJc w:val="left"/>
      <w:lvlText w:val="%1."/>
      <w:numFmt w:val="decimal"/>
      <w:start w:val="4"/>
    </w:lvl>
    <w:lvl w:ilvl="1">
      <w:lvlJc w:val="left"/>
      <w:lvlText w:val="(%2)"/>
      <w:numFmt w:val="lowerLetter"/>
      <w:start w:val="1"/>
    </w:lvl>
  </w:abstractNum>
  <w:abstractNum w:abstractNumId="133">
    <w:nsid w:val="4BEE5A5B"/>
    <w:multiLevelType w:val="hybridMultilevel"/>
    <w:lvl w:ilvl="0">
      <w:lvlJc w:val="left"/>
      <w:lvlText w:val="(%1)"/>
      <w:numFmt w:val="lowerLetter"/>
      <w:start w:val="3"/>
    </w:lvl>
    <w:lvl w:ilvl="1">
      <w:lvlJc w:val="left"/>
      <w:lvlText w:val="(%2)"/>
      <w:numFmt w:val="lowerRoman"/>
      <w:start w:val="1"/>
    </w:lvl>
  </w:abstractNum>
  <w:abstractNum w:abstractNumId="134">
    <w:nsid w:val="5551B9F3"/>
    <w:multiLevelType w:val="hybridMultilevel"/>
    <w:lvl w:ilvl="0">
      <w:lvlJc w:val="left"/>
      <w:lvlText w:val="%1"/>
      <w:numFmt w:val="decimal"/>
      <w:start w:val="1"/>
    </w:lvl>
    <w:lvl w:ilvl="1">
      <w:lvlJc w:val="left"/>
      <w:lvlText w:val="(%2)"/>
      <w:numFmt w:val="lowerLetter"/>
      <w:start w:val="5"/>
    </w:lvl>
  </w:abstractNum>
  <w:abstractNum w:abstractNumId="135">
    <w:nsid w:val="24F6AB8E"/>
    <w:multiLevelType w:val="hybridMultilevel"/>
    <w:lvl w:ilvl="0">
      <w:lvlJc w:val="left"/>
      <w:lvlText w:val="%1."/>
      <w:numFmt w:val="decimal"/>
      <w:start w:val="5"/>
    </w:lvl>
    <w:lvl w:ilvl="1">
      <w:lvlJc w:val="left"/>
      <w:lvlText w:val="%2"/>
      <w:numFmt w:val="lowerLetter"/>
      <w:start w:val="1"/>
    </w:lvl>
  </w:abstractNum>
  <w:abstractNum w:abstractNumId="136">
    <w:nsid w:val="634C574C"/>
    <w:multiLevelType w:val="hybridMultilevel"/>
    <w:lvl w:ilvl="0">
      <w:lvlJc w:val="left"/>
      <w:lvlText w:val="%1."/>
      <w:numFmt w:val="decimal"/>
      <w:start w:val="6"/>
    </w:lvl>
  </w:abstractNum>
  <w:abstractNum w:abstractNumId="137">
    <w:nsid w:val="24E99DD7"/>
    <w:multiLevelType w:val="hybridMultilevel"/>
    <w:lvl w:ilvl="0">
      <w:lvlJc w:val="left"/>
      <w:lvlText w:val="%1."/>
      <w:numFmt w:val="decimal"/>
      <w:start w:val="7"/>
    </w:lvl>
  </w:abstractNum>
  <w:abstractNum w:abstractNumId="138">
    <w:nsid w:val="2A31B62D"/>
    <w:multiLevelType w:val="hybridMultilevel"/>
    <w:lvl w:ilvl="0">
      <w:lvlJc w:val="left"/>
      <w:lvlText w:val="%1."/>
      <w:numFmt w:val="decimal"/>
      <w:start w:val="8"/>
    </w:lvl>
  </w:abstractNum>
  <w:abstractNum w:abstractNumId="139">
    <w:nsid w:val="1849C29B"/>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18" Type="http://schemas.openxmlformats.org/officeDocument/2006/relationships/image" Target="media/image283.png"/><Relationship Id="rId319" Type="http://schemas.openxmlformats.org/officeDocument/2006/relationships/image" Target="media/image284.png"/><Relationship Id="rId320" Type="http://schemas.openxmlformats.org/officeDocument/2006/relationships/image" Target="media/image285.png"/><Relationship Id="rId321" Type="http://schemas.openxmlformats.org/officeDocument/2006/relationships/image" Target="media/image286.png"/><Relationship Id="rId322" Type="http://schemas.openxmlformats.org/officeDocument/2006/relationships/image" Target="media/image287.png"/><Relationship Id="rId323" Type="http://schemas.openxmlformats.org/officeDocument/2006/relationships/image" Target="media/image288.png"/><Relationship Id="rId324" Type="http://schemas.openxmlformats.org/officeDocument/2006/relationships/image" Target="media/image289.png"/><Relationship Id="rId332" Type="http://schemas.openxmlformats.org/officeDocument/2006/relationships/image" Target="media/image290.png"/><Relationship Id="rId333" Type="http://schemas.openxmlformats.org/officeDocument/2006/relationships/image" Target="media/image291.png"/><Relationship Id="rId334" Type="http://schemas.openxmlformats.org/officeDocument/2006/relationships/image" Target="media/image292.png"/><Relationship Id="rId335" Type="http://schemas.openxmlformats.org/officeDocument/2006/relationships/image" Target="media/image293.png"/><Relationship Id="rId337" Type="http://schemas.openxmlformats.org/officeDocument/2006/relationships/image" Target="media/image294.png"/><Relationship Id="rId338" Type="http://schemas.openxmlformats.org/officeDocument/2006/relationships/image" Target="media/image295.png"/><Relationship Id="rId356" Type="http://schemas.openxmlformats.org/officeDocument/2006/relationships/image" Target="media/image296.png"/><Relationship Id="rId357" Type="http://schemas.openxmlformats.org/officeDocument/2006/relationships/image" Target="media/image297.png"/><Relationship Id="rId358" Type="http://schemas.openxmlformats.org/officeDocument/2006/relationships/image" Target="media/image298.png"/><Relationship Id="rId359" Type="http://schemas.openxmlformats.org/officeDocument/2006/relationships/image" Target="media/image299.png"/><Relationship Id="rId360" Type="http://schemas.openxmlformats.org/officeDocument/2006/relationships/image" Target="media/image300.png"/><Relationship Id="rId361" Type="http://schemas.openxmlformats.org/officeDocument/2006/relationships/image" Target="media/image301.png"/><Relationship Id="rId362" Type="http://schemas.openxmlformats.org/officeDocument/2006/relationships/image" Target="media/image302.png"/><Relationship Id="rId363" Type="http://schemas.openxmlformats.org/officeDocument/2006/relationships/image" Target="media/image303.png"/><Relationship Id="rId364" Type="http://schemas.openxmlformats.org/officeDocument/2006/relationships/image" Target="media/image304.png"/><Relationship Id="rId365" Type="http://schemas.openxmlformats.org/officeDocument/2006/relationships/image" Target="media/image305.png"/><Relationship Id="rId366" Type="http://schemas.openxmlformats.org/officeDocument/2006/relationships/image" Target="media/image306.png"/><Relationship Id="rId367" Type="http://schemas.openxmlformats.org/officeDocument/2006/relationships/image" Target="media/image307.png"/><Relationship Id="rId368" Type="http://schemas.openxmlformats.org/officeDocument/2006/relationships/image" Target="media/image308.png"/><Relationship Id="rId369" Type="http://schemas.openxmlformats.org/officeDocument/2006/relationships/image" Target="media/image309.png"/><Relationship Id="rId370" Type="http://schemas.openxmlformats.org/officeDocument/2006/relationships/image" Target="media/image310.png"/><Relationship Id="rId371" Type="http://schemas.openxmlformats.org/officeDocument/2006/relationships/image" Target="media/image311.png"/><Relationship Id="rId372" Type="http://schemas.openxmlformats.org/officeDocument/2006/relationships/image" Target="media/image312.png"/><Relationship Id="rId373" Type="http://schemas.openxmlformats.org/officeDocument/2006/relationships/image" Target="media/image313.png"/><Relationship Id="rId374" Type="http://schemas.openxmlformats.org/officeDocument/2006/relationships/image" Target="media/image314.png"/><Relationship Id="rId375" Type="http://schemas.openxmlformats.org/officeDocument/2006/relationships/image" Target="media/image315.png"/><Relationship Id="rId376" Type="http://schemas.openxmlformats.org/officeDocument/2006/relationships/image" Target="media/image316.png"/><Relationship Id="rId377" Type="http://schemas.openxmlformats.org/officeDocument/2006/relationships/image" Target="media/image317.png"/><Relationship Id="rId378" Type="http://schemas.openxmlformats.org/officeDocument/2006/relationships/image" Target="media/image318.png"/><Relationship Id="rId379" Type="http://schemas.openxmlformats.org/officeDocument/2006/relationships/image" Target="media/image319.png"/><Relationship Id="rId380" Type="http://schemas.openxmlformats.org/officeDocument/2006/relationships/image" Target="media/image320.png"/><Relationship Id="rId381" Type="http://schemas.openxmlformats.org/officeDocument/2006/relationships/image" Target="media/image321.png"/><Relationship Id="rId382" Type="http://schemas.openxmlformats.org/officeDocument/2006/relationships/image" Target="media/image322.png"/><Relationship Id="rId383" Type="http://schemas.openxmlformats.org/officeDocument/2006/relationships/image" Target="media/image323.png"/><Relationship Id="rId384" Type="http://schemas.openxmlformats.org/officeDocument/2006/relationships/image" Target="media/image324.png"/><Relationship Id="rId385" Type="http://schemas.openxmlformats.org/officeDocument/2006/relationships/image" Target="media/image325.png"/><Relationship Id="rId386" Type="http://schemas.openxmlformats.org/officeDocument/2006/relationships/image" Target="media/image326.png"/><Relationship Id="rId387" Type="http://schemas.openxmlformats.org/officeDocument/2006/relationships/image" Target="media/image327.png"/><Relationship Id="rId388" Type="http://schemas.openxmlformats.org/officeDocument/2006/relationships/image" Target="media/image328.png"/><Relationship Id="rId389" Type="http://schemas.openxmlformats.org/officeDocument/2006/relationships/image" Target="media/image329.png"/><Relationship Id="rId390" Type="http://schemas.openxmlformats.org/officeDocument/2006/relationships/image" Target="media/image330.png"/><Relationship Id="rId391" Type="http://schemas.openxmlformats.org/officeDocument/2006/relationships/image" Target="media/image331.jpeg"/><Relationship Id="rId392" Type="http://schemas.openxmlformats.org/officeDocument/2006/relationships/image" Target="media/image332.jpeg"/><Relationship Id="rId393" Type="http://schemas.openxmlformats.org/officeDocument/2006/relationships/image" Target="media/image333.png"/><Relationship Id="rId394" Type="http://schemas.openxmlformats.org/officeDocument/2006/relationships/image" Target="media/image334.png"/><Relationship Id="rId395" Type="http://schemas.openxmlformats.org/officeDocument/2006/relationships/image" Target="media/image335.png"/><Relationship Id="rId396" Type="http://schemas.openxmlformats.org/officeDocument/2006/relationships/image" Target="media/image336.png"/><Relationship Id="rId397" Type="http://schemas.openxmlformats.org/officeDocument/2006/relationships/image" Target="media/image337.png"/><Relationship Id="rId398" Type="http://schemas.openxmlformats.org/officeDocument/2006/relationships/image" Target="media/image338.png"/><Relationship Id="rId399" Type="http://schemas.openxmlformats.org/officeDocument/2006/relationships/image" Target="media/image339.png"/><Relationship Id="rId400" Type="http://schemas.openxmlformats.org/officeDocument/2006/relationships/image" Target="media/image340.png"/><Relationship Id="rId401" Type="http://schemas.openxmlformats.org/officeDocument/2006/relationships/image" Target="media/image341.png"/><Relationship Id="rId402" Type="http://schemas.openxmlformats.org/officeDocument/2006/relationships/image" Target="media/image342.png"/><Relationship Id="rId403" Type="http://schemas.openxmlformats.org/officeDocument/2006/relationships/image" Target="media/image343.png"/><Relationship Id="rId404" Type="http://schemas.openxmlformats.org/officeDocument/2006/relationships/image" Target="media/image344.png"/><Relationship Id="rId405" Type="http://schemas.openxmlformats.org/officeDocument/2006/relationships/image" Target="media/image345.png"/><Relationship Id="rId406" Type="http://schemas.openxmlformats.org/officeDocument/2006/relationships/image" Target="media/image346.png"/><Relationship Id="rId407" Type="http://schemas.openxmlformats.org/officeDocument/2006/relationships/image" Target="media/image347.png"/><Relationship Id="rId408" Type="http://schemas.openxmlformats.org/officeDocument/2006/relationships/image" Target="media/image348.png"/><Relationship Id="rId409" Type="http://schemas.openxmlformats.org/officeDocument/2006/relationships/image" Target="media/image349.png"/><Relationship Id="rId410" Type="http://schemas.openxmlformats.org/officeDocument/2006/relationships/image" Target="media/image350.png"/><Relationship Id="rId411" Type="http://schemas.openxmlformats.org/officeDocument/2006/relationships/image" Target="media/image351.png"/><Relationship Id="rId412" Type="http://schemas.openxmlformats.org/officeDocument/2006/relationships/image" Target="media/image352.png"/><Relationship Id="rId413" Type="http://schemas.openxmlformats.org/officeDocument/2006/relationships/image" Target="media/image353.png"/><Relationship Id="rId414" Type="http://schemas.openxmlformats.org/officeDocument/2006/relationships/image" Target="media/image354.png"/><Relationship Id="rId415" Type="http://schemas.openxmlformats.org/officeDocument/2006/relationships/image" Target="media/image355.png"/><Relationship Id="rId416" Type="http://schemas.openxmlformats.org/officeDocument/2006/relationships/image" Target="media/image356.png"/><Relationship Id="rId417" Type="http://schemas.openxmlformats.org/officeDocument/2006/relationships/image" Target="media/image357.png"/><Relationship Id="rId418" Type="http://schemas.openxmlformats.org/officeDocument/2006/relationships/image" Target="media/image358.png"/><Relationship Id="rId419" Type="http://schemas.openxmlformats.org/officeDocument/2006/relationships/image" Target="media/image359.png"/><Relationship Id="rId277" Type="http://schemas.openxmlformats.org/officeDocument/2006/relationships/hyperlink" Target="http://www.sec.gov/Archives/edgar/data/1463101/000119312512153425/d330683dex31.htm" TargetMode="External"/><Relationship Id="rId278" Type="http://schemas.openxmlformats.org/officeDocument/2006/relationships/hyperlink" Target="http://www.sec.gov/Archives/edgar/data/1463101/000146310117000091/a2017q210-qexx31certificat.htm" TargetMode="External"/><Relationship Id="rId279" Type="http://schemas.openxmlformats.org/officeDocument/2006/relationships/hyperlink" Target="http://www.sec.gov/Archives/edgar/data/1463101/000146310118000075/a2018q210-qexx33.htm" TargetMode="External"/><Relationship Id="rId280" Type="http://schemas.openxmlformats.org/officeDocument/2006/relationships/hyperlink" Target="http://www.sec.gov/Archives/edgar/data/1463101/000146310120000075/a20208-kexx31.htm" TargetMode="External"/><Relationship Id="rId281" Type="http://schemas.openxmlformats.org/officeDocument/2006/relationships/hyperlink" Target="http://www.sec.gov/Archives/edgar/data/1463101/000146310121000078/ex-45certificateofamendment.htm" TargetMode="External"/><Relationship Id="rId282" Type="http://schemas.openxmlformats.org/officeDocument/2006/relationships/hyperlink" Target="https://www.sec.gov/Archives/edgar/data/1463101/000146310122000037/enphaseamendedandrestatedb.htm" TargetMode="External"/><Relationship Id="rId283" Type="http://schemas.openxmlformats.org/officeDocument/2006/relationships/hyperlink" Target="http://www.sec.gov/Archives/edgar/data/1463101/000119312512110086/d195596dex41.htm" TargetMode="External"/><Relationship Id="rId284" Type="http://schemas.openxmlformats.org/officeDocument/2006/relationships/hyperlink" Target="http://www.sec.gov/Archives/edgar/data/1463101/000110465918052638/a18-18308_2ex4d1.htm" TargetMode="External"/><Relationship Id="rId285" Type="http://schemas.openxmlformats.org/officeDocument/2006/relationships/hyperlink" Target="http://www.sec.gov/Archives/edgar/data/1463101/000110465919034028/a19-11111_1ex4d1.htm" TargetMode="External"/><Relationship Id="rId286" Type="http://schemas.openxmlformats.org/officeDocument/2006/relationships/hyperlink" Target="http://www.sec.gov/Archives/edgar/data/1463101/000110465920030834/tm2011387d2_ex4-1.htm" TargetMode="External"/><Relationship Id="rId287" Type="http://schemas.openxmlformats.org/officeDocument/2006/relationships/hyperlink" Target="http://www.sec.gov/Archives/edgar/data/1463101/000110465921030148/tm214853d3_ex4-1.htm" TargetMode="External"/><Relationship Id="rId288" Type="http://schemas.openxmlformats.org/officeDocument/2006/relationships/hyperlink" Target="http://www.sec.gov/Archives/edgar/data/1463101/000110465921030148/tm214853d3_ex4-2.htm" TargetMode="External"/><Relationship Id="rId289" Type="http://schemas.openxmlformats.org/officeDocument/2006/relationships/hyperlink" Target="http://www.sec.gov/Archives/edgar/data/1463101/000146310122000016/a2021q410-kexx411.htm" TargetMode="External"/><Relationship Id="rId290" Type="http://schemas.openxmlformats.org/officeDocument/2006/relationships/hyperlink" Target="http://www.sec.gov/Archives/edgar/data/1463101/000119312511230109/dex101.htm" TargetMode="External"/><Relationship Id="rId291" Type="http://schemas.openxmlformats.org/officeDocument/2006/relationships/hyperlink" Target="http://www.sec.gov/Archives/edgar/data/1463101/000146310121000078/ex9912021equityincentivepl.htm" TargetMode="External"/><Relationship Id="rId305" Type="http://schemas.openxmlformats.org/officeDocument/2006/relationships/hyperlink" Target="http://www.sec.gov/Archives/edgar/data/1463101/000119312516510308/d277611ddef14a.htm" TargetMode="External"/><Relationship Id="rId306" Type="http://schemas.openxmlformats.org/officeDocument/2006/relationships/hyperlink" Target="http://www.sec.gov/Archives/edgar/data/1463101/000146310117000036/enphase2017definitiveproxy.htm" TargetMode="External"/><Relationship Id="rId307" Type="http://schemas.openxmlformats.org/officeDocument/2006/relationships/hyperlink" Target="http://www.sec.gov/Archives/edgar/data/1463101/000119312511165822/dex1017.htm" TargetMode="External"/><Relationship Id="rId308" Type="http://schemas.openxmlformats.org/officeDocument/2006/relationships/hyperlink" Target="http://www.sec.gov/Archives/edgar/data/1463101/000146310116000063/a2016q310-qexx104.htm" TargetMode="External"/><Relationship Id="rId309" Type="http://schemas.openxmlformats.org/officeDocument/2006/relationships/hyperlink" Target="http://www.sec.gov/Archives/edgar/data/1463101/000119312511165822/dex1018.htm" TargetMode="External"/><Relationship Id="rId310" Type="http://schemas.openxmlformats.org/officeDocument/2006/relationships/hyperlink" Target="https://www.sec.gov/Archives/edgar/data/1463101/000146310123000025/exhibit108-amendmenttoflex.htm" TargetMode="External"/><Relationship Id="rId311" Type="http://schemas.openxmlformats.org/officeDocument/2006/relationships/hyperlink" Target="http://www.sec.gov/Archives/edgar/data/1463101/000146310122000053/ex-103flextronicsxamendmen.htm" TargetMode="External"/><Relationship Id="rId312" Type="http://schemas.openxmlformats.org/officeDocument/2006/relationships/hyperlink" Target="https://www.sec.gov/Archives/edgar/data/1463101/000146310123000140/exhibit101-amendmenttoflex.htm" TargetMode="External"/><Relationship Id="rId313" Type="http://schemas.openxmlformats.org/officeDocument/2006/relationships/hyperlink" Target="http://www.sec.gov/Archives/edgar/data/1463101/000146310121000016/ex1011non-employeedirector.htm" TargetMode="External"/><Relationship Id="rId314" Type="http://schemas.openxmlformats.org/officeDocument/2006/relationships/hyperlink" Target="http://www.sec.gov/Archives/edgar/data/1463101/000146310117000119/ex101enphcco8-k12052017.htm" TargetMode="External"/><Relationship Id="rId315" Type="http://schemas.openxmlformats.org/officeDocument/2006/relationships/hyperlink" Target="http://www.sec.gov/Archives/edgar/data/1463101/000146310113000006/enph03312013ex1050.htm" TargetMode="External"/><Relationship Id="rId316" Type="http://schemas.openxmlformats.org/officeDocument/2006/relationships/hyperlink" Target="http://www.sec.gov/Archives/edgar/data/1463101/000110465918052638/a18-18308_2ex10d2.htm" TargetMode="External"/><Relationship Id="rId317" Type="http://schemas.openxmlformats.org/officeDocument/2006/relationships/hyperlink" Target="http://www.sec.gov/Archives/edgar/data/1463101/000146310119000003/a2019q1ex101bonusprogram.htm" TargetMode="External"/><Relationship Id="rId325" Type="http://schemas.openxmlformats.org/officeDocument/2006/relationships/hyperlink" Target="http://www.sec.gov/Archives/edgar/data/1463101/000146310121000016/ex1021amendmentno2tomsawit.htm" TargetMode="External"/><Relationship Id="rId326" Type="http://schemas.openxmlformats.org/officeDocument/2006/relationships/hyperlink" Target="http://www.sec.gov/Archives/edgar/data/1463101/000146310121000016/ex1022amendmentno3tomsawit.htm" TargetMode="External"/><Relationship Id="rId327" Type="http://schemas.openxmlformats.org/officeDocument/2006/relationships/hyperlink" Target="http://www.sec.gov/Archives/edgar/data/1463101/000146310122000094/exhibit101-sunpoweramendme.htm" TargetMode="External"/><Relationship Id="rId328" Type="http://schemas.openxmlformats.org/officeDocument/2006/relationships/hyperlink" Target="http://www.sec.gov/Archives/edgar/data/1463101/000146310122000094/exhibit102-sunpoweramendme.htm" TargetMode="External"/><Relationship Id="rId329" Type="http://schemas.openxmlformats.org/officeDocument/2006/relationships/hyperlink" Target="https://www.sec.gov/Archives/edgar/data/1463101/000146310121000016/ex1024salcompmanufacturing.htm" TargetMode="External"/><Relationship Id="rId330" Type="http://schemas.openxmlformats.org/officeDocument/2006/relationships/hyperlink" Target="https://www.sec.gov/Archives/edgar/data/1463101/000146310123000025/exhibit1024-amendment6sunp.htm" TargetMode="External"/><Relationship Id="rId331" Type="http://schemas.openxmlformats.org/officeDocument/2006/relationships/hyperlink" Target="http://www.sec.gov/Archives/edgar/data/1463101/000146310121000016/ex1024salcompmanufacturing.htm" TargetMode="External"/><Relationship Id="rId336" Type="http://schemas.openxmlformats.org/officeDocument/2006/relationships/hyperlink" Target="http://www.sec.gov/Archives/edgar/data/1463101/000146310119000033/ex1045baysideparkwayfrem.htm" TargetMode="External"/><Relationship Id="rId339" Type="http://schemas.openxmlformats.org/officeDocument/2006/relationships/hyperlink" Target="http://www.sec.gov/Archives/edgar/data/1463101/000146310121000016/ex1026fremontleaseamendm.htm" TargetMode="External"/><Relationship Id="rId340" Type="http://schemas.openxmlformats.org/officeDocument/2006/relationships/hyperlink" Target="http://www.sec.gov/Archives/edgar/data/1463101/000146310121000016/ex1027fremontleaseamendm.htm" TargetMode="External"/><Relationship Id="rId341" Type="http://schemas.openxmlformats.org/officeDocument/2006/relationships/hyperlink" Target="http://www.sec.gov/Archives/edgar/data/1463101/000110465920030834/tm2011387d2_ex10-2.htm" TargetMode="External"/><Relationship Id="rId342" Type="http://schemas.openxmlformats.org/officeDocument/2006/relationships/hyperlink" Target="http://www.sec.gov/Archives/edgar/data/1463101/000110465920030834/tm2011387d2_ex10-3.htm" TargetMode="External"/><Relationship Id="rId343" Type="http://schemas.openxmlformats.org/officeDocument/2006/relationships/hyperlink" Target="http://www.sec.gov/Archives/edgar/data/1463101/000110465921030148/tm214853d3_ex10-2.htm" TargetMode="External"/><Relationship Id="rId344" Type="http://schemas.openxmlformats.org/officeDocument/2006/relationships/hyperlink" Target="http://www.sec.gov/Archives/edgar/data/1463101/000110465921030148/tm214853d3_ex10-3.htm" TargetMode="External"/><Relationship Id="rId345" Type="http://schemas.openxmlformats.org/officeDocument/2006/relationships/hyperlink" Target="http://www.sec.gov/Archives/edgar/data/1463101/000110465921036318/tm219691d1_ex10-1.htm" TargetMode="External"/><Relationship Id="rId346" Type="http://schemas.openxmlformats.org/officeDocument/2006/relationships/hyperlink" Target="http://www.sec.gov/Archives/edgar/data/1463101/000110465921036318/tm219691d1_ex10-2.htm" TargetMode="External"/><Relationship Id="rId347" Type="http://schemas.openxmlformats.org/officeDocument/2006/relationships/hyperlink" Target="http://www.sec.gov/Archives/edgar/data/1463101/000110465920030834/tm2011387d2_ex10-1.htm" TargetMode="External"/><Relationship Id="rId348" Type="http://schemas.openxmlformats.org/officeDocument/2006/relationships/hyperlink" Target="http://www.sec.gov/Archives/edgar/data/1463101/000110465921030148/tm214853d3_ex10-5.htm" TargetMode="External"/><Relationship Id="rId349" Type="http://schemas.openxmlformats.org/officeDocument/2006/relationships/hyperlink" Target="http://www.sec.gov/Archives/edgar/data/1463101/000110465921030148/tm214853d3_ex10-6.htm" TargetMode="External"/><Relationship Id="rId350" Type="http://schemas.openxmlformats.org/officeDocument/2006/relationships/hyperlink" Target="http://www.sec.gov/Archives/edgar/data/1463101/000110465921030148/tm214853d3_ex10-7.htm" TargetMode="External"/><Relationship Id="rId351" Type="http://schemas.openxmlformats.org/officeDocument/2006/relationships/hyperlink" Target="http://www.sec.gov/Archives/edgar/data/1463101/000110465921030148/tm214853d3_ex10-8.htm" TargetMode="External"/><Relationship Id="rId352" Type="http://schemas.openxmlformats.org/officeDocument/2006/relationships/hyperlink" Target="http://www.sec.gov/Archives/edgar/data/1463101/000110465921030148/tm214853d3_ex10-9.htm" TargetMode="External"/><Relationship Id="rId353" Type="http://schemas.openxmlformats.org/officeDocument/2006/relationships/hyperlink" Target="http://www.sec.gov/Archives/edgar/data/1463101/000146310121000034/a101barclaysunwindagreement.htm" TargetMode="External"/><Relationship Id="rId354" Type="http://schemas.openxmlformats.org/officeDocument/2006/relationships/hyperlink" Target="http://www.sec.gov/Archives/edgar/data/1463101/000146310119000129/exhibit104mcneil.htm" TargetMode="External"/><Relationship Id="rId355" Type="http://schemas.openxmlformats.org/officeDocument/2006/relationships/hyperlink" Target="http://www.sec.gov/Archives/edgar/data/1463101/000146310122000053/ex101mandyyangofferletter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2024-02-09T15:45:28Z</dcterms:created>
  <dcterms:modified xsi:type="dcterms:W3CDTF">2024-02-09T15:45:28Z</dcterms:modified>
</cp:coreProperties>
</file>