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13, 2026</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before="0" w:after="0"/>
        <w:jc w:val="center"/>
        <w:rPr/>
      </w:pPr>
      <w:r>
        <w:rPr/>
        <w:drawing>
          <wp:inline distT="0" distB="0" distL="0" distR="0">
            <wp:extent cx="24765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4286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ENPHASE ENERGY, INC.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before="0" w:after="0"/>
        <w:jc w:val="left"/>
        <w:rPr/>
      </w:pPr>
      <w:r>
        <w:rPr/>
      </w:r>
    </w:p>
    <w:tbl>
      <w:tblPr>
        <w:tblW w:w="8361" w:type="dxa"/>
        <w:jc w:val="left"/>
        <w:tblInd w:w="0" w:type="dxa"/>
        <w:tblLayout w:type="fixed"/>
        <w:tblCellMar>
          <w:top w:w="28" w:type="dxa"/>
          <w:left w:w="28" w:type="dxa"/>
          <w:bottom w:w="28" w:type="dxa"/>
          <w:right w:w="28" w:type="dxa"/>
        </w:tblCellMar>
      </w:tblPr>
      <w:tblGrid>
        <w:gridCol w:w="1148"/>
        <w:gridCol w:w="1008"/>
        <w:gridCol w:w="1023"/>
        <w:gridCol w:w="109"/>
        <w:gridCol w:w="109"/>
        <w:gridCol w:w="109"/>
        <w:gridCol w:w="662"/>
        <w:gridCol w:w="662"/>
        <w:gridCol w:w="670"/>
        <w:gridCol w:w="109"/>
        <w:gridCol w:w="109"/>
        <w:gridCol w:w="109"/>
        <w:gridCol w:w="740"/>
        <w:gridCol w:w="740"/>
        <w:gridCol w:w="1054"/>
      </w:tblGrid>
      <w:tr>
        <w:trPr/>
        <w:tc>
          <w:tcPr>
            <w:tcW w:w="11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001-35480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20-4645388</w:t>
            </w:r>
          </w:p>
        </w:tc>
      </w:tr>
      <w:tr>
        <w:trPr/>
        <w:tc>
          <w:tcPr>
            <w:tcW w:w="31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47281 Bayside Parkway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Fremont, CA 94538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 xml:space="preserve">(707) 774-7000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417" w:before="0" w:after="0"/>
        <w:jc w:val="center"/>
        <w:rPr>
          <w:rFonts w:ascii="Times New Roman;serif" w:hAnsi="Times New Roman;serif"/>
          <w:b/>
          <w:color w:val="231F20"/>
          <w:sz w:val="20"/>
        </w:rPr>
      </w:pPr>
      <w:r>
        <w:rPr>
          <w:rFonts w:ascii="Times New Roman;serif" w:hAnsi="Times New Roman;serif"/>
          <w:b/>
          <w:color w:val="231F20"/>
          <w:sz w:val="20"/>
        </w:rPr>
        <w:t>Not Applicable</w:t>
      </w:r>
    </w:p>
    <w:p>
      <w:pPr>
        <w:pStyle w:val="TextBody"/>
        <w:bidi w:val="0"/>
        <w:spacing w:lineRule="auto" w:line="288" w:before="0" w:after="0"/>
        <w:jc w:val="center"/>
        <w:rPr>
          <w:rFonts w:ascii="Times New Roman;serif" w:hAnsi="Times New Roman;serif"/>
          <w:b w:val="false"/>
          <w:color w:val="231F20"/>
          <w:sz w:val="16"/>
        </w:rPr>
      </w:pPr>
      <w:r>
        <w:rPr>
          <w:rFonts w:ascii="Times New Roman;serif" w:hAnsi="Times New Roman;serif"/>
          <w:b w:val="false"/>
          <w:color w:val="231F20"/>
          <w:sz w:val="16"/>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738" w:type="dxa"/>
        <w:jc w:val="center"/>
        <w:tblInd w:w="0" w:type="dxa"/>
        <w:tblLayout w:type="fixed"/>
        <w:tblCellMar>
          <w:top w:w="28" w:type="dxa"/>
          <w:left w:w="28" w:type="dxa"/>
          <w:bottom w:w="28" w:type="dxa"/>
          <w:right w:w="28" w:type="dxa"/>
        </w:tblCellMar>
      </w:tblPr>
      <w:tblGrid>
        <w:gridCol w:w="1255"/>
        <w:gridCol w:w="1105"/>
        <w:gridCol w:w="1120"/>
        <w:gridCol w:w="109"/>
        <w:gridCol w:w="109"/>
        <w:gridCol w:w="109"/>
        <w:gridCol w:w="449"/>
        <w:gridCol w:w="449"/>
        <w:gridCol w:w="451"/>
        <w:gridCol w:w="109"/>
        <w:gridCol w:w="109"/>
        <w:gridCol w:w="109"/>
        <w:gridCol w:w="952"/>
        <w:gridCol w:w="952"/>
        <w:gridCol w:w="1351"/>
      </w:tblGrid>
      <w:tr>
        <w:trPr/>
        <w:tc>
          <w:tcPr>
            <w:tcW w:w="125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Name of each exchange on which registered</w:t>
            </w:r>
          </w:p>
        </w:tc>
      </w:tr>
      <w:tr>
        <w:trPr/>
        <w:tc>
          <w:tcPr>
            <w:tcW w:w="34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ENPH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Nasdaq Global Market</w:t>
            </w:r>
          </w:p>
        </w:tc>
      </w:tr>
    </w:tbl>
    <w:p>
      <w:pPr>
        <w:pStyle w:val="TextBody"/>
        <w:bidi w:val="0"/>
        <w:spacing w:before="60" w:after="60"/>
        <w:jc w:val="left"/>
        <w:rPr/>
      </w:pPr>
      <w:r>
        <w:rPr/>
      </w:r>
    </w:p>
    <w:p>
      <w:pPr>
        <w:pStyle w:val="TextBody"/>
        <w:bidi w:val="0"/>
        <w:spacing w:lineRule="auto" w:line="288" w:before="60" w:after="6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60"/>
        <w:jc w:val="left"/>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lineRule="auto" w:line="288" w:before="60" w:after="6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108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13, 2026, Enphase Energy, Inc. (the “Company”) held its 2026 Annual Meeting of Stockholders (the “Annual Meeting”). At the Annual Meeting, the Company’s stockholders approved an amendment and restatement to the Company’s 2021 Equity Incentive Plan (the “2021 Plan”) to increase the number of shares of the Company’s common stock reserved for issuance thereunder by 2,000,000 shares.</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2021 Plan is qualified in its entirety by reference to the full text of the 2021 Plan, filed as Exhibit 10.1 hereto.</w:t>
      </w:r>
    </w:p>
    <w:p>
      <w:pPr>
        <w:pStyle w:val="TextBody"/>
        <w:bidi w:val="0"/>
        <w:spacing w:lineRule="auto" w:line="288" w:before="120" w:after="120"/>
        <w:ind w:left="0" w:right="0" w:hanging="108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Proxies for the Annual Meeting were solicited by the Company's Board of Directors (the "Board") pursuant to Section 14(a) of the Securities Exchange Act of 1934, as amended, and there was no solicitation in opposition to the Board’s solicitations. As of March 19, 2026, the record date for the Annual Meeting, 131,783,945 shares of Common Stock of the Company were outstanding and entitled to vote at the Annual Meeting, of which 104,505,305 shares of Common Stock of the Company were represented, in person or by proxy, constituting a quorum. The final votes on the proposals presented at the Annual Meeting were as follows:</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Proposal 1: Election of Directors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Jamie Haenggi, Benjamin Kortlang and Richard Mora were elected as directors to hold office until the 2029 Annual Meeting of Stockholders by the following vote:</w:t>
      </w:r>
    </w:p>
    <w:tbl>
      <w:tblPr>
        <w:tblW w:w="6560" w:type="dxa"/>
        <w:jc w:val="left"/>
        <w:tblInd w:w="0" w:type="dxa"/>
        <w:tblLayout w:type="fixed"/>
        <w:tblCellMar>
          <w:top w:w="28" w:type="dxa"/>
          <w:left w:w="28" w:type="dxa"/>
          <w:bottom w:w="28" w:type="dxa"/>
          <w:right w:w="28" w:type="dxa"/>
        </w:tblCellMar>
      </w:tblPr>
      <w:tblGrid>
        <w:gridCol w:w="607"/>
        <w:gridCol w:w="532"/>
        <w:gridCol w:w="541"/>
        <w:gridCol w:w="109"/>
        <w:gridCol w:w="109"/>
        <w:gridCol w:w="109"/>
        <w:gridCol w:w="344"/>
        <w:gridCol w:w="344"/>
        <w:gridCol w:w="348"/>
        <w:gridCol w:w="109"/>
        <w:gridCol w:w="109"/>
        <w:gridCol w:w="109"/>
        <w:gridCol w:w="434"/>
        <w:gridCol w:w="434"/>
        <w:gridCol w:w="436"/>
        <w:gridCol w:w="109"/>
        <w:gridCol w:w="109"/>
        <w:gridCol w:w="109"/>
        <w:gridCol w:w="455"/>
        <w:gridCol w:w="455"/>
        <w:gridCol w:w="649"/>
      </w:tblGrid>
      <w:tr>
        <w:trPr/>
        <w:tc>
          <w:tcPr>
            <w:tcW w:w="60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Broker Non-Votes</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Jamie Haenggi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70,328,117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13,469,978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20,707,210</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Kortlang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36,219,753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47,578,342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20,707,210</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Mora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78,604,250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5,193,845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20,707,210</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the directors elected above, Badri Kothandaraman, Steven J. Gomo, Joseph Malchow and Thurman John Rodgers, continue to serve as directors after the Annual Meeting.</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Mr. Kortlang received the required plurality of votes to be elected to serve on the Board; however, he did not receive a majority of the votes cast. The Nominating and Corporate Governance Committee of the Board, excluding Mr. Kortlang, will review the matter and provide a recommendation to the full Board, which will also make its determination on the matter without Mr. Kortlang's participation, pursuant to the Company’s Corporate Governance Guidelines. The Company will disclose the Board’s decision and the rationale thereof in a Current Report on Form 8-K within ninety (90) days of the date of the Annual Meeting.</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Proposal 2: Advisory Vote on the Compensation of Named Executive Officers</w:t>
      </w:r>
    </w:p>
    <w:p>
      <w:pPr>
        <w:pStyle w:val="TextBody"/>
        <w:bidi w:val="0"/>
        <w:spacing w:lineRule="auto" w:line="26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of the Company’s named executive officers was approved, on an advisory basis, by the following vote:</w:t>
      </w:r>
    </w:p>
    <w:tbl>
      <w:tblPr>
        <w:tblW w:w="5811" w:type="dxa"/>
        <w:jc w:val="left"/>
        <w:tblInd w:w="0" w:type="dxa"/>
        <w:tblLayout w:type="fixed"/>
        <w:tblCellMar>
          <w:top w:w="28" w:type="dxa"/>
          <w:left w:w="28" w:type="dxa"/>
          <w:bottom w:w="28" w:type="dxa"/>
          <w:right w:w="28" w:type="dxa"/>
        </w:tblCellMar>
      </w:tblPr>
      <w:tblGrid>
        <w:gridCol w:w="379"/>
        <w:gridCol w:w="334"/>
        <w:gridCol w:w="338"/>
        <w:gridCol w:w="109"/>
        <w:gridCol w:w="109"/>
        <w:gridCol w:w="109"/>
        <w:gridCol w:w="394"/>
        <w:gridCol w:w="394"/>
        <w:gridCol w:w="396"/>
        <w:gridCol w:w="109"/>
        <w:gridCol w:w="109"/>
        <w:gridCol w:w="109"/>
        <w:gridCol w:w="345"/>
        <w:gridCol w:w="345"/>
        <w:gridCol w:w="346"/>
        <w:gridCol w:w="109"/>
        <w:gridCol w:w="109"/>
        <w:gridCol w:w="109"/>
        <w:gridCol w:w="455"/>
        <w:gridCol w:w="455"/>
        <w:gridCol w:w="649"/>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76,051,038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7,560,943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186,114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20,707,210</w:t>
            </w:r>
          </w:p>
        </w:tc>
      </w:tr>
    </w:tbl>
    <w:p>
      <w:pPr>
        <w:pStyle w:val="TextBody"/>
        <w:bidi w:val="0"/>
        <w:spacing w:before="120" w:after="120"/>
        <w:jc w:val="left"/>
        <w:rPr/>
      </w:pPr>
      <w:r>
        <w:rPr/>
      </w:r>
    </w:p>
    <w:p>
      <w:pPr>
        <w:pStyle w:val="TextBody"/>
        <w:bidi w:val="0"/>
        <w:spacing w:lineRule="auto" w:line="276" w:before="120" w:after="120"/>
        <w:jc w:val="left"/>
        <w:rPr>
          <w:rFonts w:ascii="Times New Roman;serif" w:hAnsi="Times New Roman;serif"/>
          <w:b/>
          <w:i/>
          <w:color w:val="000000"/>
          <w:sz w:val="20"/>
        </w:rPr>
      </w:pPr>
      <w:r>
        <w:rPr>
          <w:rFonts w:ascii="Times New Roman;serif" w:hAnsi="Times New Roman;serif"/>
          <w:b/>
          <w:i/>
          <w:color w:val="000000"/>
          <w:sz w:val="20"/>
        </w:rPr>
        <w:t>Proposal 3: Approval of an amendment and restatement of the Enphase Energy, Inc. 2021 Equity Incentive Plan to increase the number of shares of common stock authorized for issuance thereunder by 2,000,000 shares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amendment and restatement of the 2021 Plan was approved, on an advisory basis, by the following vote:</w:t>
      </w:r>
    </w:p>
    <w:tbl>
      <w:tblPr>
        <w:tblW w:w="5811" w:type="dxa"/>
        <w:jc w:val="left"/>
        <w:tblInd w:w="0" w:type="dxa"/>
        <w:tblLayout w:type="fixed"/>
        <w:tblCellMar>
          <w:top w:w="28" w:type="dxa"/>
          <w:left w:w="28" w:type="dxa"/>
          <w:bottom w:w="28" w:type="dxa"/>
          <w:right w:w="28" w:type="dxa"/>
        </w:tblCellMar>
      </w:tblPr>
      <w:tblGrid>
        <w:gridCol w:w="379"/>
        <w:gridCol w:w="334"/>
        <w:gridCol w:w="338"/>
        <w:gridCol w:w="109"/>
        <w:gridCol w:w="109"/>
        <w:gridCol w:w="109"/>
        <w:gridCol w:w="394"/>
        <w:gridCol w:w="394"/>
        <w:gridCol w:w="396"/>
        <w:gridCol w:w="109"/>
        <w:gridCol w:w="109"/>
        <w:gridCol w:w="109"/>
        <w:gridCol w:w="345"/>
        <w:gridCol w:w="345"/>
        <w:gridCol w:w="346"/>
        <w:gridCol w:w="109"/>
        <w:gridCol w:w="109"/>
        <w:gridCol w:w="109"/>
        <w:gridCol w:w="455"/>
        <w:gridCol w:w="455"/>
        <w:gridCol w:w="649"/>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65,817,412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17,853,291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20,707,210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Proposal 4: Ratification of Appointment of Deloitte &amp; Touche LLP </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selection of Deloitte &amp; Touche LLP by the Audit Committee of the Board as the Company’s independent registered public accounting firm for the fiscal year ending December 31, 2026 was ratified by the following vote:</w:t>
      </w:r>
    </w:p>
    <w:tbl>
      <w:tblPr>
        <w:tblW w:w="4075" w:type="dxa"/>
        <w:jc w:val="left"/>
        <w:tblInd w:w="0" w:type="dxa"/>
        <w:tblLayout w:type="fixed"/>
        <w:tblCellMar>
          <w:top w:w="28" w:type="dxa"/>
          <w:left w:w="28" w:type="dxa"/>
          <w:bottom w:w="28" w:type="dxa"/>
          <w:right w:w="28" w:type="dxa"/>
        </w:tblCellMar>
      </w:tblPr>
      <w:tblGrid>
        <w:gridCol w:w="417"/>
        <w:gridCol w:w="368"/>
        <w:gridCol w:w="371"/>
        <w:gridCol w:w="109"/>
        <w:gridCol w:w="109"/>
        <w:gridCol w:w="109"/>
        <w:gridCol w:w="394"/>
        <w:gridCol w:w="394"/>
        <w:gridCol w:w="396"/>
        <w:gridCol w:w="109"/>
        <w:gridCol w:w="109"/>
        <w:gridCol w:w="109"/>
        <w:gridCol w:w="316"/>
        <w:gridCol w:w="316"/>
        <w:gridCol w:w="449"/>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Abstentions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103,513,747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714,475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277,083</w:t>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ind w:left="0" w:right="0" w:hanging="360"/>
        <w:jc w:val="left"/>
        <w:rPr/>
      </w:pPr>
      <w:r>
        <w:rPr>
          <w:rFonts w:ascii="Times New Roman;serif" w:hAnsi="Times New Roman;serif"/>
          <w:b w:val="false"/>
          <w:color w:val="000000"/>
          <w:sz w:val="20"/>
        </w:rPr>
        <w:t>(d)</w:t>
      </w:r>
      <w:r>
        <w:rPr>
          <w:rFonts w:ascii="Times New Roman;serif" w:hAnsi="Times New Roman;serif"/>
          <w:b/>
          <w:color w:val="000000"/>
          <w:sz w:val="20"/>
        </w:rPr>
        <w:t>Exhibits.</w:t>
      </w:r>
      <w:r>
        <w:rPr>
          <w:color w:val="000000"/>
        </w:rPr>
        <w:t> </w:t>
      </w:r>
    </w:p>
    <w:tbl>
      <w:tblPr>
        <w:tblW w:w="8201" w:type="dxa"/>
        <w:jc w:val="center"/>
        <w:tblInd w:w="0" w:type="dxa"/>
        <w:tblLayout w:type="fixed"/>
        <w:tblCellMar>
          <w:top w:w="28" w:type="dxa"/>
          <w:left w:w="28" w:type="dxa"/>
          <w:bottom w:w="28" w:type="dxa"/>
          <w:right w:w="28" w:type="dxa"/>
        </w:tblCellMar>
      </w:tblPr>
      <w:tblGrid>
        <w:gridCol w:w="460"/>
        <w:gridCol w:w="406"/>
        <w:gridCol w:w="408"/>
        <w:gridCol w:w="109"/>
        <w:gridCol w:w="109"/>
        <w:gridCol w:w="109"/>
        <w:gridCol w:w="1927"/>
        <w:gridCol w:w="1927"/>
        <w:gridCol w:w="2746"/>
      </w:tblGrid>
      <w:tr>
        <w:trPr/>
        <w:tc>
          <w:tcPr>
            <w:tcW w:w="46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127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a2021equityincentiveplanex.htm">
              <w:r>
                <w:rPr>
                  <w:rStyle w:val="InternetLink"/>
                  <w:rFonts w:ascii="Times New Roman;serif" w:hAnsi="Times New Roman;serif"/>
                  <w:b w:val="false"/>
                  <w:color w:val="0000FF"/>
                  <w:sz w:val="20"/>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a2021equityincentiveplanex.htm">
              <w:r>
                <w:rPr>
                  <w:rStyle w:val="InternetLink"/>
                  <w:rFonts w:ascii="Times New Roman;serif" w:hAnsi="Times New Roman;serif"/>
                  <w:b w:val="false"/>
                  <w:color w:val="0000FF"/>
                  <w:sz w:val="20"/>
                </w:rPr>
                <w:t>Amended and Restated 2021 Equity Incentive Plan</w:t>
              </w:r>
            </w:hyperlink>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ind w:left="0" w:right="0" w:firstLine="72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493" w:type="dxa"/>
        <w:jc w:val="left"/>
        <w:tblInd w:w="0" w:type="dxa"/>
        <w:tblLayout w:type="fixed"/>
        <w:tblCellMar>
          <w:top w:w="28" w:type="dxa"/>
          <w:left w:w="28" w:type="dxa"/>
          <w:bottom w:w="28" w:type="dxa"/>
          <w:right w:w="28" w:type="dxa"/>
        </w:tblCellMar>
      </w:tblPr>
      <w:tblGrid>
        <w:gridCol w:w="579"/>
        <w:gridCol w:w="511"/>
        <w:gridCol w:w="514"/>
        <w:gridCol w:w="374"/>
        <w:gridCol w:w="374"/>
        <w:gridCol w:w="374"/>
        <w:gridCol w:w="1462"/>
        <w:gridCol w:w="1462"/>
        <w:gridCol w:w="1471"/>
        <w:gridCol w:w="109"/>
        <w:gridCol w:w="109"/>
        <w:gridCol w:w="154"/>
      </w:tblGrid>
      <w:tr>
        <w:trPr/>
        <w:tc>
          <w:tcPr>
            <w:tcW w:w="57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May 15, 2026</w:t>
            </w:r>
          </w:p>
        </w:tc>
        <w:tc>
          <w:tcPr>
            <w:tcW w:w="55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ENPHASE ENERGY,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Mandy Yang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Mandy Yang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Enphase Energy, Inc.</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2021 Equity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Adopted by the Board of Directors: March 25, 2021</w:t>
      </w:r>
    </w:p>
    <w:p>
      <w:pPr>
        <w:pStyle w:val="TextBody"/>
        <w:bidi w:val="0"/>
        <w:spacing w:lineRule="auto" w:line="288" w:before="0" w:after="360"/>
        <w:jc w:val="center"/>
        <w:rPr/>
      </w:pPr>
      <w:r>
        <w:rPr>
          <w:rFonts w:ascii="Times New Roman;serif" w:hAnsi="Times New Roman;serif"/>
          <w:b/>
          <w:color w:val="000000"/>
          <w:sz w:val="24"/>
        </w:rPr>
        <w:t xml:space="preserve">Approved by the Stockholders: </w:t>
      </w:r>
      <w:r>
        <w:rPr>
          <w:rFonts w:ascii="Times New Roman;serif" w:hAnsi="Times New Roman;serif"/>
          <w:b/>
          <w:color w:val="000000"/>
          <w:sz w:val="24"/>
          <w:shd w:fill="FFFFFF" w:val="clear"/>
        </w:rPr>
        <w:t>May 19</w:t>
      </w:r>
      <w:r>
        <w:rPr>
          <w:rFonts w:ascii="Times New Roman;serif" w:hAnsi="Times New Roman;serif"/>
          <w:b/>
          <w:color w:val="000000"/>
          <w:sz w:val="24"/>
        </w:rPr>
        <w:t>, 2021</w:t>
        <w:br/>
        <w:t>Amended by the Board of Directors: March 31, 2025</w:t>
        <w:br/>
        <w:t>Approved by the Stockholders: May 14, 2025</w:t>
        <w:br/>
        <w:t>Amended by the Board of Directors: March 30, 2026</w:t>
        <w:br/>
        <w:t>Approved by the Stockholders: May 13, 2026</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1.    General.</w:t>
      </w:r>
    </w:p>
    <w:p>
      <w:pPr>
        <w:pStyle w:val="TextBody"/>
        <w:bidi w:val="0"/>
        <w:spacing w:lineRule="auto" w:line="288" w:before="0" w:after="240"/>
        <w:ind w:left="0" w:right="0" w:firstLine="720"/>
        <w:jc w:val="both"/>
        <w:rPr/>
      </w:pPr>
      <w:r>
        <w:rPr>
          <w:rFonts w:ascii="Times New Roman;serif" w:hAnsi="Times New Roman;serif"/>
          <w:b/>
          <w:color w:val="000000"/>
          <w:sz w:val="24"/>
        </w:rPr>
        <w:t>(a)    Prior Plan.</w:t>
      </w:r>
      <w:r>
        <w:rPr>
          <w:color w:val="000000"/>
        </w:rPr>
        <w:t xml:space="preserve"> </w:t>
      </w:r>
      <w:r>
        <w:rPr>
          <w:rFonts w:ascii="Times New Roman;serif" w:hAnsi="Times New Roman;serif"/>
          <w:b w:val="false"/>
          <w:color w:val="000000"/>
          <w:sz w:val="24"/>
        </w:rPr>
        <w:t xml:space="preserve">As of the Original Effective Date: (i) no additional awards may be granted under the Prior Plan; and (ii) all Prior Plan Awards will remain subject to the terms of the Prior Plan, except that any Prior Plan Returning Shares will become available for issuance pursuant to Awards granted under this Plan. All Awards granted under this Plan will be subject to the terms of this Plan. </w:t>
      </w:r>
    </w:p>
    <w:p>
      <w:pPr>
        <w:pStyle w:val="TextBody"/>
        <w:bidi w:val="0"/>
        <w:spacing w:lineRule="auto" w:line="288" w:before="0" w:after="240"/>
        <w:ind w:left="0" w:right="0" w:firstLine="720"/>
        <w:jc w:val="both"/>
        <w:rPr/>
      </w:pPr>
      <w:r>
        <w:rPr>
          <w:rFonts w:ascii="Times New Roman;serif" w:hAnsi="Times New Roman;serif"/>
          <w:b/>
          <w:color w:val="000000"/>
          <w:sz w:val="24"/>
        </w:rPr>
        <w:t>(b)    Eligible Award Recipients.</w:t>
      </w:r>
      <w:r>
        <w:rPr>
          <w:color w:val="000000"/>
        </w:rPr>
        <w:t xml:space="preserve"> </w:t>
      </w:r>
      <w:r>
        <w:rPr>
          <w:rFonts w:ascii="Times New Roman;serif" w:hAnsi="Times New Roman;serif"/>
          <w:b w:val="false"/>
          <w:color w:val="000000"/>
          <w:sz w:val="24"/>
        </w:rPr>
        <w:t>Subject to Section 4, Employees, Directors and Consultants are eligible to receive Awards.</w:t>
      </w:r>
    </w:p>
    <w:p>
      <w:pPr>
        <w:pStyle w:val="TextBody"/>
        <w:bidi w:val="0"/>
        <w:spacing w:lineRule="auto" w:line="288" w:before="0" w:after="240"/>
        <w:ind w:left="0" w:right="0" w:firstLine="720"/>
        <w:jc w:val="both"/>
        <w:rPr/>
      </w:pPr>
      <w:r>
        <w:rPr>
          <w:rFonts w:ascii="Times New Roman;serif" w:hAnsi="Times New Roman;serif"/>
          <w:b/>
          <w:color w:val="000000"/>
          <w:sz w:val="24"/>
        </w:rPr>
        <w:t>(c)    Available Awards.</w:t>
      </w:r>
      <w:r>
        <w:rPr>
          <w:color w:val="000000"/>
        </w:rPr>
        <w:t xml:space="preserve"> </w:t>
      </w:r>
      <w:r>
        <w:rPr>
          <w:rFonts w:ascii="Times New Roman;serif" w:hAnsi="Times New Roman;serif"/>
          <w:b w:val="false"/>
          <w:color w:val="000000"/>
          <w:sz w:val="24"/>
        </w:rPr>
        <w:t>The Plan provides for the grant of the following types of Awards: (i) Incentive Stock Options; (ii) Nonstatutory Stock Options; (iii) Stock Appreciation Rights; (iv) Restricted Stock Awards; (v) Restricted Stock Unit Awards; (vi) Performance Stock Awards; and (vii) Other Stock Awards.</w:t>
      </w:r>
    </w:p>
    <w:p>
      <w:pPr>
        <w:pStyle w:val="TextBody"/>
        <w:bidi w:val="0"/>
        <w:spacing w:lineRule="auto" w:line="288" w:before="0" w:after="240"/>
        <w:ind w:left="0" w:right="0" w:firstLine="720"/>
        <w:jc w:val="both"/>
        <w:rPr/>
      </w:pPr>
      <w:r>
        <w:rPr>
          <w:rFonts w:ascii="Times New Roman;serif" w:hAnsi="Times New Roman;serif"/>
          <w:b/>
          <w:color w:val="000000"/>
          <w:sz w:val="24"/>
        </w:rPr>
        <w:t>(d)    Purpose.</w:t>
      </w:r>
      <w:r>
        <w:rPr>
          <w:color w:val="000000"/>
        </w:rPr>
        <w:t xml:space="preserve"> </w:t>
      </w:r>
      <w:r>
        <w:rPr>
          <w:rFonts w:ascii="Times New Roman;serif" w:hAnsi="Times New Roman;serif"/>
          <w:b w:val="false"/>
          <w:color w:val="000000"/>
          <w:sz w:val="24"/>
        </w:rPr>
        <w:t>The Plan, through the granting of Awards, is intended to help the Company and any Affiliate secure and retain the services of eligible award recipients, provide incentives for such persons to exert maximum efforts for the success of the Company and any Affiliate, and provide a means by which such persons may benefit from increases in value of the Common Stock.</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2.    Administration.</w:t>
      </w:r>
    </w:p>
    <w:p>
      <w:pPr>
        <w:pStyle w:val="TextBody"/>
        <w:bidi w:val="0"/>
        <w:spacing w:lineRule="auto" w:line="288" w:before="0" w:after="240"/>
        <w:ind w:left="0" w:right="0" w:firstLine="720"/>
        <w:jc w:val="both"/>
        <w:rPr/>
      </w:pPr>
      <w:r>
        <w:rPr>
          <w:rFonts w:ascii="Times New Roman;serif" w:hAnsi="Times New Roman;serif"/>
          <w:b/>
          <w:color w:val="000000"/>
          <w:sz w:val="24"/>
        </w:rPr>
        <w:t>(a)    Administration by Board.</w:t>
      </w:r>
      <w:r>
        <w:rPr>
          <w:color w:val="000000"/>
        </w:rPr>
        <w:t xml:space="preserve"> </w:t>
      </w:r>
      <w:r>
        <w:rPr>
          <w:rFonts w:ascii="Times New Roman;serif" w:hAnsi="Times New Roman;serif"/>
          <w:b w:val="false"/>
          <w:color w:val="000000"/>
          <w:sz w:val="24"/>
        </w:rPr>
        <w:t>The Board will administer the Plan. The Board may delegate administration of the Plan to a Committee or Committees, as provided in Section 2(c).</w:t>
      </w:r>
    </w:p>
    <w:p>
      <w:pPr>
        <w:pStyle w:val="TextBody"/>
        <w:bidi w:val="0"/>
        <w:spacing w:lineRule="auto" w:line="288" w:before="0" w:after="240"/>
        <w:ind w:left="0" w:right="0" w:firstLine="720"/>
        <w:jc w:val="both"/>
        <w:rPr/>
      </w:pPr>
      <w:r>
        <w:rPr>
          <w:rFonts w:ascii="Times New Roman;serif" w:hAnsi="Times New Roman;serif"/>
          <w:b/>
          <w:color w:val="000000"/>
          <w:sz w:val="24"/>
        </w:rPr>
        <w:t>(b)    Powers of Board.</w:t>
      </w:r>
      <w:r>
        <w:rPr>
          <w:color w:val="000000"/>
        </w:rPr>
        <w:t xml:space="preserve"> </w:t>
      </w:r>
      <w:r>
        <w:rPr>
          <w:rFonts w:ascii="Times New Roman;serif" w:hAnsi="Times New Roman;serif"/>
          <w:b w:val="false"/>
          <w:color w:val="000000"/>
          <w:sz w:val="24"/>
        </w:rPr>
        <w:t>The Board will have the power, subject to, and within the limitations of, the express provisions of the Plan:</w:t>
      </w:r>
    </w:p>
    <w:p>
      <w:pPr>
        <w:pStyle w:val="TextBody"/>
        <w:bidi w:val="0"/>
        <w:spacing w:lineRule="auto" w:line="288" w:before="0" w:after="240"/>
        <w:ind w:left="0" w:right="0" w:firstLine="1440"/>
        <w:jc w:val="both"/>
        <w:rPr/>
      </w:pPr>
      <w:r>
        <w:rPr>
          <w:rFonts w:ascii="Times New Roman;serif" w:hAnsi="Times New Roman;serif"/>
          <w:b/>
          <w:color w:val="000000"/>
          <w:sz w:val="24"/>
        </w:rPr>
        <w:t>(i)    </w:t>
      </w:r>
      <w:r>
        <w:rPr>
          <w:rFonts w:ascii="Times New Roman;serif" w:hAnsi="Times New Roman;serif"/>
          <w:b w:val="false"/>
          <w:color w:val="000000"/>
          <w:sz w:val="24"/>
        </w:rPr>
        <w:t xml:space="preserve">To determine (A) who will be granted Awards, (B) when and how each Award will be granted, (C) what type of Award will be granted, (D) the provisions of each Award (which need not be identical), including when a Participant will be permitted to exercise or otherwise receive cash or Common Stock under the Award, (E) the number of shares of </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77520"/>
                <wp:effectExtent l="0" t="0" r="0" b="0"/>
                <wp:wrapNone/>
                <wp:docPr id="6" name="Frame5"/>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Common Stock subject to, or the cash value of, an Award, and (F) the Fair Market Value applicable to an Award. </w:t>
      </w:r>
    </w:p>
    <w:p>
      <w:pPr>
        <w:pStyle w:val="TextBody"/>
        <w:bidi w:val="0"/>
        <w:spacing w:lineRule="auto" w:line="288" w:before="0" w:after="240"/>
        <w:ind w:left="0" w:right="0" w:firstLine="1440"/>
        <w:jc w:val="both"/>
        <w:rPr/>
      </w:pPr>
      <w:r>
        <w:rPr>
          <w:rFonts w:ascii="Times New Roman;serif" w:hAnsi="Times New Roman;serif"/>
          <w:b/>
          <w:color w:val="000000"/>
          <w:sz w:val="24"/>
        </w:rPr>
        <w:t>(ii)    </w:t>
      </w:r>
      <w:r>
        <w:rPr>
          <w:rFonts w:ascii="Times New Roman;serif" w:hAnsi="Times New Roman;serif"/>
          <w:b w:val="false"/>
          <w:color w:val="000000"/>
          <w:sz w:val="24"/>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in a manner and to the extent it will deem necessary or expedient to make the Plan or Award fully effective.</w:t>
      </w:r>
    </w:p>
    <w:p>
      <w:pPr>
        <w:pStyle w:val="TextBody"/>
        <w:bidi w:val="0"/>
        <w:spacing w:lineRule="auto" w:line="288" w:before="0" w:after="240"/>
        <w:ind w:left="0" w:right="0" w:firstLine="1440"/>
        <w:jc w:val="both"/>
        <w:rPr/>
      </w:pPr>
      <w:r>
        <w:rPr>
          <w:rFonts w:ascii="Times New Roman;serif" w:hAnsi="Times New Roman;serif"/>
          <w:b/>
          <w:color w:val="000000"/>
          <w:sz w:val="24"/>
        </w:rPr>
        <w:t>(iii)    </w:t>
      </w:r>
      <w:r>
        <w:rPr>
          <w:rFonts w:ascii="Times New Roman;serif" w:hAnsi="Times New Roman;serif"/>
          <w:b w:val="false"/>
          <w:color w:val="000000"/>
          <w:sz w:val="24"/>
        </w:rPr>
        <w:t>To settle all controversies regarding the Plan and Awards granted under it.</w:t>
      </w:r>
    </w:p>
    <w:p>
      <w:pPr>
        <w:pStyle w:val="TextBody"/>
        <w:bidi w:val="0"/>
        <w:spacing w:lineRule="auto" w:line="288" w:before="0" w:after="240"/>
        <w:ind w:left="0" w:right="0" w:firstLine="1440"/>
        <w:jc w:val="both"/>
        <w:rPr/>
      </w:pPr>
      <w:r>
        <w:rPr>
          <w:rFonts w:ascii="Times New Roman;serif" w:hAnsi="Times New Roman;serif"/>
          <w:b/>
          <w:color w:val="000000"/>
          <w:sz w:val="24"/>
        </w:rPr>
        <w:t>(iv)    </w:t>
      </w:r>
      <w:r>
        <w:rPr>
          <w:rFonts w:ascii="Times New Roman;serif" w:hAnsi="Times New Roman;serif"/>
          <w:b w:val="false"/>
          <w:color w:val="000000"/>
          <w:sz w:val="24"/>
        </w:rPr>
        <w:t xml:space="preserve">To accelerate, in whole or in part, the time at which an Award may be exercised or vest (or at which cash or shares of Common Stock may be issued in settlement thereof). </w:t>
      </w:r>
    </w:p>
    <w:p>
      <w:pPr>
        <w:pStyle w:val="TextBody"/>
        <w:bidi w:val="0"/>
        <w:spacing w:lineRule="auto" w:line="288" w:before="0" w:after="240"/>
        <w:ind w:left="0" w:right="0" w:firstLine="1440"/>
        <w:jc w:val="both"/>
        <w:rPr/>
      </w:pPr>
      <w:r>
        <w:rPr>
          <w:rFonts w:ascii="Times New Roman;serif" w:hAnsi="Times New Roman;serif"/>
          <w:b/>
          <w:color w:val="000000"/>
          <w:sz w:val="24"/>
        </w:rPr>
        <w:t>(v)    </w:t>
      </w:r>
      <w:r>
        <w:rPr>
          <w:rFonts w:ascii="Times New Roman;serif" w:hAnsi="Times New Roman;serif"/>
          <w:b w:val="false"/>
          <w:color w:val="000000"/>
          <w:sz w:val="24"/>
        </w:rPr>
        <w:t>To suspend or terminate the Plan at any time. Except as otherwise provided in the Plan (including Section 2(b)(viii)) or an Award Agreement, suspension or termination of the Plan will not materially impair a Participant’s rights under an outstanding Award without his or her written consent.</w:t>
      </w:r>
    </w:p>
    <w:p>
      <w:pPr>
        <w:pStyle w:val="TextBody"/>
        <w:bidi w:val="0"/>
        <w:spacing w:lineRule="auto" w:line="288" w:before="0" w:after="240"/>
        <w:ind w:left="0" w:right="0" w:firstLine="1440"/>
        <w:jc w:val="both"/>
        <w:rPr/>
      </w:pPr>
      <w:r>
        <w:rPr>
          <w:rFonts w:ascii="Times New Roman;serif" w:hAnsi="Times New Roman;serif"/>
          <w:b/>
          <w:color w:val="000000"/>
          <w:sz w:val="24"/>
        </w:rPr>
        <w:t>(vi)    </w:t>
      </w:r>
      <w:r>
        <w:rPr>
          <w:rFonts w:ascii="Times New Roman;serif" w:hAnsi="Times New Roman;serif"/>
          <w:b w:val="false"/>
          <w:color w:val="000000"/>
          <w:sz w:val="24"/>
        </w:rPr>
        <w:t xml:space="preserve">To amend the Plan in any respect the Board deems necessary or advisable, including, without limitation, by adopting amendments relating to Incentive Stock Options and certain nonqualified deferred compensation under Section 409A of the Code and/or to make the Plan or Awards granted under the Plan compliant with the requirements for Incentive Stock Options or exempt from or compliant with the requirements for nonqualified deferred compensation under Section 409A of the Code, subject to the limitations, if any, of applicable law. However,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or (E) materially expands the types of Awards available for issuance under the Plan. Except as otherwise provided in the Plan (including Section 2(b)(viii)) or an Award Agreement, no amendment of the Plan will materially impair a Participant’s rights under an outstanding Award without his or her written consent. </w:t>
      </w:r>
    </w:p>
    <w:p>
      <w:pPr>
        <w:pStyle w:val="TextBody"/>
        <w:bidi w:val="0"/>
        <w:spacing w:lineRule="auto" w:line="288" w:before="0" w:after="240"/>
        <w:ind w:left="0" w:right="0" w:firstLine="1440"/>
        <w:jc w:val="both"/>
        <w:rPr/>
      </w:pPr>
      <w:r>
        <w:rPr>
          <w:rFonts w:ascii="Times New Roman;serif" w:hAnsi="Times New Roman;serif"/>
          <w:b/>
          <w:color w:val="000000"/>
          <w:sz w:val="24"/>
        </w:rPr>
        <w:t>(vii)    </w:t>
      </w:r>
      <w:r>
        <w:rPr>
          <w:rFonts w:ascii="Times New Roman;serif" w:hAnsi="Times New Roman;serif"/>
          <w:b w:val="false"/>
          <w:color w:val="000000"/>
          <w:sz w:val="24"/>
        </w:rPr>
        <w:t>To submit any amendment to the Plan for stockholder approval, including, but not limited to, amendments to the Plan intended to satisfy the requirements of (A) Section 422 of the Code regarding incentive stock options or (B) Rule 16b-3.</w:t>
      </w:r>
    </w:p>
    <w:p>
      <w:pPr>
        <w:pStyle w:val="TextBody"/>
        <w:bidi w:val="0"/>
        <w:spacing w:lineRule="auto" w:line="288" w:before="0" w:after="240"/>
        <w:ind w:left="0" w:right="0" w:firstLine="1440"/>
        <w:jc w:val="both"/>
        <w:rPr/>
      </w:pPr>
      <w:r>
        <w:rPr>
          <w:rFonts w:ascii="Times New Roman;serif" w:hAnsi="Times New Roman;serif"/>
          <w:b/>
          <w:color w:val="000000"/>
          <w:sz w:val="24"/>
        </w:rPr>
        <w:t>(viii)    </w:t>
      </w:r>
      <w:r>
        <w:rPr>
          <w:rFonts w:ascii="Times New Roman;serif" w:hAnsi="Times New Roman;serif"/>
          <w:b w:val="false"/>
          <w:color w:val="000000"/>
          <w:sz w:val="24"/>
        </w:rPr>
        <w:t xml:space="preserve">To approve forms of Award Agreements for use under the Plan and to amend the terms of any one or more outstanding Awards, including, but not limited to, amendments to provide terms more favorable to the Participant than previously provided in the Award Agreement, subject to any specified limits in the Plan that are not subject to Board discretion;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 xml:space="preserve">that except as otherwise provided in the Plan (including this </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77520"/>
                <wp:effectExtent l="0" t="0" r="0" b="0"/>
                <wp:wrapNone/>
                <wp:docPr id="7" name="Frame6"/>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Section 2(b)(viii)) or an Award Agreement, no amendment of an outstanding Award will materially impair a Participant’s rights under such Award without his or her written consent.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or anything in the Plan to the contrary, unless prohibited by applicable law, the Board may amend the terms of any outstanding Award or the Plan, or may suspend or terminate the Plan,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or the Plan into compliance with, Section 409A of the Code, or (D) to comply with other applicable laws or listing requirements.</w:t>
      </w:r>
    </w:p>
    <w:p>
      <w:pPr>
        <w:pStyle w:val="TextBody"/>
        <w:bidi w:val="0"/>
        <w:spacing w:lineRule="auto" w:line="288" w:before="0" w:after="240"/>
        <w:ind w:left="0" w:right="0" w:firstLine="1440"/>
        <w:jc w:val="both"/>
        <w:rPr/>
      </w:pPr>
      <w:r>
        <w:rPr>
          <w:rFonts w:ascii="Times New Roman;serif" w:hAnsi="Times New Roman;serif"/>
          <w:b/>
          <w:color w:val="000000"/>
          <w:sz w:val="24"/>
        </w:rPr>
        <w:t>(ix)    </w:t>
      </w:r>
      <w:r>
        <w:rPr>
          <w:rFonts w:ascii="Times New Roman;serif" w:hAnsi="Times New Roman;serif"/>
          <w:b w:val="false"/>
          <w:color w:val="000000"/>
          <w:sz w:val="24"/>
        </w:rPr>
        <w:t>Generally, to exercise such powers and to perform such acts as the Board deems necessary or expedient to promote the best interests of the Company and that are not in conflict with the provisions of the Plan or Awards.</w:t>
      </w:r>
    </w:p>
    <w:p>
      <w:pPr>
        <w:pStyle w:val="TextBody"/>
        <w:bidi w:val="0"/>
        <w:spacing w:lineRule="auto" w:line="288" w:before="0" w:after="240"/>
        <w:ind w:left="0" w:right="0" w:firstLine="1440"/>
        <w:jc w:val="both"/>
        <w:rPr/>
      </w:pPr>
      <w:r>
        <w:rPr>
          <w:rFonts w:ascii="Times New Roman;serif" w:hAnsi="Times New Roman;serif"/>
          <w:b/>
          <w:color w:val="000000"/>
          <w:sz w:val="24"/>
        </w:rPr>
        <w:t>(x)    </w:t>
      </w:r>
      <w:r>
        <w:rPr>
          <w:rFonts w:ascii="Times New Roman;serif" w:hAnsi="Times New Roman;serif"/>
          <w:b w:val="false"/>
          <w:color w:val="000000"/>
          <w:sz w:val="24"/>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(c)    Delegation to Committee.</w:t>
      </w:r>
    </w:p>
    <w:p>
      <w:pPr>
        <w:pStyle w:val="TextBody"/>
        <w:bidi w:val="0"/>
        <w:spacing w:lineRule="auto" w:line="288" w:before="0" w:after="240"/>
        <w:ind w:left="0" w:right="0" w:firstLine="1440"/>
        <w:jc w:val="both"/>
        <w:rPr/>
      </w:pPr>
      <w:r>
        <w:rPr>
          <w:rFonts w:ascii="Times New Roman;serif" w:hAnsi="Times New Roman;serif"/>
          <w:b/>
          <w:color w:val="000000"/>
          <w:sz w:val="24"/>
        </w:rPr>
        <w:t>(i)    General.</w:t>
      </w:r>
      <w:r>
        <w:rPr>
          <w:color w:val="000000"/>
        </w:rPr>
        <w:t xml:space="preserve"> </w:t>
      </w:r>
      <w:r>
        <w:rPr>
          <w:rFonts w:ascii="Times New Roman;serif" w:hAnsi="Times New Roman;serif"/>
          <w:b w:val="false"/>
          <w:color w:val="000000"/>
          <w:sz w:val="24"/>
        </w:rPr>
        <w:t>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pStyle w:val="TextBody"/>
        <w:bidi w:val="0"/>
        <w:spacing w:lineRule="auto" w:line="288" w:before="0" w:after="240"/>
        <w:ind w:left="0" w:right="0" w:firstLine="1440"/>
        <w:jc w:val="both"/>
        <w:rPr/>
      </w:pPr>
      <w:r>
        <w:rPr>
          <w:rFonts w:ascii="Times New Roman;serif" w:hAnsi="Times New Roman;serif"/>
          <w:b/>
          <w:color w:val="000000"/>
          <w:sz w:val="24"/>
        </w:rPr>
        <w:t>(ii)    Rule 16b-3 Compliance.</w:t>
      </w:r>
      <w:r>
        <w:rPr>
          <w:color w:val="000000"/>
        </w:rPr>
        <w:t xml:space="preserve"> </w:t>
      </w:r>
      <w:r>
        <w:rPr>
          <w:rFonts w:ascii="Times New Roman;serif" w:hAnsi="Times New Roman;serif"/>
          <w:b w:val="false"/>
          <w:color w:val="000000"/>
          <w:sz w:val="24"/>
        </w:rPr>
        <w:t>The Committee may consist solely of two or more Non-Employee Directors in accordance with Rule 16b-3.</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(d)    Delegation to Other Person or Body. </w:t>
      </w:r>
      <w:r>
        <w:rPr>
          <w:rFonts w:ascii="Times New Roman;serif" w:hAnsi="Times New Roman;serif"/>
          <w:b w:val="false"/>
          <w:color w:val="000000"/>
          <w:sz w:val="24"/>
        </w:rPr>
        <w:t xml:space="preserve">The Board or any Committee may delegate to one (1) or more persons or bodies the authority to do one or more of the following to the extent permitted by applicable law: (1) designate recipients, other than Officers, of Awards, provided that no person or body may be delegated authority to grant an Award to themself; (2) determine the number of shares of Common Stock subject to such Awards; and (3) determine the </w:t>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77520"/>
                <wp:effectExtent l="0" t="0" r="0" b="0"/>
                <wp:wrapNone/>
                <wp:docPr id="8" name="Frame7"/>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terms of such Awards; </w:t>
      </w:r>
      <w:r>
        <w:rPr>
          <w:rFonts w:ascii="Times New Roman;serif" w:hAnsi="Times New Roman;serif"/>
          <w:b w:val="false"/>
          <w:i/>
          <w:color w:val="000000"/>
          <w:sz w:val="24"/>
        </w:rPr>
        <w:t>provided, however,</w:t>
      </w:r>
      <w:r>
        <w:rPr>
          <w:color w:val="000000"/>
        </w:rPr>
        <w:t> </w:t>
      </w:r>
      <w:r>
        <w:rPr>
          <w:rFonts w:ascii="Times New Roman;serif" w:hAnsi="Times New Roman;serif"/>
          <w:b w:val="false"/>
          <w:color w:val="000000"/>
          <w:sz w:val="24"/>
        </w:rPr>
        <w:t>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in this Section 2(d), neither the Board nor any Committee may delegate to any person or body (who is not a Director or that is not comprised solely of Directors, respectively) the authority to determine the Fair Market Value of the Common Stock pursuant to Section 13(x)(iii) below.</w:t>
      </w:r>
    </w:p>
    <w:p>
      <w:pPr>
        <w:pStyle w:val="TextBody"/>
        <w:bidi w:val="0"/>
        <w:spacing w:lineRule="auto" w:line="288" w:before="0" w:after="240"/>
        <w:ind w:left="0" w:right="0" w:firstLine="720"/>
        <w:jc w:val="both"/>
        <w:rPr/>
      </w:pPr>
      <w:r>
        <w:rPr>
          <w:rFonts w:ascii="Times New Roman;serif" w:hAnsi="Times New Roman;serif"/>
          <w:b/>
          <w:color w:val="000000"/>
          <w:sz w:val="24"/>
        </w:rPr>
        <w:t>(e)    Effect of Board’s Decision.</w:t>
      </w:r>
      <w:r>
        <w:rPr>
          <w:color w:val="000000"/>
        </w:rPr>
        <w:t xml:space="preserve"> </w:t>
      </w:r>
      <w:r>
        <w:rPr>
          <w:rFonts w:ascii="Times New Roman;serif" w:hAnsi="Times New Roman;serif"/>
          <w:b w:val="false"/>
          <w:color w:val="000000"/>
          <w:sz w:val="24"/>
        </w:rPr>
        <w:t>All determinations, interpretations and constructions made by the Board in good faith will not be subject to review by any person and will be final, binding and conclusive on all persons.</w:t>
      </w:r>
    </w:p>
    <w:p>
      <w:pPr>
        <w:pStyle w:val="TextBody"/>
        <w:bidi w:val="0"/>
        <w:spacing w:lineRule="auto" w:line="288" w:before="0" w:after="240"/>
        <w:ind w:left="0" w:right="0" w:firstLine="720"/>
        <w:jc w:val="both"/>
        <w:rPr/>
      </w:pPr>
      <w:r>
        <w:rPr>
          <w:rFonts w:ascii="Times New Roman;serif" w:hAnsi="Times New Roman;serif"/>
          <w:b/>
          <w:color w:val="000000"/>
          <w:sz w:val="24"/>
        </w:rPr>
        <w:t>(f)    Cancellation and Re-Grant of Awards.</w:t>
      </w:r>
      <w:r>
        <w:rPr>
          <w:color w:val="000000"/>
        </w:rPr>
        <w:t xml:space="preserve"> </w:t>
      </w:r>
      <w:r>
        <w:rPr>
          <w:rFonts w:ascii="Times New Roman;serif" w:hAnsi="Times New Roman;serif"/>
          <w:b w:val="false"/>
          <w:color w:val="000000"/>
          <w:sz w:val="24"/>
        </w:rPr>
        <w:t>Neither the Board nor any Committee will have the authority to (i) reduce the exercise or strike price of any outstanding Option or SAR or (ii) cancel any outstanding Option or SAR that has an exercise or strike price (per share) greater than the then-current Fair Market Value of the Common Stock in exchange for cash or other Awards under the Plan, unless the stockholders of the Company have approved such an action within 12 months prior to such an event.</w:t>
      </w:r>
    </w:p>
    <w:p>
      <w:pPr>
        <w:pStyle w:val="TextBody"/>
        <w:bidi w:val="0"/>
        <w:spacing w:lineRule="auto" w:line="288" w:before="0" w:after="240"/>
        <w:ind w:left="0" w:right="0" w:firstLine="720"/>
        <w:jc w:val="both"/>
        <w:rPr/>
      </w:pPr>
      <w:r>
        <w:rPr>
          <w:rFonts w:ascii="Times New Roman;serif" w:hAnsi="Times New Roman;serif"/>
          <w:b/>
          <w:color w:val="000000"/>
          <w:sz w:val="24"/>
        </w:rPr>
        <w:t>(g)    Dividends and Dividend Equivalents.</w:t>
      </w:r>
      <w:r>
        <w:rPr>
          <w:color w:val="000000"/>
        </w:rPr>
        <w:t xml:space="preserve"> </w:t>
      </w:r>
      <w:r>
        <w:rPr>
          <w:rFonts w:ascii="Times New Roman;serif" w:hAnsi="Times New Roman;serif"/>
          <w:b w:val="false"/>
          <w:color w:val="000000"/>
          <w:sz w:val="24"/>
        </w:rPr>
        <w:t xml:space="preserve">Dividends or dividend equivalents may be paid or credited, as applicable, with respect to any shares of Common Stock subject to an Award, as determined by the Board and contained in the applicable Award Agreement; </w:t>
      </w:r>
      <w:r>
        <w:rPr>
          <w:rFonts w:ascii="Times New Roman;serif" w:hAnsi="Times New Roman;serif"/>
          <w:b w:val="false"/>
          <w:i/>
          <w:color w:val="000000"/>
          <w:sz w:val="24"/>
        </w:rPr>
        <w:t>provided, however</w:t>
      </w:r>
      <w:r>
        <w:rPr>
          <w:rFonts w:ascii="Times New Roman;serif" w:hAnsi="Times New Roman;serif"/>
          <w:b w:val="false"/>
          <w:color w:val="000000"/>
          <w:sz w:val="24"/>
        </w:rPr>
        <w:t>, that (i) 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Award Agreement.</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3.    Shares Subject to the Plan.</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(a)    Share Reserve.</w:t>
      </w:r>
    </w:p>
    <w:p>
      <w:pPr>
        <w:pStyle w:val="TextBody"/>
        <w:bidi w:val="0"/>
        <w:spacing w:lineRule="auto" w:line="288" w:before="0" w:after="240"/>
        <w:ind w:left="0" w:right="0" w:firstLine="1440"/>
        <w:jc w:val="both"/>
        <w:rPr/>
      </w:pPr>
      <w:r>
        <w:rPr>
          <w:rFonts w:ascii="Times New Roman;serif" w:hAnsi="Times New Roman;serif"/>
          <w:b/>
          <w:color w:val="000000"/>
          <w:sz w:val="24"/>
        </w:rPr>
        <w:t>(i)    </w:t>
      </w:r>
      <w:r>
        <w:rPr>
          <w:rFonts w:ascii="Times New Roman;serif" w:hAnsi="Times New Roman;serif"/>
          <w:b w:val="false"/>
          <w:color w:val="000000"/>
          <w:sz w:val="24"/>
        </w:rPr>
        <w:t>Subject to Section 9(a) relating to Capitalization Adjustments, the aggregate number of shares of Common Stock that may be issued pursuant to Awards from and after the Effective Date (the “</w:t>
      </w:r>
      <w:r>
        <w:rPr>
          <w:rFonts w:ascii="Times New Roman;serif" w:hAnsi="Times New Roman;serif"/>
          <w:b/>
          <w:i/>
          <w:color w:val="000000"/>
          <w:sz w:val="24"/>
        </w:rPr>
        <w:t>Share Reserve</w:t>
      </w:r>
      <w:r>
        <w:rPr>
          <w:color w:val="000000"/>
        </w:rPr>
        <w:t>”</w:t>
      </w:r>
      <w:r>
        <w:rPr>
          <w:rFonts w:ascii="Times New Roman;serif" w:hAnsi="Times New Roman;serif"/>
          <w:b w:val="false"/>
          <w:color w:val="000000"/>
          <w:sz w:val="24"/>
        </w:rPr>
        <w:t>) will not exceed the sum of (A) 15,100,456 shares and (B) the Prior Plan Returning Shares, if any, as such shares become available for issuance under this Plan from time to time.</w:t>
      </w:r>
    </w:p>
    <w:p>
      <w:pPr>
        <w:pStyle w:val="TextBody"/>
        <w:bidi w:val="0"/>
        <w:spacing w:lineRule="auto" w:line="288" w:before="0" w:after="240"/>
        <w:ind w:left="0" w:right="0" w:firstLine="1440"/>
        <w:jc w:val="both"/>
        <w:rPr/>
      </w:pPr>
      <w:r>
        <w:rPr>
          <w:rFonts w:ascii="Times New Roman;serif" w:hAnsi="Times New Roman;serif"/>
          <w:b/>
          <w:color w:val="000000"/>
          <w:sz w:val="24"/>
        </w:rPr>
        <w:t>(ii)    </w:t>
      </w:r>
      <w:r>
        <w:rPr>
          <w:rFonts w:ascii="Times New Roman;serif" w:hAnsi="Times New Roman;serif"/>
          <w:b w:val="false"/>
          <w:color w:val="000000"/>
          <w:sz w:val="24"/>
        </w:rPr>
        <w:t xml:space="preserve">For clarity, the Share Reserve is a limit on the number of shares of Common Stock that may be issued pursuant to the Plan. Accordingly, this Section 3(a) does not </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77520"/>
                <wp:effectExtent l="0" t="0" r="0" b="0"/>
                <wp:wrapNone/>
                <wp:docPr id="9" name="Frame8"/>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limit the granting of Awards except as provided in Section 7(a). Shares may be issued in connection with a merger or acquisition as permitted by Nasdaq Listing Rule 5635(c) or, if applicable, NYSE Listed Company Manual Section 303A.08, NYSE American Company Guide Section 711 or other applicable rule, and such issuance will not reduce the number of shares available for issuance under the Plan.</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(b)    Operation of Share Reserve.</w:t>
      </w:r>
    </w:p>
    <w:p>
      <w:pPr>
        <w:pStyle w:val="TextBody"/>
        <w:bidi w:val="0"/>
        <w:spacing w:lineRule="auto" w:line="288" w:before="0" w:after="240"/>
        <w:ind w:left="0" w:right="0" w:firstLine="1440"/>
        <w:jc w:val="both"/>
        <w:rPr/>
      </w:pPr>
      <w:r>
        <w:rPr>
          <w:rFonts w:ascii="Times New Roman;serif" w:hAnsi="Times New Roman;serif"/>
          <w:b/>
          <w:color w:val="000000"/>
          <w:sz w:val="24"/>
        </w:rPr>
        <w:t>(i)    No Reduction to Share Reserve.</w:t>
      </w:r>
      <w:r>
        <w:rPr>
          <w:color w:val="000000"/>
        </w:rPr>
        <w:t xml:space="preserve"> </w:t>
      </w:r>
      <w:r>
        <w:rPr>
          <w:rFonts w:ascii="Times New Roman;serif" w:hAnsi="Times New Roman;serif"/>
          <w:b w:val="false"/>
          <w:color w:val="000000"/>
          <w:sz w:val="24"/>
        </w:rPr>
        <w:t>The Share Reserve will not be reduced by any of the following shares of Common Stock and such shares will remain available for issuance under the Plan: (A) any shares subject to an Award that are not issued because such Award or any portion thereof expires or otherwise terminates without all of the shares covered by such Award having been issued; and (B) any shares subject to an Award that are not issued because such Award or any portion thereof is settled in cash.</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(ii)    Shares Available for Subsequent Issuance. </w:t>
      </w:r>
      <w:r>
        <w:rPr>
          <w:rFonts w:ascii="Times New Roman;serif" w:hAnsi="Times New Roman;serif"/>
          <w:b w:val="false"/>
          <w:color w:val="000000"/>
          <w:sz w:val="24"/>
        </w:rPr>
        <w:t xml:space="preserve">The following shares of Common Stock will revert to the Share Reserve and become available again for issuance under the Plan: (A) any shares issued pursuant to an Award that are forfeited back to or repurchased by the Company because of the failure to meet a contingency or condition required for the vesting of such shares; (B) any shares that are reacquired or withheld (or not issued) by the Company to satisfy the purchase price of a Full Value Award granted under the Plan; and (C) any shares that are reacquired or withheld (or not issued) by the Company to satisfy a tax withholding obligation in connection with a Full Value Award granted under the Plan. </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(iii)    Shares Not Available for Subsequent Issuance. </w:t>
      </w:r>
      <w:r>
        <w:rPr>
          <w:rFonts w:ascii="Times New Roman;serif" w:hAnsi="Times New Roman;serif"/>
          <w:b w:val="false"/>
          <w:color w:val="000000"/>
          <w:sz w:val="24"/>
        </w:rPr>
        <w:t>The following shares of Common Stock will not revert to the Share Reserve or become available again for issuance under the Plan: (A) any shares that are reacquired or withheld (or not issued) by the Company to satisfy the exercise or strike price of an Appreciation Award granted under the Plan or the Prior Plan (including any shares subject to such Appreciation Award that are not delivered because such Appreciation Award is exercised through a reduction of shares subject to such Appreciation Award (</w:t>
      </w:r>
      <w:r>
        <w:rPr>
          <w:rFonts w:ascii="Times New Roman;serif" w:hAnsi="Times New Roman;serif"/>
          <w:b w:val="false"/>
          <w:i/>
          <w:color w:val="000000"/>
          <w:sz w:val="24"/>
        </w:rPr>
        <w:t>i.e</w:t>
      </w:r>
      <w:r>
        <w:rPr>
          <w:rFonts w:ascii="Times New Roman;serif" w:hAnsi="Times New Roman;serif"/>
          <w:b w:val="false"/>
          <w:color w:val="000000"/>
          <w:sz w:val="24"/>
        </w:rPr>
        <w:t>., “net exercised”)); (B) any shares that are reacquired or withheld (or not issued) by the Company to satisfy a tax withholding obligation in connection with an Appreciation Award granted under the Plan or the Prior Plan; (C) any shares repurchased by the Company on the open market with the proceeds of the exercise or strike price of an Appreciation Award granted under the Plan or the Prior Plan; and (D) in the event that a Stock Appreciation Right granted under the Plan or a stock appreciation right granted under the Prior Plan is settled in shares of Common Stock, the gross number of shares of Common Stock subject to such award.</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(c)    Incentive Stock Option Limit. </w:t>
      </w:r>
      <w:r>
        <w:rPr>
          <w:rFonts w:ascii="Times New Roman;serif" w:hAnsi="Times New Roman;serif"/>
          <w:b w:val="false"/>
          <w:color w:val="000000"/>
          <w:sz w:val="24"/>
        </w:rPr>
        <w:t>Subject to the Share Reserve and Section 9(a) relating to Capitalization Adjustments, the aggregate maximum number of shares of Common Stock that may be issued pursuant to the exercise of Incentive Stock Options will be 30,000,000 shares.</w:t>
      </w:r>
    </w:p>
    <w:p>
      <w:pPr>
        <w:pStyle w:val="TextBody"/>
        <w:bidi w:val="0"/>
        <w:spacing w:lineRule="auto" w:line="288" w:before="0" w:after="240"/>
        <w:ind w:left="0" w:right="0" w:firstLine="720"/>
        <w:jc w:val="both"/>
        <w:rPr/>
      </w:pPr>
      <w:r>
        <w:rPr>
          <w:rFonts w:ascii="Times New Roman;serif" w:hAnsi="Times New Roman;serif"/>
          <w:b/>
          <w:color w:val="000000"/>
          <w:sz w:val="24"/>
        </w:rPr>
        <w:t>(d)    Source of Shares.</w:t>
      </w:r>
      <w:r>
        <w:rPr>
          <w:color w:val="000000"/>
        </w:rPr>
        <w:t xml:space="preserve"> </w:t>
      </w:r>
      <w:r>
        <w:rPr>
          <w:rFonts w:ascii="Times New Roman;serif" w:hAnsi="Times New Roman;serif"/>
          <w:b w:val="false"/>
          <w:color w:val="000000"/>
          <w:sz w:val="24"/>
        </w:rPr>
        <w:t>The stock issuable under the Plan will be shares of authorized but unissued or reacquired Common Stock, including shares repurchased by the Company on the open market or otherwise.</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77520"/>
                <wp:effectExtent l="0" t="0" r="0" b="0"/>
                <wp:wrapNone/>
                <wp:docPr id="10" name="Frame9"/>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4.    Eligibility.</w:t>
      </w:r>
    </w:p>
    <w:p>
      <w:pPr>
        <w:pStyle w:val="TextBody"/>
        <w:bidi w:val="0"/>
        <w:spacing w:lineRule="auto" w:line="288" w:before="0" w:after="240"/>
        <w:ind w:left="0" w:right="0" w:firstLine="720"/>
        <w:jc w:val="both"/>
        <w:rPr/>
      </w:pPr>
      <w:r>
        <w:rPr>
          <w:rFonts w:ascii="Times New Roman;serif" w:hAnsi="Times New Roman;serif"/>
          <w:b/>
          <w:color w:val="000000"/>
          <w:sz w:val="24"/>
        </w:rPr>
        <w:t>(a)    Eligibility for Specific Awards.</w:t>
      </w:r>
      <w:r>
        <w:rPr>
          <w:color w:val="000000"/>
        </w:rPr>
        <w:t xml:space="preserve"> </w:t>
      </w:r>
      <w:r>
        <w:rPr>
          <w:rFonts w:ascii="Times New Roman;serif" w:hAnsi="Times New Roman;serif"/>
          <w:b w:val="false"/>
          <w:color w:val="000000"/>
          <w:sz w:val="24"/>
        </w:rPr>
        <w:t xml:space="preserve">Incentive Stock Options may be granted only to employees of the Company or a “parent corporation” or “subsidiary corporation” thereof (as such terms are defined in Sections 424(e) and 424(f) of the Code). Awards other than Incentive Stock Options may be granted to Employees, Directors and Consultants; </w:t>
      </w:r>
      <w:r>
        <w:rPr>
          <w:rFonts w:ascii="Times New Roman;serif" w:hAnsi="Times New Roman;serif"/>
          <w:b w:val="false"/>
          <w:i/>
          <w:color w:val="000000"/>
          <w:sz w:val="24"/>
        </w:rPr>
        <w:t>provided, however</w:t>
      </w:r>
      <w:r>
        <w:rPr>
          <w:rFonts w:ascii="Times New Roman;serif" w:hAnsi="Times New Roman;serif"/>
          <w:b w:val="false"/>
          <w:color w:val="000000"/>
          <w:sz w:val="24"/>
        </w:rPr>
        <w:t>, that Awards may not be granted to Employees, Directors and Consultants who are providing Continuous Service only to any “parent” of the Company, as such term is defined in Rule 405, unless (i) the stock underlying such Awards is treated as “service recipient stock” under Section 409A of the Code (for example, because the Awards are granted pursuant to a corporate transaction such as a spin off transaction) or (ii) the Company, in consultation with its legal counsel, has determined that such Awards are otherwise exempt from or alternatively comply with Section 409A of the Code.</w:t>
      </w:r>
    </w:p>
    <w:p>
      <w:pPr>
        <w:pStyle w:val="TextBody"/>
        <w:bidi w:val="0"/>
        <w:spacing w:lineRule="auto" w:line="288" w:before="0" w:after="240"/>
        <w:ind w:left="0" w:right="0" w:firstLine="720"/>
        <w:jc w:val="both"/>
        <w:rPr/>
      </w:pPr>
      <w:r>
        <w:rPr>
          <w:rFonts w:ascii="Times New Roman;serif" w:hAnsi="Times New Roman;serif"/>
          <w:b/>
          <w:color w:val="000000"/>
          <w:sz w:val="24"/>
        </w:rPr>
        <w:t>(b)    Ten Percent Stockholders.</w:t>
      </w:r>
      <w:r>
        <w:rPr>
          <w:color w:val="000000"/>
        </w:rPr>
        <w:t xml:space="preserve"> </w:t>
      </w:r>
      <w:r>
        <w:rPr>
          <w:rFonts w:ascii="Times New Roman;serif" w:hAnsi="Times New Roman;serif"/>
          <w:b w:val="false"/>
          <w:color w:val="000000"/>
          <w:sz w:val="24"/>
        </w:rPr>
        <w:t>A Ten Percent Stockholder will not be granted an Incentive Stock Option unless the exercise price (per share) of such Option is at least 110% of the Fair Market Value of the Common Stock on the date of grant of such Option and the Option is not exercisable after the expiration of five years from the date of grant.</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5.    Provisions Relating to Options and Stock Appreciation Rights.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Each Option or SAR Agreement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terms and conditions of separate Option or SAR Agreements need not be identical; </w:t>
      </w:r>
      <w:r>
        <w:rPr>
          <w:rFonts w:ascii="Times New Roman;serif" w:hAnsi="Times New Roman;serif"/>
          <w:b w:val="false"/>
          <w:i/>
          <w:color w:val="000000"/>
          <w:sz w:val="24"/>
        </w:rPr>
        <w:t>provided, however</w:t>
      </w:r>
      <w:r>
        <w:rPr>
          <w:rFonts w:ascii="Times New Roman;serif" w:hAnsi="Times New Roman;serif"/>
          <w:b w:val="false"/>
          <w:color w:val="000000"/>
          <w:sz w:val="24"/>
        </w:rPr>
        <w:t>, that each Award Agreement will conform to (through incorporation of the provisions hereof by reference in the applicable Award Agreement or otherwise) the substance of each of the following provisions:</w:t>
      </w:r>
    </w:p>
    <w:p>
      <w:pPr>
        <w:pStyle w:val="TextBody"/>
        <w:bidi w:val="0"/>
        <w:spacing w:lineRule="auto" w:line="288" w:before="0" w:after="240"/>
        <w:ind w:left="0" w:right="0" w:firstLine="720"/>
        <w:jc w:val="both"/>
        <w:rPr/>
      </w:pPr>
      <w:r>
        <w:rPr>
          <w:rFonts w:ascii="Times New Roman;serif" w:hAnsi="Times New Roman;serif"/>
          <w:b/>
          <w:color w:val="000000"/>
          <w:sz w:val="24"/>
        </w:rPr>
        <w:t>(a)    Term.</w:t>
      </w:r>
      <w:r>
        <w:rPr>
          <w:color w:val="000000"/>
        </w:rPr>
        <w:t xml:space="preserve"> </w:t>
      </w:r>
      <w:r>
        <w:rPr>
          <w:rFonts w:ascii="Times New Roman;serif" w:hAnsi="Times New Roman;serif"/>
          <w:b w:val="false"/>
          <w:color w:val="000000"/>
          <w:sz w:val="24"/>
        </w:rPr>
        <w:t>Subject to the provisions of Section 4(b) regarding Ten Percent Stockholders, no Option or SAR will be exercisable after the expiration of 10 years from the date of its grant or such shorter period specified in the Award Agreement.</w:t>
      </w:r>
    </w:p>
    <w:p>
      <w:pPr>
        <w:pStyle w:val="TextBody"/>
        <w:bidi w:val="0"/>
        <w:spacing w:lineRule="auto" w:line="288" w:before="0" w:after="240"/>
        <w:ind w:left="0" w:right="0" w:firstLine="720"/>
        <w:jc w:val="both"/>
        <w:rPr/>
      </w:pPr>
      <w:r>
        <w:rPr>
          <w:rFonts w:ascii="Times New Roman;serif" w:hAnsi="Times New Roman;serif"/>
          <w:b/>
          <w:color w:val="000000"/>
          <w:sz w:val="24"/>
        </w:rPr>
        <w:t>(b)    Exercise or Strike Price.</w:t>
      </w:r>
      <w:r>
        <w:rPr>
          <w:color w:val="000000"/>
        </w:rPr>
        <w:t xml:space="preserve"> </w:t>
      </w:r>
      <w:r>
        <w:rPr>
          <w:rFonts w:ascii="Times New Roman;serif" w:hAnsi="Times New Roman;serif"/>
          <w:b w:val="false"/>
          <w:color w:val="000000"/>
          <w:sz w:val="24"/>
        </w:rPr>
        <w:t>Subject to the provisions of Section 4(b) regarding Ten Percent Stockholders, the exercise or strike price (per share) of each Option or SAR will be not less than 100% of the Fair Market Value of the Common Stock on the date the Award is granted. Notwithstanding the foregoing, an Option or SAR may be granted with an exercise or strike price (per share) less than 100% of the Fair Market Value of the Common Stock on the date the Award is granted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77520"/>
                <wp:effectExtent l="0" t="0" r="0" b="0"/>
                <wp:wrapNone/>
                <wp:docPr id="11" name="Frame10"/>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(c)    Payment of Exercise Price for Options.</w:t>
      </w:r>
      <w:r>
        <w:rPr>
          <w:color w:val="000000"/>
        </w:rPr>
        <w:t xml:space="preserve"> </w:t>
      </w:r>
      <w:r>
        <w:rPr>
          <w:rFonts w:ascii="Times New Roman;serif" w:hAnsi="Times New Roman;serif"/>
          <w:b w:val="false"/>
          <w:color w:val="000000"/>
          <w:sz w:val="24"/>
        </w:rPr>
        <w:t>The exercise price of an Option may be paid, to the extent permitted by applicable law and as determined by the Board in its sole discretion, by one or more of the methods of payment set forth below that are specified in the Option Agreement. The Board has the authority to grant Options that do not permit all of the following methods of payment (or that otherwise restrict the ability to utilize certain methods) and to grant Options that require the consent of the Company to utilize a particular method of payment.</w:t>
      </w:r>
    </w:p>
    <w:p>
      <w:pPr>
        <w:pStyle w:val="TextBody"/>
        <w:bidi w:val="0"/>
        <w:spacing w:lineRule="auto" w:line="288" w:before="0" w:after="240"/>
        <w:ind w:left="0" w:right="0" w:firstLine="1440"/>
        <w:jc w:val="both"/>
        <w:rPr/>
      </w:pPr>
      <w:r>
        <w:rPr>
          <w:rFonts w:ascii="Times New Roman;serif" w:hAnsi="Times New Roman;serif"/>
          <w:b/>
          <w:color w:val="000000"/>
          <w:sz w:val="24"/>
        </w:rPr>
        <w:t>(i)    </w:t>
      </w:r>
      <w:r>
        <w:rPr>
          <w:rFonts w:ascii="Times New Roman;serif" w:hAnsi="Times New Roman;serif"/>
          <w:b w:val="false"/>
          <w:color w:val="000000"/>
          <w:sz w:val="24"/>
        </w:rPr>
        <w:t>By cash (including electronic funds transfers), check, bank draft or money order payable to the Company;</w:t>
      </w:r>
    </w:p>
    <w:p>
      <w:pPr>
        <w:pStyle w:val="TextBody"/>
        <w:bidi w:val="0"/>
        <w:spacing w:lineRule="auto" w:line="288" w:before="0" w:after="240"/>
        <w:ind w:left="0" w:right="0" w:firstLine="1440"/>
        <w:jc w:val="both"/>
        <w:rPr/>
      </w:pPr>
      <w:r>
        <w:rPr>
          <w:rFonts w:ascii="Times New Roman;serif" w:hAnsi="Times New Roman;serif"/>
          <w:b/>
          <w:color w:val="000000"/>
          <w:sz w:val="24"/>
        </w:rPr>
        <w:t>(ii)    </w:t>
      </w:r>
      <w:r>
        <w:rPr>
          <w:rFonts w:ascii="Times New Roman;serif" w:hAnsi="Times New Roman;serif"/>
          <w:b w:val="false"/>
          <w:color w:val="000000"/>
          <w:sz w:val="24"/>
        </w:rPr>
        <w:t>Pursuant to a program developed under Regulation T as promulgated by the Federal Reserve Board that, prior to the issuance of the Common Stock subject to the Option, results in either the receipt of cash (or check) by the Company or the receipt of irrevocable instructions to pay the aggregate exercise price to the Company from the sales proceeds;</w:t>
      </w:r>
    </w:p>
    <w:p>
      <w:pPr>
        <w:pStyle w:val="TextBody"/>
        <w:bidi w:val="0"/>
        <w:spacing w:lineRule="auto" w:line="288" w:before="0" w:after="240"/>
        <w:ind w:left="0" w:right="0" w:firstLine="1440"/>
        <w:jc w:val="both"/>
        <w:rPr/>
      </w:pPr>
      <w:r>
        <w:rPr>
          <w:rFonts w:ascii="Times New Roman;serif" w:hAnsi="Times New Roman;serif"/>
          <w:b/>
          <w:color w:val="000000"/>
          <w:sz w:val="24"/>
        </w:rPr>
        <w:t>(iii)    </w:t>
      </w:r>
      <w:r>
        <w:rPr>
          <w:rFonts w:ascii="Times New Roman;serif" w:hAnsi="Times New Roman;serif"/>
          <w:b w:val="false"/>
          <w:color w:val="000000"/>
          <w:sz w:val="24"/>
        </w:rPr>
        <w:t>By delivery to the Company (either by actual delivery or attestation) of shares of Common Stock;</w:t>
      </w:r>
    </w:p>
    <w:p>
      <w:pPr>
        <w:pStyle w:val="TextBody"/>
        <w:bidi w:val="0"/>
        <w:spacing w:lineRule="auto" w:line="288" w:before="0" w:after="240"/>
        <w:ind w:left="0" w:right="0" w:firstLine="1440"/>
        <w:jc w:val="both"/>
        <w:rPr/>
      </w:pPr>
      <w:r>
        <w:rPr>
          <w:rFonts w:ascii="Times New Roman;serif" w:hAnsi="Times New Roman;serif"/>
          <w:b/>
          <w:color w:val="000000"/>
          <w:sz w:val="24"/>
        </w:rPr>
        <w:t>(iv)    </w:t>
      </w:r>
      <w:r>
        <w:rPr>
          <w:rFonts w:ascii="Times New Roman;serif" w:hAnsi="Times New Roman;serif"/>
          <w:b w:val="false"/>
          <w:color w:val="000000"/>
          <w:sz w:val="24"/>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pStyle w:val="TextBody"/>
        <w:bidi w:val="0"/>
        <w:spacing w:lineRule="auto" w:line="288" w:before="0" w:after="240"/>
        <w:ind w:left="0" w:right="0" w:firstLine="1440"/>
        <w:jc w:val="both"/>
        <w:rPr/>
      </w:pPr>
      <w:r>
        <w:rPr>
          <w:rFonts w:ascii="Times New Roman;serif" w:hAnsi="Times New Roman;serif"/>
          <w:b/>
          <w:color w:val="000000"/>
          <w:sz w:val="24"/>
        </w:rPr>
        <w:t>(v)    </w:t>
      </w:r>
      <w:r>
        <w:rPr>
          <w:rFonts w:ascii="Times New Roman;serif" w:hAnsi="Times New Roman;serif"/>
          <w:b w:val="false"/>
          <w:color w:val="000000"/>
          <w:sz w:val="24"/>
        </w:rPr>
        <w:t>In any other form of legal consideration that may be acceptable to the Board and specified in the applicable Award Agreement.</w:t>
      </w:r>
    </w:p>
    <w:p>
      <w:pPr>
        <w:pStyle w:val="TextBody"/>
        <w:bidi w:val="0"/>
        <w:spacing w:lineRule="auto" w:line="288" w:before="0" w:after="240"/>
        <w:ind w:left="0" w:right="0" w:firstLine="720"/>
        <w:jc w:val="both"/>
        <w:rPr/>
      </w:pPr>
      <w:r>
        <w:rPr>
          <w:rFonts w:ascii="Times New Roman;serif" w:hAnsi="Times New Roman;serif"/>
          <w:b/>
          <w:color w:val="000000"/>
          <w:sz w:val="24"/>
        </w:rPr>
        <w:t>(d)    Exercise and Payment of a SAR.</w:t>
      </w:r>
      <w:r>
        <w:rPr>
          <w:color w:val="000000"/>
        </w:rPr>
        <w:t xml:space="preserve"> </w:t>
      </w:r>
      <w:r>
        <w:rPr>
          <w:rFonts w:ascii="Times New Roman;serif" w:hAnsi="Times New Roman;serif"/>
          <w:b w:val="false"/>
          <w:color w:val="000000"/>
          <w:sz w:val="24"/>
        </w:rPr>
        <w:t>To exercise any outstanding SAR, the Participant must provide written notice of exercise to the Company in compliance with the provisions of the Award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77520"/>
                <wp:effectExtent l="0" t="0" r="0" b="0"/>
                <wp:wrapNone/>
                <wp:docPr id="12" name="Frame11"/>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(e)    Transferability of Options and SARs.</w:t>
      </w:r>
      <w:r>
        <w:rPr>
          <w:color w:val="000000"/>
        </w:rPr>
        <w:t xml:space="preserve"> </w:t>
      </w:r>
      <w:r>
        <w:rPr>
          <w:rFonts w:ascii="Times New Roman;serif" w:hAnsi="Times New Roman;serif"/>
          <w:b w:val="false"/>
          <w:color w:val="000000"/>
          <w:sz w:val="24"/>
        </w:rPr>
        <w:t>The Board may, in its sole discretion, impose such limitations on the transferability of Options and SARs as the Board will determine. In the absence of such a determination by the Board to the contrary, the restrictions set forth in this Section 5(e) on the transferability of Options and SARs will apply. Notwithstanding the foregoing or anything in the Plan or an Award Agreement to the contrary, no Option or SAR may be transferred to any financial institution without prior stockholder approval.</w:t>
      </w:r>
    </w:p>
    <w:p>
      <w:pPr>
        <w:pStyle w:val="TextBody"/>
        <w:bidi w:val="0"/>
        <w:spacing w:lineRule="auto" w:line="288" w:before="0" w:after="240"/>
        <w:ind w:left="0" w:right="0" w:firstLine="1440"/>
        <w:jc w:val="both"/>
        <w:rPr/>
      </w:pPr>
      <w:r>
        <w:rPr>
          <w:rFonts w:ascii="Times New Roman;serif" w:hAnsi="Times New Roman;serif"/>
          <w:b/>
          <w:color w:val="000000"/>
          <w:sz w:val="24"/>
        </w:rPr>
        <w:t>(i)    Restrictions on Transfer.</w:t>
      </w:r>
      <w:r>
        <w:rPr>
          <w:color w:val="000000"/>
        </w:rPr>
        <w:t xml:space="preserve"> </w:t>
      </w:r>
      <w:r>
        <w:rPr>
          <w:rFonts w:ascii="Times New Roman;serif" w:hAnsi="Times New Roman;serif"/>
          <w:b w:val="false"/>
          <w:color w:val="000000"/>
          <w:sz w:val="24"/>
        </w:rPr>
        <w:t>An Option or SAR will not be transferable, except by will or by the laws of descent and distribution (and pursuant to Sections 5(e)(ii) and 5(e)(iii) below), and will be exercisable during the lifetime of the Participant only by the Participant. Subject to the foregoing paragraph, the Board may, in its sole discretion, permit transfer of the Option or SAR in a manner that is not prohibited by applicable tax and securities laws. Except as explicitly provided in the Plan, neither an Option nor a SAR may be transferred for consideration.</w:t>
      </w:r>
    </w:p>
    <w:p>
      <w:pPr>
        <w:pStyle w:val="TextBody"/>
        <w:bidi w:val="0"/>
        <w:spacing w:lineRule="auto" w:line="288" w:before="0" w:after="240"/>
        <w:ind w:left="0" w:right="0" w:firstLine="1440"/>
        <w:jc w:val="both"/>
        <w:rPr/>
      </w:pPr>
      <w:r>
        <w:rPr>
          <w:rFonts w:ascii="Times New Roman;serif" w:hAnsi="Times New Roman;serif"/>
          <w:b/>
          <w:color w:val="000000"/>
          <w:sz w:val="24"/>
        </w:rPr>
        <w:t>(ii)    Domestic Relations Orders.</w:t>
      </w:r>
      <w:r>
        <w:rPr>
          <w:color w:val="000000"/>
        </w:rPr>
        <w:t xml:space="preserve"> </w:t>
      </w:r>
      <w:r>
        <w:rPr>
          <w:rFonts w:ascii="Times New Roman;serif" w:hAnsi="Times New Roman;serif"/>
          <w:b w:val="false"/>
          <w:color w:val="000000"/>
          <w:sz w:val="24"/>
        </w:rPr>
        <w:t>Subject to the approval of the Board or a duly authorized Officer, an Option or SAR may be transferred 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pStyle w:val="TextBody"/>
        <w:bidi w:val="0"/>
        <w:spacing w:lineRule="auto" w:line="288" w:before="0" w:after="240"/>
        <w:ind w:left="0" w:right="0" w:firstLine="1440"/>
        <w:jc w:val="both"/>
        <w:rPr/>
      </w:pPr>
      <w:r>
        <w:rPr>
          <w:rFonts w:ascii="Times New Roman;serif" w:hAnsi="Times New Roman;serif"/>
          <w:b/>
          <w:color w:val="000000"/>
          <w:sz w:val="24"/>
        </w:rPr>
        <w:t>(iii)    Beneficiary Designation.</w:t>
      </w:r>
      <w:r>
        <w:rPr>
          <w:color w:val="000000"/>
        </w:rPr>
        <w:t xml:space="preserve"> </w:t>
      </w:r>
      <w:r>
        <w:rPr>
          <w:rFonts w:ascii="Times New Roman;serif" w:hAnsi="Times New Roman;serif"/>
          <w:b w:val="false"/>
          <w:color w:val="000000"/>
          <w:sz w:val="24"/>
        </w:rPr>
        <w:t>Subject to the approval of the Board or a duly authorized Officer, a Participant may, by delivering written 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pStyle w:val="TextBody"/>
        <w:bidi w:val="0"/>
        <w:spacing w:lineRule="auto" w:line="288" w:before="0" w:after="240"/>
        <w:ind w:left="0" w:right="0" w:firstLine="720"/>
        <w:jc w:val="both"/>
        <w:rPr/>
      </w:pPr>
      <w:r>
        <w:rPr>
          <w:rFonts w:ascii="Times New Roman;serif" w:hAnsi="Times New Roman;serif"/>
          <w:b/>
          <w:color w:val="000000"/>
          <w:sz w:val="24"/>
        </w:rPr>
        <w:t>(f)    Vesting.</w:t>
      </w:r>
      <w:r>
        <w:rPr>
          <w:color w:val="000000"/>
        </w:rPr>
        <w:t xml:space="preserve"> </w:t>
      </w:r>
      <w:r>
        <w:rPr>
          <w:rFonts w:ascii="Times New Roman;serif" w:hAnsi="Times New Roman;serif"/>
          <w:b w:val="false"/>
          <w:color w:val="000000"/>
          <w:sz w:val="24"/>
        </w:rPr>
        <w:t>The total number of shares of Common Stock subject to an Option or SAR may vest and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pStyle w:val="TextBody"/>
        <w:bidi w:val="0"/>
        <w:spacing w:lineRule="auto" w:line="288" w:before="0" w:after="240"/>
        <w:ind w:left="0" w:right="0" w:firstLine="720"/>
        <w:jc w:val="both"/>
        <w:rPr/>
      </w:pPr>
      <w:r>
        <w:rPr>
          <w:rFonts w:ascii="Times New Roman;serif" w:hAnsi="Times New Roman;serif"/>
          <w:b/>
          <w:color w:val="000000"/>
          <w:sz w:val="24"/>
        </w:rPr>
        <w:t>(g)    Termination of Continuous Service.</w:t>
      </w:r>
      <w:r>
        <w:rPr>
          <w:color w:val="000000"/>
        </w:rPr>
        <w:t xml:space="preserve"> </w:t>
      </w:r>
      <w:r>
        <w:rPr>
          <w:rFonts w:ascii="Times New Roman;serif" w:hAnsi="Times New Roman;serif"/>
          <w:b w:val="false"/>
          <w:color w:val="000000"/>
          <w:sz w:val="24"/>
        </w:rPr>
        <w:t xml:space="preserve">Except as otherwise provided in the applicable Award Agreement or other written agreement between a Participant and the Company or an Affiliate, if a Participant’s Continuous Service terminates (other than for Cause and other than upon the Participant’s death or Disability), the Participant may exercise his or her Option or </w:t>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77520"/>
                <wp:effectExtent l="0" t="0" r="0" b="0"/>
                <wp:wrapNone/>
                <wp:docPr id="13" name="Frame12"/>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SAR (to the extent that the Participant was entitled to exercise such Option or SAR as of the date of termination of Continuous Service), but only within such period of time ending on the earlier of (i) the date that is three months following such termination of Continuous Service (or such longer or shorter period specified in the Award Agreement), and (ii) the expiration of the term of the Option or SAR as set forth in the Award Agreement. If, after such termination of Continuous Service, the Participant does not exercise his or her Option or SAR (as applicable) within the applicable time period, the Option or SAR (as applicable) will terminate.</w:t>
      </w:r>
    </w:p>
    <w:p>
      <w:pPr>
        <w:pStyle w:val="TextBody"/>
        <w:bidi w:val="0"/>
        <w:spacing w:lineRule="auto" w:line="288" w:before="0" w:after="240"/>
        <w:ind w:left="0" w:right="0" w:firstLine="720"/>
        <w:jc w:val="both"/>
        <w:rPr/>
      </w:pPr>
      <w:r>
        <w:rPr>
          <w:rFonts w:ascii="Times New Roman;serif" w:hAnsi="Times New Roman;serif"/>
          <w:b/>
          <w:color w:val="000000"/>
          <w:sz w:val="24"/>
        </w:rPr>
        <w:t>(h)    Extension of Termination Date.</w:t>
      </w:r>
      <w:r>
        <w:rPr>
          <w:color w:val="000000"/>
        </w:rPr>
        <w:t xml:space="preserve"> </w:t>
      </w:r>
      <w:r>
        <w:rPr>
          <w:rFonts w:ascii="Times New Roman;serif" w:hAnsi="Times New Roman;serif"/>
          <w:b w:val="false"/>
          <w:color w:val="000000"/>
          <w:sz w:val="24"/>
        </w:rPr>
        <w:t>Except as otherwise provided in the applicable Award Agreement or other written agreement between a Participant and the Company or an Affiliate,</w:t>
      </w:r>
      <w:r>
        <w:rPr>
          <w:color w:val="000000"/>
        </w:rPr>
        <w:t xml:space="preserve"> </w:t>
      </w:r>
      <w:r>
        <w:rPr>
          <w:rFonts w:ascii="Times New Roman;serif" w:hAnsi="Times New Roman;serif"/>
          <w:b w:val="false"/>
          <w:color w:val="000000"/>
          <w:sz w:val="24"/>
        </w:rPr>
        <w:t>if the exercise of an Option or SAR following the termination of a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Award Agreement. In addition, except as otherwise provided in the applicable Award Agreement or other written agreement between a Participant and the Company or an Affiliate, if the sale of any Common Stock received upon exercise of an Option or SAR following the termination of a Participant’s Continuous Service (other than for Cause) would violate the Company’s insider trading policy, then the Option or SAR will terminate on the earlier of (i) the expiration of a total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pStyle w:val="TextBody"/>
        <w:bidi w:val="0"/>
        <w:spacing w:lineRule="auto" w:line="288" w:before="0" w:after="240"/>
        <w:ind w:left="0" w:right="0" w:firstLine="720"/>
        <w:jc w:val="both"/>
        <w:rPr/>
      </w:pPr>
      <w:r>
        <w:rPr>
          <w:rFonts w:ascii="Times New Roman;serif" w:hAnsi="Times New Roman;serif"/>
          <w:b/>
          <w:color w:val="000000"/>
          <w:sz w:val="24"/>
        </w:rPr>
        <w:t>(i)    Disability of Participant.</w:t>
      </w:r>
      <w:r>
        <w:rPr>
          <w:color w:val="000000"/>
        </w:rPr>
        <w:t xml:space="preserve"> </w:t>
      </w:r>
      <w:r>
        <w:rPr>
          <w:rFonts w:ascii="Times New Roman;serif" w:hAnsi="Times New Roman;serif"/>
          <w:b w:val="false"/>
          <w:color w:val="000000"/>
          <w:sz w:val="24"/>
        </w:rPr>
        <w:t>Except as otherwise provided in the applicable Award Agreement or other written agreement between a Participant and the Company or an Affiliate,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that is 18 months following such termination of Continuous Service (or such longer or shorter period specified in the Award Agreement), and (ii) the expiration of the term of the Option or SAR as set forth in the Award Agreement. If, after such termination of Continuous Service, the Participant does not exercise his or her Option or SAR (as applicable) within the applicable time period, the Option or SAR (as applicable) will terminate.</w:t>
      </w:r>
    </w:p>
    <w:p>
      <w:pPr>
        <w:pStyle w:val="TextBody"/>
        <w:bidi w:val="0"/>
        <w:spacing w:lineRule="auto" w:line="288" w:before="0" w:after="240"/>
        <w:ind w:left="0" w:right="0" w:firstLine="720"/>
        <w:jc w:val="both"/>
        <w:rPr/>
      </w:pPr>
      <w:r>
        <w:rPr>
          <w:rFonts w:ascii="Times New Roman;serif" w:hAnsi="Times New Roman;serif"/>
          <w:b/>
          <w:color w:val="000000"/>
          <w:sz w:val="24"/>
        </w:rPr>
        <w:t>(j)    Death of Participant.</w:t>
      </w:r>
      <w:r>
        <w:rPr>
          <w:color w:val="000000"/>
        </w:rPr>
        <w:t xml:space="preserve"> </w:t>
      </w:r>
      <w:r>
        <w:rPr>
          <w:rFonts w:ascii="Times New Roman;serif" w:hAnsi="Times New Roman;serif"/>
          <w:b w:val="false"/>
          <w:color w:val="000000"/>
          <w:sz w:val="24"/>
        </w:rPr>
        <w:t xml:space="preserve">Except as otherwise provided in the applicable Award Agreement or other written agreement between a Participant and the Company or an Affiliate, if (i) a Participant’s Continuous Service terminates as a result of the Participant’s death, or (ii) a Participant dies within the period (if any) specified in the Award Agreement for exercisability </w:t>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77520"/>
                <wp:effectExtent l="0" t="0" r="0" b="0"/>
                <wp:wrapNone/>
                <wp:docPr id="14" name="Frame13"/>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after the termination of the Participant’s Continuous Service (for a reason other than death), then the Participant’s Option or SAR may be exercised (to the extent that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such period of time ending on the earlier of (i) the date that is 18 months following the date of death (or such longer or shorter period specified in the Award Agreement), and (ii) the expiration of the term of the Option or SAR as set forth in the Award Agreement. If, after the Participant’s death, the Option or SAR (as applicable) is not exercised within the applicable time period, the Option or SAR (as applicable) will terminate.</w:t>
      </w:r>
    </w:p>
    <w:p>
      <w:pPr>
        <w:pStyle w:val="TextBody"/>
        <w:bidi w:val="0"/>
        <w:spacing w:lineRule="auto" w:line="288" w:before="0" w:after="240"/>
        <w:ind w:left="0" w:right="0" w:firstLine="720"/>
        <w:jc w:val="both"/>
        <w:rPr/>
      </w:pPr>
      <w:r>
        <w:rPr>
          <w:rFonts w:ascii="Times New Roman;serif" w:hAnsi="Times New Roman;serif"/>
          <w:b/>
          <w:color w:val="000000"/>
          <w:sz w:val="24"/>
        </w:rPr>
        <w:t>(k)    Termination for Cause.</w:t>
      </w:r>
      <w:r>
        <w:rPr>
          <w:color w:val="000000"/>
        </w:rPr>
        <w:t xml:space="preserve"> </w:t>
      </w:r>
      <w:r>
        <w:rPr>
          <w:rFonts w:ascii="Times New Roman;serif" w:hAnsi="Times New Roman;serif"/>
          <w:b w:val="false"/>
          <w:color w:val="000000"/>
          <w:sz w:val="24"/>
        </w:rPr>
        <w:t>Except as explicitly provided otherwise in the applicable Award Agreement or other individual written agreement between a Participant and the Company or an Affiliate, if a Participant’s Continuous Service is terminated for Cause, the Participant’s Option or SAR will terminate immediately upon such termination of Continuous Service, and the Participant will be prohibited from exercising his or her Option or SAR from and after the time of such termination of Continuous Service.</w:t>
      </w:r>
    </w:p>
    <w:p>
      <w:pPr>
        <w:pStyle w:val="TextBody"/>
        <w:bidi w:val="0"/>
        <w:spacing w:lineRule="auto" w:line="288" w:before="0" w:after="240"/>
        <w:ind w:left="0" w:right="0" w:firstLine="720"/>
        <w:jc w:val="both"/>
        <w:rPr/>
      </w:pPr>
      <w:r>
        <w:rPr>
          <w:rFonts w:ascii="Times New Roman;serif" w:hAnsi="Times New Roman;serif"/>
          <w:b/>
          <w:color w:val="000000"/>
          <w:sz w:val="24"/>
        </w:rPr>
        <w:t>(l)    Non-Exempt Employees.</w:t>
      </w:r>
      <w:r>
        <w:rPr>
          <w:color w:val="000000"/>
        </w:rPr>
        <w:t xml:space="preserve"> </w:t>
      </w:r>
      <w:r>
        <w:rPr>
          <w:rFonts w:ascii="Times New Roman;serif" w:hAnsi="Times New Roman;serif"/>
          <w:b w:val="false"/>
          <w:color w:val="000000"/>
          <w:sz w:val="24"/>
        </w:rPr>
        <w:t>If an Option or SAR is granted to an Employee who is a non-exempt employee for purposes of the Fair Labor Standards Act of 1938, as amended, the Option or SAR will not be first exercisable for any shares of Common Stock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written agreement between the Participant and the Company or an Affiliate, or, if no such definition, in accordance with the Company’s or Affiliate’s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Award will be exempt from the employee’s regular rate of pay, the provisions of this Section 5(l) will apply to all Awards and are hereby incorporated by reference into such Award Agreements.</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6.    Provisions of Awards Other than Options and SARs.</w:t>
      </w:r>
    </w:p>
    <w:p>
      <w:pPr>
        <w:pStyle w:val="TextBody"/>
        <w:bidi w:val="0"/>
        <w:spacing w:lineRule="auto" w:line="288" w:before="0" w:after="240"/>
        <w:ind w:left="0" w:right="0" w:firstLine="720"/>
        <w:jc w:val="both"/>
        <w:rPr/>
      </w:pPr>
      <w:r>
        <w:rPr>
          <w:rFonts w:ascii="Times New Roman;serif" w:hAnsi="Times New Roman;serif"/>
          <w:b/>
          <w:color w:val="000000"/>
          <w:sz w:val="24"/>
        </w:rPr>
        <w:t>(a)    Restricted Stock Awards.</w:t>
      </w:r>
      <w:r>
        <w:rPr>
          <w:color w:val="000000"/>
        </w:rPr>
        <w:t xml:space="preserve"> </w:t>
      </w:r>
      <w:r>
        <w:rPr>
          <w:rFonts w:ascii="Times New Roman;serif" w:hAnsi="Times New Roman;serif"/>
          <w:b w:val="false"/>
          <w:color w:val="000000"/>
          <w:sz w:val="24"/>
        </w:rPr>
        <w:t xml:space="preserve">Each Restricted Stock Award Agreement will be in such form and will contain such terms and conditions as the Board deems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w:t>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77520"/>
                <wp:effectExtent l="0" t="0" r="0" b="0"/>
                <wp:wrapNone/>
                <wp:docPr id="15" name="Frame14"/>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(ii) evidenced by a certificate, which certificate will be held in such form and manner as determined by the Board. The terms and conditions of separate Restricted Stock Award Agreements need not be identical; </w:t>
      </w:r>
      <w:r>
        <w:rPr>
          <w:rFonts w:ascii="Times New Roman;serif" w:hAnsi="Times New Roman;serif"/>
          <w:b w:val="false"/>
          <w:i/>
          <w:color w:val="000000"/>
          <w:sz w:val="24"/>
        </w:rPr>
        <w:t>provided, however</w:t>
      </w:r>
      <w:r>
        <w:rPr>
          <w:rFonts w:ascii="Times New Roman;serif" w:hAnsi="Times New Roman;serif"/>
          <w:b w:val="false"/>
          <w:color w:val="000000"/>
          <w:sz w:val="24"/>
        </w:rPr>
        <w:t>, that each Restricted Stock Award Agreement will conform to (through incorporation of the provisions hereof by reference in the applicable Award Agreement or otherwise) the substance of each of the following provisions:</w:t>
      </w:r>
    </w:p>
    <w:p>
      <w:pPr>
        <w:pStyle w:val="TextBody"/>
        <w:bidi w:val="0"/>
        <w:spacing w:lineRule="auto" w:line="288" w:before="0" w:after="240"/>
        <w:ind w:left="0" w:right="0" w:firstLine="1440"/>
        <w:jc w:val="both"/>
        <w:rPr/>
      </w:pPr>
      <w:r>
        <w:rPr>
          <w:rFonts w:ascii="Times New Roman;serif" w:hAnsi="Times New Roman;serif"/>
          <w:b/>
          <w:color w:val="000000"/>
          <w:sz w:val="24"/>
        </w:rPr>
        <w:t>(i)    Consideration.</w:t>
      </w:r>
      <w:r>
        <w:rPr>
          <w:color w:val="000000"/>
        </w:rPr>
        <w:t xml:space="preserve"> </w:t>
      </w:r>
      <w:r>
        <w:rPr>
          <w:rFonts w:ascii="Times New Roman;serif" w:hAnsi="Times New Roman;serif"/>
          <w:b w:val="false"/>
          <w:color w:val="000000"/>
          <w:sz w:val="24"/>
        </w:rPr>
        <w:t>A Restricted Stock Award may be awarded in consideration for (A) cash (including electronic funds transfers), check, bank draft or money order payable to the Company, (B) past services to the Company or an Affiliate or (C) any other form of legal consideration (including future services) that may be acceptable to the Board, in its sole discretion, and permissible under applicable law.</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(ii)    Vesting. </w:t>
      </w:r>
      <w:r>
        <w:rPr>
          <w:rFonts w:ascii="Times New Roman;serif" w:hAnsi="Times New Roman;serif"/>
          <w:b w:val="false"/>
          <w:color w:val="000000"/>
          <w:sz w:val="24"/>
        </w:rPr>
        <w:t>Shares of Common Stock awarded under a Restricted Stock Award Agreement may be subject to forfeiture to or repurchase by the Company in accordance with a vesting schedule to be determined by the Board.</w:t>
      </w:r>
    </w:p>
    <w:p>
      <w:pPr>
        <w:pStyle w:val="TextBody"/>
        <w:bidi w:val="0"/>
        <w:spacing w:lineRule="auto" w:line="288" w:before="0" w:after="240"/>
        <w:ind w:left="0" w:right="0" w:firstLine="1440"/>
        <w:jc w:val="both"/>
        <w:rPr/>
      </w:pPr>
      <w:r>
        <w:rPr>
          <w:rFonts w:ascii="Times New Roman;serif" w:hAnsi="Times New Roman;serif"/>
          <w:b/>
          <w:color w:val="000000"/>
          <w:sz w:val="24"/>
        </w:rPr>
        <w:t>(iii)    Termination of Continuous Service.</w:t>
      </w:r>
      <w:r>
        <w:rPr>
          <w:color w:val="000000"/>
        </w:rPr>
        <w:t xml:space="preserve"> </w:t>
      </w:r>
      <w:r>
        <w:rPr>
          <w:rFonts w:ascii="Times New Roman;serif" w:hAnsi="Times New Roman;serif"/>
          <w:b w:val="false"/>
          <w:color w:val="000000"/>
          <w:sz w:val="24"/>
        </w:rPr>
        <w:t>If a Participant’s Continuous Service terminates, the Company may receive through a forfeiture condition or a repurchase right any or all of the shares of Common Stock held by the Participant that have not vested as of the date of such termination under the terms of the Participant’s Restricted Stock Award Agreement.</w:t>
      </w:r>
    </w:p>
    <w:p>
      <w:pPr>
        <w:pStyle w:val="TextBody"/>
        <w:bidi w:val="0"/>
        <w:spacing w:lineRule="auto" w:line="288" w:before="0" w:after="240"/>
        <w:ind w:left="0" w:right="0" w:firstLine="1440"/>
        <w:jc w:val="both"/>
        <w:rPr/>
      </w:pPr>
      <w:r>
        <w:rPr>
          <w:rFonts w:ascii="Times New Roman;serif" w:hAnsi="Times New Roman;serif"/>
          <w:b/>
          <w:color w:val="000000"/>
          <w:sz w:val="24"/>
        </w:rPr>
        <w:t>(iv)    Transferability.</w:t>
      </w:r>
      <w:r>
        <w:rPr>
          <w:color w:val="000000"/>
        </w:rPr>
        <w:t xml:space="preserve"> </w:t>
      </w:r>
      <w:r>
        <w:rPr>
          <w:rFonts w:ascii="Times New Roman;serif" w:hAnsi="Times New Roman;serif"/>
          <w:b w:val="false"/>
          <w:color w:val="000000"/>
          <w:sz w:val="24"/>
        </w:rPr>
        <w:t>Rights to acquire shares of Common Stock under a Restricted Stock Award Agreement will be 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 Notwithstanding the foregoing or anything in the Plan or a Restricted Stock Award Agreement to the contrary, no Restricted Stock Award may be transferred to any financial institution without prior stockholder approval.</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(b)    Restricted Stock Unit Awards. </w:t>
      </w:r>
      <w:r>
        <w:rPr>
          <w:rFonts w:ascii="Times New Roman;serif" w:hAnsi="Times New Roman;serif"/>
          <w:b w:val="false"/>
          <w:color w:val="000000"/>
          <w:sz w:val="24"/>
        </w:rPr>
        <w:t xml:space="preserve">Each Restricted Stock Unit Award Agreement will be in such form and will contain such terms and conditions as the Board deems appropriate. The terms and conditions of separate Restricted Stock Unit Award Agreements need not be identical; </w:t>
      </w:r>
      <w:r>
        <w:rPr>
          <w:rFonts w:ascii="Times New Roman;serif" w:hAnsi="Times New Roman;serif"/>
          <w:b w:val="false"/>
          <w:i/>
          <w:color w:val="000000"/>
          <w:sz w:val="24"/>
        </w:rPr>
        <w:t>provided, however</w:t>
      </w:r>
      <w:r>
        <w:rPr>
          <w:rFonts w:ascii="Times New Roman;serif" w:hAnsi="Times New Roman;serif"/>
          <w:b w:val="false"/>
          <w:color w:val="000000"/>
          <w:sz w:val="24"/>
        </w:rPr>
        <w:t>, that each Restricted Stock Unit Award Agreement will conform to (through incorporation of the provisions hereof by reference in the applicable Award Agreement or otherwise) the substance of each of the following provisions:</w:t>
      </w:r>
    </w:p>
    <w:p>
      <w:pPr>
        <w:pStyle w:val="TextBody"/>
        <w:bidi w:val="0"/>
        <w:spacing w:lineRule="auto" w:line="288" w:before="0" w:after="240"/>
        <w:ind w:left="0" w:right="0" w:firstLine="1440"/>
        <w:jc w:val="both"/>
        <w:rPr/>
      </w:pPr>
      <w:r>
        <w:rPr>
          <w:rFonts w:ascii="Times New Roman;serif" w:hAnsi="Times New Roman;serif"/>
          <w:b/>
          <w:color w:val="000000"/>
          <w:sz w:val="24"/>
        </w:rPr>
        <w:t>(i)    Consideration.</w:t>
      </w:r>
      <w:r>
        <w:rPr>
          <w:color w:val="000000"/>
        </w:rPr>
        <w:t xml:space="preserve"> </w:t>
      </w:r>
      <w:r>
        <w:rPr>
          <w:rFonts w:ascii="Times New Roman;serif" w:hAnsi="Times New Roman;serif"/>
          <w:b w:val="false"/>
          <w:color w:val="000000"/>
          <w:sz w:val="24"/>
        </w:rPr>
        <w:t>At the time of grant of a Restricted Stock Unit Award, the Board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77520"/>
                <wp:effectExtent l="0" t="0" r="0" b="0"/>
                <wp:wrapNone/>
                <wp:docPr id="16" name="Frame15"/>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(ii)    Vesting. </w:t>
      </w:r>
      <w:r>
        <w:rPr>
          <w:rFonts w:ascii="Times New Roman;serif" w:hAnsi="Times New Roman;serif"/>
          <w:b w:val="false"/>
          <w:color w:val="000000"/>
          <w:sz w:val="24"/>
        </w:rPr>
        <w:t>At the time of the grant of a Restricted Stock Unit Award, the Board may impose such restrictions on or conditions to the vesting of the Restricted Stock Unit Award as it, in its sole discretion, deems appropriate.</w:t>
      </w:r>
    </w:p>
    <w:p>
      <w:pPr>
        <w:pStyle w:val="TextBody"/>
        <w:bidi w:val="0"/>
        <w:spacing w:lineRule="auto" w:line="288" w:before="0" w:after="240"/>
        <w:ind w:left="0" w:right="0" w:firstLine="1440"/>
        <w:jc w:val="both"/>
        <w:rPr/>
      </w:pPr>
      <w:r>
        <w:rPr>
          <w:rFonts w:ascii="Times New Roman;serif" w:hAnsi="Times New Roman;serif"/>
          <w:b/>
          <w:color w:val="000000"/>
          <w:sz w:val="24"/>
        </w:rPr>
        <w:t>(iii)    Payment.</w:t>
      </w:r>
      <w:r>
        <w:rPr>
          <w:color w:val="000000"/>
        </w:rPr>
        <w:t xml:space="preserve"> </w:t>
      </w:r>
      <w:r>
        <w:rPr>
          <w:rFonts w:ascii="Times New Roman;serif" w:hAnsi="Times New Roman;serif"/>
          <w:b w:val="false"/>
          <w:color w:val="000000"/>
          <w:sz w:val="24"/>
        </w:rPr>
        <w:t>A Restricted Stock Unit Award may be settled by the delivery of shares of Common Stock, their cash equivalent, any combination thereof or in any other form of consideration, as determined by the Board and contained in the Restricted Stock Unit Award Agreement.</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(iv)    Additional Restrictions. </w:t>
      </w:r>
      <w:r>
        <w:rPr>
          <w:rFonts w:ascii="Times New Roman;serif" w:hAnsi="Times New Roman;serif"/>
          <w:b w:val="false"/>
          <w:color w:val="000000"/>
          <w:sz w:val="24"/>
        </w:rPr>
        <w:t>At the time of the grant of a Restricted Stock Unit Award, the Board, as it deems appropriate, may impose such restrictions or conditions that delay the delivery of the shares of Common Stock (or their cash equivalent) subject to the Restricted Stock Unit Award to a time after the vesting of the Restricted Stock Unit Award.</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(v)    Termination of Continuous Service. </w:t>
      </w:r>
      <w:r>
        <w:rPr>
          <w:rFonts w:ascii="Times New Roman;serif" w:hAnsi="Times New Roman;serif"/>
          <w:b w:val="false"/>
          <w:color w:val="000000"/>
          <w:sz w:val="24"/>
        </w:rPr>
        <w:t>Except as otherwise provided in the applicable Restricted Stock Unit Award Agreement or other written agreement between a Participant and the Company or an Affiliate, if a Participant’s Continuous Service terminates, any portion of the Participant’s Restricted Stock Unit Award that has not vested as of the date of such termination will be forfeited upon such termination.</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(c)    Performance Stock Awards.</w:t>
      </w:r>
    </w:p>
    <w:p>
      <w:pPr>
        <w:pStyle w:val="TextBody"/>
        <w:bidi w:val="0"/>
        <w:spacing w:lineRule="auto" w:line="288" w:before="0" w:after="240"/>
        <w:ind w:left="0" w:right="0" w:firstLine="1440"/>
        <w:jc w:val="both"/>
        <w:rPr/>
      </w:pPr>
      <w:r>
        <w:rPr>
          <w:rFonts w:ascii="Times New Roman;serif" w:hAnsi="Times New Roman;serif"/>
          <w:b/>
          <w:color w:val="000000"/>
          <w:sz w:val="24"/>
        </w:rPr>
        <w:t>(i)    General.</w:t>
      </w:r>
      <w:r>
        <w:rPr>
          <w:color w:val="000000"/>
        </w:rPr>
        <w:t xml:space="preserve"> </w:t>
      </w:r>
      <w:r>
        <w:rPr>
          <w:rFonts w:ascii="Times New Roman;serif" w:hAnsi="Times New Roman;serif"/>
          <w:b w:val="false"/>
          <w:color w:val="000000"/>
          <w:sz w:val="24"/>
        </w:rPr>
        <w:t>A Performance Stock Award is an Award that is payable (including that may be granted, vest or be exercised) contingent upon the attainment during a Performance Period of specified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in its sole discretion. In addition, to the extent permitted by applicable law and the applicable Award Agreement, the Board may determine that cash may be used in payment of Performance Stock Awards.</w:t>
      </w:r>
    </w:p>
    <w:p>
      <w:pPr>
        <w:pStyle w:val="TextBody"/>
        <w:bidi w:val="0"/>
        <w:spacing w:lineRule="auto" w:line="288" w:before="0" w:after="240"/>
        <w:ind w:left="0" w:right="0" w:firstLine="1440"/>
        <w:jc w:val="both"/>
        <w:rPr/>
      </w:pPr>
      <w:r>
        <w:rPr>
          <w:rFonts w:ascii="Times New Roman;serif" w:hAnsi="Times New Roman;serif"/>
          <w:b/>
          <w:color w:val="000000"/>
          <w:sz w:val="24"/>
        </w:rPr>
        <w:t>(ii)    Board Discretion.</w:t>
      </w:r>
      <w:r>
        <w:rPr>
          <w:color w:val="000000"/>
        </w:rPr>
        <w:t xml:space="preserve"> </w:t>
      </w:r>
      <w:r>
        <w:rPr>
          <w:rFonts w:ascii="Times New Roman;serif" w:hAnsi="Times New Roman;serif"/>
          <w:b w:val="false"/>
          <w:color w:val="000000"/>
          <w:sz w:val="24"/>
        </w:rPr>
        <w:t xml:space="preserve">With respect to any Performance Stock Award, the Board retains the discretion to (A) reduce or eliminate the compensation or economic benefit due upon the attainment of any Performance Goals on the basis of any considerations as the Board, in its sole discretion, may determine and (B) define the manner of calculating the Performance Criteria it selects to use for a Performance Period. </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(d)    Other Stock Awards. </w:t>
      </w:r>
      <w:r>
        <w:rPr>
          <w:rFonts w:ascii="Times New Roman;serif" w:hAnsi="Times New Roman;serif"/>
          <w:b w:val="false"/>
          <w:color w:val="000000"/>
          <w:sz w:val="24"/>
        </w:rPr>
        <w:t>Other forms of Awards valued in whole or in part by reference to, or otherwise based on, Common Stock, including the appreciation in value thereof may be granted either alone or in addition to Awards granted under Section 5 and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77520"/>
                <wp:effectExtent l="0" t="0" r="0" b="0"/>
                <wp:wrapNone/>
                <wp:docPr id="17" name="Frame16"/>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7.    Covenants of the Company.</w:t>
      </w:r>
    </w:p>
    <w:p>
      <w:pPr>
        <w:pStyle w:val="TextBody"/>
        <w:bidi w:val="0"/>
        <w:spacing w:lineRule="auto" w:line="288" w:before="0" w:after="240"/>
        <w:ind w:left="0" w:right="0" w:firstLine="720"/>
        <w:jc w:val="both"/>
        <w:rPr/>
      </w:pPr>
      <w:r>
        <w:rPr>
          <w:rFonts w:ascii="Times New Roman;serif" w:hAnsi="Times New Roman;serif"/>
          <w:b/>
          <w:color w:val="000000"/>
          <w:sz w:val="24"/>
        </w:rPr>
        <w:t>(a)    Availability of Shares.</w:t>
      </w:r>
      <w:r>
        <w:rPr>
          <w:color w:val="000000"/>
        </w:rPr>
        <w:t xml:space="preserve"> </w:t>
      </w:r>
      <w:r>
        <w:rPr>
          <w:rFonts w:ascii="Times New Roman;serif" w:hAnsi="Times New Roman;serif"/>
          <w:b w:val="false"/>
          <w:color w:val="000000"/>
          <w:sz w:val="24"/>
        </w:rPr>
        <w:t>The Company will keep available at all times the number of shares of Common Stock reasonably required to satisfy then-outstanding Awards.</w:t>
      </w:r>
    </w:p>
    <w:p>
      <w:pPr>
        <w:pStyle w:val="TextBody"/>
        <w:bidi w:val="0"/>
        <w:spacing w:lineRule="auto" w:line="288" w:before="0" w:after="240"/>
        <w:ind w:left="0" w:right="0" w:firstLine="720"/>
        <w:jc w:val="both"/>
        <w:rPr/>
      </w:pPr>
      <w:r>
        <w:rPr>
          <w:rFonts w:ascii="Times New Roman;serif" w:hAnsi="Times New Roman;serif"/>
          <w:b/>
          <w:color w:val="000000"/>
          <w:sz w:val="24"/>
        </w:rPr>
        <w:t>(b)    Securities Law Compliance.</w:t>
      </w:r>
      <w:r>
        <w:rPr>
          <w:color w:val="000000"/>
        </w:rPr>
        <w:t xml:space="preserve"> </w:t>
      </w:r>
      <w:r>
        <w:rPr>
          <w:rFonts w:ascii="Times New Roman;serif" w:hAnsi="Times New Roman;serif"/>
          <w:b w:val="false"/>
          <w:color w:val="000000"/>
          <w:sz w:val="24"/>
        </w:rPr>
        <w:t xml:space="preserve">The Company will seek to obtain from each regulatory commission or agency having jurisdiction over the Plan the authority required to grant Awards and to issue and sell shares of Common Stock upon exercise of the Awards; </w:t>
      </w:r>
      <w:r>
        <w:rPr>
          <w:rFonts w:ascii="Times New Roman;serif" w:hAnsi="Times New Roman;serif"/>
          <w:b w:val="false"/>
          <w:i/>
          <w:color w:val="000000"/>
          <w:sz w:val="24"/>
        </w:rPr>
        <w:t>provided, however</w:t>
      </w:r>
      <w:r>
        <w:rPr>
          <w:rFonts w:ascii="Times New Roman;serif" w:hAnsi="Times New Roman;serif"/>
          <w:b w:val="false"/>
          <w:color w:val="000000"/>
          <w:sz w:val="24"/>
        </w:rPr>
        <w:t>,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(c)    No Obligation to Notify or Minimize Taxes. </w:t>
      </w:r>
      <w:r>
        <w:rPr>
          <w:rFonts w:ascii="Times New Roman;serif" w:hAnsi="Times New Roman;serif"/>
          <w:b w:val="false"/>
          <w:color w:val="000000"/>
          <w:sz w:val="24"/>
        </w:rPr>
        <w:t>The Company will have no duty or obligation to any Participant to advise such holder as to the time or manner of exercising an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8.    Miscellaneous.</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(a)    Use of Proceeds from Sales of Common Stock. </w:t>
      </w:r>
      <w:r>
        <w:rPr>
          <w:rFonts w:ascii="Times New Roman;serif" w:hAnsi="Times New Roman;serif"/>
          <w:b w:val="false"/>
          <w:color w:val="000000"/>
          <w:sz w:val="24"/>
        </w:rPr>
        <w:t>Proceeds from the sale of shares of Common Stock issued pursuant to Awards will constitute general funds of the Company.</w:t>
      </w:r>
    </w:p>
    <w:p>
      <w:pPr>
        <w:pStyle w:val="TextBody"/>
        <w:bidi w:val="0"/>
        <w:spacing w:lineRule="auto" w:line="288" w:before="0" w:after="240"/>
        <w:ind w:left="0" w:right="0" w:firstLine="720"/>
        <w:jc w:val="both"/>
        <w:rPr/>
      </w:pPr>
      <w:r>
        <w:rPr>
          <w:rFonts w:ascii="Times New Roman;serif" w:hAnsi="Times New Roman;serif"/>
          <w:b/>
          <w:color w:val="000000"/>
          <w:sz w:val="24"/>
        </w:rPr>
        <w:t>(b)    Corporate Action Constituting Grant of Awards.</w:t>
      </w:r>
      <w:r>
        <w:rPr>
          <w:color w:val="000000"/>
        </w:rPr>
        <w:t xml:space="preserve"> </w:t>
      </w:r>
      <w:r>
        <w:rPr>
          <w:rFonts w:ascii="Times New Roman;serif" w:hAnsi="Times New Roman;serif"/>
          <w:b w:val="false"/>
          <w:color w:val="000000"/>
          <w:sz w:val="24"/>
        </w:rPr>
        <w:t>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w:t>
      </w:r>
      <w:r>
        <w:rPr>
          <w:rFonts w:ascii="Times New Roman;serif" w:hAnsi="Times New Roman;serif"/>
          <w:b w:val="false"/>
          <w:i/>
          <w:color w:val="000000"/>
          <w:sz w:val="24"/>
        </w:rPr>
        <w:t>e.g</w:t>
      </w:r>
      <w:r>
        <w:rPr>
          <w:rFonts w:ascii="Times New Roman;serif" w:hAnsi="Times New Roman;serif"/>
          <w:b w:val="false"/>
          <w:color w:val="000000"/>
          <w:sz w:val="24"/>
        </w:rPr>
        <w:t>., Board consents, resolutions or minutes) documenting the corporate action constituting the grant contain terms (</w:t>
      </w:r>
      <w:r>
        <w:rPr>
          <w:rFonts w:ascii="Times New Roman;serif" w:hAnsi="Times New Roman;serif"/>
          <w:b w:val="false"/>
          <w:i/>
          <w:color w:val="000000"/>
          <w:sz w:val="24"/>
        </w:rPr>
        <w:t>e.g</w:t>
      </w:r>
      <w:r>
        <w:rPr>
          <w:rFonts w:ascii="Times New Roman;serif" w:hAnsi="Times New Roman;serif"/>
          <w:b w:val="false"/>
          <w:color w:val="000000"/>
          <w:sz w:val="24"/>
        </w:rPr>
        <w:t xml:space="preserve">.,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 </w:t>
      </w:r>
    </w:p>
    <w:p>
      <w:pPr>
        <w:pStyle w:val="TextBody"/>
        <w:bidi w:val="0"/>
        <w:spacing w:lineRule="auto" w:line="288" w:before="0" w:after="240"/>
        <w:ind w:left="0" w:right="0" w:firstLine="720"/>
        <w:jc w:val="both"/>
        <w:rPr/>
      </w:pPr>
      <w:r>
        <w:rPr>
          <w:rFonts w:ascii="Times New Roman;serif" w:hAnsi="Times New Roman;serif"/>
          <w:b/>
          <w:color w:val="000000"/>
          <w:sz w:val="24"/>
        </w:rPr>
        <w:t>(c)    Stockholder Rights.</w:t>
      </w:r>
      <w:r>
        <w:rPr>
          <w:color w:val="000000"/>
        </w:rPr>
        <w:t xml:space="preserve"> </w:t>
      </w:r>
      <w:r>
        <w:rPr>
          <w:rFonts w:ascii="Times New Roman;serif" w:hAnsi="Times New Roman;serif"/>
          <w:b w:val="false"/>
          <w:color w:val="000000"/>
          <w:sz w:val="24"/>
        </w:rPr>
        <w:t xml:space="preserve">No Participant will be deemed to be the holder of, or to have any of the rights of a holder with respect to, any shares of Common Stock subject to an Award unless and until (i) such Participant has satisfied all requirements for exercise of, or the </w:t>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77520"/>
                <wp:effectExtent l="0" t="0" r="0" b="0"/>
                <wp:wrapNone/>
                <wp:docPr id="18" name="Frame17"/>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issuance of shares of Common Stock under, the Award pursuant to its terms, and (ii) the issuance of the Common Stock subject to such Award has been entered into the books and records of the Company.</w:t>
      </w:r>
    </w:p>
    <w:p>
      <w:pPr>
        <w:pStyle w:val="TextBody"/>
        <w:bidi w:val="0"/>
        <w:spacing w:lineRule="auto" w:line="288" w:before="0" w:after="240"/>
        <w:ind w:left="0" w:right="0" w:firstLine="720"/>
        <w:jc w:val="both"/>
        <w:rPr/>
      </w:pPr>
      <w:r>
        <w:rPr>
          <w:rFonts w:ascii="Times New Roman;serif" w:hAnsi="Times New Roman;serif"/>
          <w:b/>
          <w:color w:val="000000"/>
          <w:sz w:val="24"/>
        </w:rPr>
        <w:t>(d)    No Employment or Other Service Rights.</w:t>
      </w:r>
      <w:r>
        <w:rPr>
          <w:color w:val="000000"/>
        </w:rPr>
        <w:t xml:space="preserve"> </w:t>
      </w:r>
      <w:r>
        <w:rPr>
          <w:rFonts w:ascii="Times New Roman;serif" w:hAnsi="Times New Roman;serif"/>
          <w:b w:val="false"/>
          <w:color w:val="000000"/>
          <w:sz w:val="24"/>
        </w:rPr>
        <w:t>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Director pursuant to the bylaws of the Company or an Affiliate, or (iii) the service of a Consultant pursuant to the terms of such Consultant’s agreement with the Company or an Affiliate, and any applicable provisions of the corporate law of the state in which the Company or the Affiliate is incorporated, as the case may be.</w:t>
      </w:r>
    </w:p>
    <w:p>
      <w:pPr>
        <w:pStyle w:val="TextBody"/>
        <w:bidi w:val="0"/>
        <w:spacing w:lineRule="auto" w:line="288" w:before="0" w:after="240"/>
        <w:ind w:left="0" w:right="0" w:firstLine="720"/>
        <w:jc w:val="both"/>
        <w:rPr/>
      </w:pPr>
      <w:r>
        <w:rPr>
          <w:rFonts w:ascii="Times New Roman;serif" w:hAnsi="Times New Roman;serif"/>
          <w:b/>
          <w:color w:val="000000"/>
          <w:sz w:val="24"/>
        </w:rPr>
        <w:t>(e)    Change in Time Commitment.</w:t>
      </w:r>
      <w:r>
        <w:rPr>
          <w:color w:val="000000"/>
        </w:rPr>
        <w:t xml:space="preserve"> </w:t>
      </w:r>
      <w:r>
        <w:rPr>
          <w:rFonts w:ascii="Times New Roman;serif" w:hAnsi="Times New Roman;serif"/>
          <w:b w:val="false"/>
          <w:color w:val="000000"/>
          <w:sz w:val="24"/>
        </w:rPr>
        <w:t>In the event a Participant’s regular level of time commitment in the performance of his or her services for the Company or any Affiliate is reduced (for example, and without limitation, if the Participant is an Employee and has a change in status from a full-time Employee to a part-time Employee or takes an extended leave of absence) after the date of grant of any Award to the Participant, the Board has the right in its sole discretion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lineRule="auto" w:line="288" w:before="0" w:after="240"/>
        <w:ind w:left="0" w:right="0" w:firstLine="720"/>
        <w:jc w:val="both"/>
        <w:rPr/>
      </w:pPr>
      <w:r>
        <w:rPr>
          <w:rFonts w:ascii="Times New Roman;serif" w:hAnsi="Times New Roman;serif"/>
          <w:b/>
          <w:color w:val="000000"/>
          <w:sz w:val="24"/>
        </w:rPr>
        <w:t>(f)    Incentive Stock Option Limitation.</w:t>
      </w:r>
      <w:r>
        <w:rPr>
          <w:color w:val="000000"/>
        </w:rPr>
        <w:t xml:space="preserve"> </w:t>
      </w:r>
      <w:r>
        <w:rPr>
          <w:rFonts w:ascii="Times New Roman;serif" w:hAnsi="Times New Roman;serif"/>
          <w:b w:val="false"/>
          <w:color w:val="000000"/>
          <w:sz w:val="24"/>
        </w:rPr>
        <w:t>To the extent that the aggregate Fair Market Value (determined at the time of grant) of Common Stock with respect to which Incentive Stock Options are exercisable for the first time by any Participant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pStyle w:val="TextBody"/>
        <w:bidi w:val="0"/>
        <w:spacing w:lineRule="auto" w:line="288" w:before="0" w:after="240"/>
        <w:ind w:left="0" w:right="0" w:firstLine="720"/>
        <w:jc w:val="both"/>
        <w:rPr/>
      </w:pPr>
      <w:r>
        <w:rPr>
          <w:rFonts w:ascii="Times New Roman;serif" w:hAnsi="Times New Roman;serif"/>
          <w:b/>
          <w:color w:val="000000"/>
          <w:sz w:val="24"/>
        </w:rPr>
        <w:t>(g)    Investment Assurances.</w:t>
      </w:r>
      <w:r>
        <w:rPr>
          <w:color w:val="000000"/>
        </w:rPr>
        <w:t xml:space="preserve"> </w:t>
      </w:r>
      <w:r>
        <w:rPr>
          <w:rFonts w:ascii="Times New Roman;serif" w:hAnsi="Times New Roman;serif"/>
          <w:b w:val="false"/>
          <w:color w:val="000000"/>
          <w:sz w:val="24"/>
        </w:rPr>
        <w:t xml:space="preserve">The Company may require a Participant, as a condition of exercising or acquiring Common Stock 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w:t>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77520"/>
                <wp:effectExtent l="0" t="0" r="0" b="0"/>
                <wp:wrapNone/>
                <wp:docPr id="19" name="Frame18"/>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pStyle w:val="TextBody"/>
        <w:bidi w:val="0"/>
        <w:spacing w:lineRule="auto" w:line="288" w:before="0" w:after="240"/>
        <w:ind w:left="0" w:right="0" w:firstLine="720"/>
        <w:jc w:val="both"/>
        <w:rPr/>
      </w:pPr>
      <w:r>
        <w:rPr>
          <w:rFonts w:ascii="Times New Roman;serif" w:hAnsi="Times New Roman;serif"/>
          <w:b/>
          <w:color w:val="000000"/>
          <w:sz w:val="24"/>
        </w:rPr>
        <w:t>(h)    Withholding Obligations.</w:t>
      </w:r>
      <w:r>
        <w:rPr>
          <w:color w:val="000000"/>
        </w:rPr>
        <w:t xml:space="preserve"> </w:t>
      </w:r>
      <w:r>
        <w:rPr>
          <w:rFonts w:ascii="Times New Roman;serif" w:hAnsi="Times New Roman;serif"/>
          <w:b w:val="false"/>
          <w:color w:val="000000"/>
          <w:sz w:val="24"/>
        </w:rPr>
        <w:t>Unless prohibited by the terms of an Award Agreement, the Company may, in its sole discretion, satisfy any federal, state, local or foreign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or (v) by such other method as may be set forth in the Award Agreement.</w:t>
      </w:r>
    </w:p>
    <w:p>
      <w:pPr>
        <w:pStyle w:val="TextBody"/>
        <w:bidi w:val="0"/>
        <w:spacing w:lineRule="auto" w:line="288" w:before="0" w:after="240"/>
        <w:ind w:left="0" w:right="0" w:firstLine="720"/>
        <w:jc w:val="both"/>
        <w:rPr/>
      </w:pPr>
      <w:r>
        <w:rPr>
          <w:rFonts w:ascii="Times New Roman;serif" w:hAnsi="Times New Roman;serif"/>
          <w:b/>
          <w:color w:val="000000"/>
          <w:sz w:val="24"/>
        </w:rPr>
        <w:t>(i)    Electronic Delivery.</w:t>
      </w:r>
      <w:r>
        <w:rPr>
          <w:color w:val="000000"/>
        </w:rPr>
        <w:t xml:space="preserve"> </w:t>
      </w:r>
      <w:r>
        <w:rPr>
          <w:rFonts w:ascii="Times New Roman;serif" w:hAnsi="Times New Roman;serif"/>
          <w:b w:val="false"/>
          <w:color w:val="000000"/>
          <w:sz w:val="24"/>
        </w:rPr>
        <w:t>Any reference herein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w:t>
      </w:r>
    </w:p>
    <w:p>
      <w:pPr>
        <w:pStyle w:val="TextBody"/>
        <w:bidi w:val="0"/>
        <w:spacing w:lineRule="auto" w:line="288" w:before="0" w:after="240"/>
        <w:ind w:left="0" w:right="0" w:firstLine="720"/>
        <w:jc w:val="both"/>
        <w:rPr/>
      </w:pPr>
      <w:r>
        <w:rPr>
          <w:rFonts w:ascii="Times New Roman;serif" w:hAnsi="Times New Roman;serif"/>
          <w:b/>
          <w:color w:val="000000"/>
          <w:sz w:val="24"/>
        </w:rPr>
        <w:t>(j)    Deferrals.</w:t>
      </w:r>
      <w:r>
        <w:rPr>
          <w:color w:val="000000"/>
        </w:rPr>
        <w:t xml:space="preserve"> </w:t>
      </w:r>
      <w:r>
        <w:rPr>
          <w:rFonts w:ascii="Times New Roman;serif" w:hAnsi="Times New Roman;serif"/>
          <w:b w:val="false"/>
          <w:color w:val="000000"/>
          <w:sz w:val="24"/>
        </w:rPr>
        <w:t>To the extent permitted by applicable law, the Board, in its sole discretion, may determine that the delivery of 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or an Affiliate.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(k)    Section 409A. </w:t>
      </w:r>
      <w:r>
        <w:rPr>
          <w:rFonts w:ascii="Times New Roman;serif" w:hAnsi="Times New Roman;serif"/>
          <w:b w:val="false"/>
          <w:color w:val="000000"/>
          <w:sz w:val="24"/>
        </w:rPr>
        <w:t xml:space="preserve">Unless otherwise expressly provided for in an Award Agreement, the Plan and Award 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with Section 409A of the Code, such terms are hereby incorporated by reference into the Award </w:t>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77520"/>
                <wp:effectExtent l="0" t="0" r="0" b="0"/>
                <wp:wrapNone/>
                <wp:docPr id="20" name="Frame19"/>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under such Award that is due because of a “separation from service” (as defined in Section 409A of the Code without regard to alternative definitions thereunder) will be issued or paid before the date that is six months and one day following the date of such Participant’s “separation from service” or, if earlier, the date of the Participant’s death, unless such distribution or payment may be made in a manner that complies with Section 409A of the Code, and any amounts so deferred will be paid in a lump sum on the day after such six-month period elapses, with the balance paid thereafter on the original schedule.</w:t>
      </w:r>
    </w:p>
    <w:p>
      <w:pPr>
        <w:pStyle w:val="TextBody"/>
        <w:bidi w:val="0"/>
        <w:spacing w:lineRule="auto" w:line="288" w:before="0" w:after="240"/>
        <w:ind w:left="0" w:right="0" w:firstLine="720"/>
        <w:jc w:val="both"/>
        <w:rPr/>
      </w:pPr>
      <w:r>
        <w:rPr>
          <w:rFonts w:ascii="Times New Roman;serif" w:hAnsi="Times New Roman;serif"/>
          <w:b/>
          <w:color w:val="000000"/>
          <w:sz w:val="24"/>
        </w:rPr>
        <w:t>(l)    Clawback/Recovery.</w:t>
      </w:r>
      <w:r>
        <w:rPr>
          <w:color w:val="000000"/>
        </w:rPr>
        <w:t xml:space="preserve"> </w:t>
      </w:r>
      <w:r>
        <w:rPr>
          <w:rFonts w:ascii="Times New Roman;serif" w:hAnsi="Times New Roman;serif"/>
          <w:b w:val="false"/>
          <w:color w:val="000000"/>
          <w:sz w:val="24"/>
        </w:rPr>
        <w:t>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other clawback policy that the Company adopts.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right to resign for “good reason” or “constructive termination” (or similar term) under any agreement with the Company or an Affiliate.</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9.    Adjustments upon Changes in Common Stock; Other Corporate Events.</w:t>
      </w:r>
    </w:p>
    <w:p>
      <w:pPr>
        <w:pStyle w:val="TextBody"/>
        <w:bidi w:val="0"/>
        <w:spacing w:lineRule="auto" w:line="288" w:before="0" w:after="240"/>
        <w:ind w:left="0" w:right="0" w:firstLine="720"/>
        <w:jc w:val="both"/>
        <w:rPr/>
      </w:pPr>
      <w:r>
        <w:rPr>
          <w:rFonts w:ascii="Times New Roman;serif" w:hAnsi="Times New Roman;serif"/>
          <w:b/>
          <w:color w:val="000000"/>
          <w:sz w:val="24"/>
        </w:rPr>
        <w:t>(a)    Capitalization Adjustments.</w:t>
      </w:r>
      <w:r>
        <w:rPr>
          <w:color w:val="000000"/>
        </w:rPr>
        <w:t xml:space="preserve"> </w:t>
      </w:r>
      <w:r>
        <w:rPr>
          <w:rFonts w:ascii="Times New Roman;serif" w:hAnsi="Times New Roman;serif"/>
          <w:b w:val="false"/>
          <w:color w:val="000000"/>
          <w:sz w:val="24"/>
        </w:rPr>
        <w:t>In the event of a Capitalization Adjustment, the Board will appropriately and proportionately adjust: (i) the 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Awards. The Board will make such adjustments and its determination will be final, binding and conclusive.</w:t>
      </w:r>
    </w:p>
    <w:p>
      <w:pPr>
        <w:pStyle w:val="TextBody"/>
        <w:bidi w:val="0"/>
        <w:spacing w:lineRule="auto" w:line="288" w:before="0" w:after="240"/>
        <w:ind w:left="0" w:right="0" w:firstLine="720"/>
        <w:jc w:val="both"/>
        <w:rPr/>
      </w:pPr>
      <w:r>
        <w:rPr>
          <w:rFonts w:ascii="Times New Roman;serif" w:hAnsi="Times New Roman;serif"/>
          <w:b/>
          <w:color w:val="000000"/>
          <w:sz w:val="24"/>
        </w:rPr>
        <w:t>(b)    Dissolution or Liquidation.</w:t>
      </w:r>
      <w:r>
        <w:rPr>
          <w:color w:val="000000"/>
        </w:rPr>
        <w:t xml:space="preserve"> </w:t>
      </w:r>
      <w:r>
        <w:rPr>
          <w:rFonts w:ascii="Times New Roman;serif" w:hAnsi="Times New Roman;serif"/>
          <w:b w:val="false"/>
          <w:color w:val="000000"/>
          <w:sz w:val="24"/>
        </w:rPr>
        <w:t xml:space="preserve">Except as otherwise provided in the applicable Award Agreement or other written agreement between a Participant and the Company or an Affiliate, in the event of a dissolution or liquidation of the Company, all outstanding Awards (other than Awards consisting of vested and outstanding shares of Common Stock not subject to the Company’s right of repurchase or a forfeiture condition) will terminate immediately prior to the completion of such dissolution or liquidation, and the shares of Common Stock subject to the Company’s right of repurchase or a forfeiture condition may be repurchased or reacquired by the Company notwithstanding the fact that the holder of such Award is providing Continuous Service;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the Board may, in its sole discretion, cause some or all Awards to become fully vested, exercisable and/or no longer subject to repurchase or forfeiture (to the </w:t>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77520"/>
                <wp:effectExtent l="0" t="0" r="0" b="0"/>
                <wp:wrapNone/>
                <wp:docPr id="21" name="Frame20"/>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extent such Awards have not previously expired or terminated) before the dissolution or liquidation is completed but contingent on its completion.</w:t>
      </w:r>
    </w:p>
    <w:p>
      <w:pPr>
        <w:pStyle w:val="TextBody"/>
        <w:bidi w:val="0"/>
        <w:spacing w:lineRule="auto" w:line="288" w:before="0" w:after="240"/>
        <w:ind w:left="0" w:right="0" w:firstLine="720"/>
        <w:jc w:val="both"/>
        <w:rPr/>
      </w:pPr>
      <w:r>
        <w:rPr>
          <w:rFonts w:ascii="Times New Roman;serif" w:hAnsi="Times New Roman;serif"/>
          <w:b/>
          <w:color w:val="000000"/>
          <w:sz w:val="24"/>
        </w:rPr>
        <w:t>(c)    Corporate Transaction.</w:t>
      </w:r>
      <w:r>
        <w:rPr>
          <w:color w:val="000000"/>
        </w:rPr>
        <w:t xml:space="preserve"> </w:t>
      </w:r>
      <w:r>
        <w:rPr>
          <w:rFonts w:ascii="Times New Roman;serif" w:hAnsi="Times New Roman;serif"/>
          <w:b w:val="false"/>
          <w:color w:val="000000"/>
          <w:sz w:val="24"/>
        </w:rPr>
        <w:t>The provisions of this Section 9(c) will apply to each outstanding Award in the event of a Corporate Transaction unless otherwise provided in the instrument evidencing the Award, in any other written agreement between a Participant and the Company or an Affiliate, or in any director compensation policy of the Company, or unless otherwise expressly provided by the Board at the time of grant of an Award. In the event of a Corporate Transaction, then, notwithstanding any other provision of the Plan, the Board will take one or more of the following actions with respect to outstanding Awards, contingent upon the closing or completion of such Corporate Transaction:</w:t>
      </w:r>
    </w:p>
    <w:p>
      <w:pPr>
        <w:pStyle w:val="TextBody"/>
        <w:bidi w:val="0"/>
        <w:spacing w:lineRule="auto" w:line="288" w:before="0" w:after="240"/>
        <w:ind w:left="0" w:right="0" w:firstLine="1440"/>
        <w:jc w:val="both"/>
        <w:rPr/>
      </w:pPr>
      <w:r>
        <w:rPr>
          <w:rFonts w:ascii="Times New Roman;serif" w:hAnsi="Times New Roman;serif"/>
          <w:b/>
          <w:color w:val="000000"/>
          <w:sz w:val="24"/>
        </w:rPr>
        <w:t>(i)    </w:t>
      </w:r>
      <w:r>
        <w:rPr>
          <w:rFonts w:ascii="Times New Roman;serif" w:hAnsi="Times New Roman;serif"/>
          <w:b w:val="false"/>
          <w:color w:val="000000"/>
          <w:sz w:val="24"/>
        </w:rPr>
        <w:t>arrange for the surviving corporation or acquiring corporation (or the surviving or acquiring corporation’s parent company) to assume or continue the Award or to substitute a similar stock award for the Award (including, but not limited to, an award to acquire the same consideration paid to the stockholders of the Company pursuant to such Corporate Transaction);</w:t>
      </w:r>
    </w:p>
    <w:p>
      <w:pPr>
        <w:pStyle w:val="TextBody"/>
        <w:bidi w:val="0"/>
        <w:spacing w:lineRule="auto" w:line="288" w:before="0" w:after="240"/>
        <w:ind w:left="0" w:right="0" w:firstLine="1440"/>
        <w:jc w:val="both"/>
        <w:rPr/>
      </w:pPr>
      <w:r>
        <w:rPr>
          <w:rFonts w:ascii="Times New Roman;serif" w:hAnsi="Times New Roman;serif"/>
          <w:b/>
          <w:color w:val="000000"/>
          <w:sz w:val="24"/>
        </w:rPr>
        <w:t>(ii)    </w:t>
      </w:r>
      <w:r>
        <w:rPr>
          <w:rFonts w:ascii="Times New Roman;serif" w:hAnsi="Times New Roman;serif"/>
          <w:b w:val="false"/>
          <w:color w:val="000000"/>
          <w:sz w:val="24"/>
        </w:rPr>
        <w:t>arrange for the assignment of any reacquisition or repurchase rights held by the Company in respect of Common Stock issued pursuant to the Award to the surviving corporation or acquiring corporation (or the surviving or acquiring corporation’s parent company);</w:t>
      </w:r>
    </w:p>
    <w:p>
      <w:pPr>
        <w:pStyle w:val="TextBody"/>
        <w:bidi w:val="0"/>
        <w:spacing w:lineRule="auto" w:line="288" w:before="0" w:after="240"/>
        <w:ind w:left="0" w:right="0" w:firstLine="1440"/>
        <w:jc w:val="both"/>
        <w:rPr/>
      </w:pPr>
      <w:r>
        <w:rPr>
          <w:rFonts w:ascii="Times New Roman;serif" w:hAnsi="Times New Roman;serif"/>
          <w:b/>
          <w:color w:val="000000"/>
          <w:sz w:val="24"/>
        </w:rPr>
        <w:t>(iii)    </w:t>
      </w:r>
      <w:r>
        <w:rPr>
          <w:rFonts w:ascii="Times New Roman;serif" w:hAnsi="Times New Roman;serif"/>
          <w:b w:val="false"/>
          <w:color w:val="000000"/>
          <w:sz w:val="24"/>
        </w:rPr>
        <w:t>accelerate the vesting (and exercisability, if applicable), in whole or in part, of the Award to a date prior to the effective time of such Corporate Transaction as the Board will determine (or, if the Board does not determine such a date, to the date that is five days prior to the effective time of such Corporate Transaction), with such Award terminating if not exercised (if applicable) prior to the effective time of such Corporate Transaction in accordance with the exercise procedures determined by the Board;</w:t>
      </w:r>
    </w:p>
    <w:p>
      <w:pPr>
        <w:pStyle w:val="TextBody"/>
        <w:bidi w:val="0"/>
        <w:spacing w:lineRule="auto" w:line="288" w:before="0" w:after="240"/>
        <w:ind w:left="0" w:right="0" w:firstLine="1440"/>
        <w:jc w:val="both"/>
        <w:rPr/>
      </w:pPr>
      <w:r>
        <w:rPr>
          <w:rFonts w:ascii="Times New Roman;serif" w:hAnsi="Times New Roman;serif"/>
          <w:b/>
          <w:color w:val="000000"/>
          <w:sz w:val="24"/>
        </w:rPr>
        <w:t>(iv)    </w:t>
      </w:r>
      <w:r>
        <w:rPr>
          <w:rFonts w:ascii="Times New Roman;serif" w:hAnsi="Times New Roman;serif"/>
          <w:b w:val="false"/>
          <w:color w:val="000000"/>
          <w:sz w:val="24"/>
        </w:rPr>
        <w:t>arrange for the lapse of any reacquisition or repurchase rights held by the Company with respect to the Award;</w:t>
      </w:r>
    </w:p>
    <w:p>
      <w:pPr>
        <w:pStyle w:val="TextBody"/>
        <w:bidi w:val="0"/>
        <w:spacing w:lineRule="auto" w:line="288" w:before="0" w:after="240"/>
        <w:ind w:left="0" w:right="0" w:firstLine="1440"/>
        <w:jc w:val="both"/>
        <w:rPr/>
      </w:pPr>
      <w:r>
        <w:rPr>
          <w:rFonts w:ascii="Times New Roman;serif" w:hAnsi="Times New Roman;serif"/>
          <w:b/>
          <w:color w:val="000000"/>
          <w:sz w:val="24"/>
        </w:rPr>
        <w:t>(v)    </w:t>
      </w:r>
      <w:r>
        <w:rPr>
          <w:rFonts w:ascii="Times New Roman;serif" w:hAnsi="Times New Roman;serif"/>
          <w:b w:val="false"/>
          <w:color w:val="000000"/>
          <w:sz w:val="24"/>
        </w:rPr>
        <w:t>cancel or arrange for the cancellation of the Award, to the extent not vested or not exercised prior to the effective time of such Corporate Transaction, in exchange for such cash consideration, if any, as the Board, in its sole discretion, may consider appropriate; or</w:t>
      </w:r>
    </w:p>
    <w:p>
      <w:pPr>
        <w:pStyle w:val="TextBody"/>
        <w:bidi w:val="0"/>
        <w:spacing w:lineRule="auto" w:line="288" w:before="0" w:after="240"/>
        <w:ind w:left="0" w:right="0" w:firstLine="1440"/>
        <w:jc w:val="both"/>
        <w:rPr/>
      </w:pPr>
      <w:r>
        <w:rPr>
          <w:rFonts w:ascii="Times New Roman;serif" w:hAnsi="Times New Roman;serif"/>
          <w:b/>
          <w:color w:val="000000"/>
          <w:sz w:val="24"/>
        </w:rPr>
        <w:t>(vi)    </w:t>
      </w:r>
      <w:r>
        <w:rPr>
          <w:rFonts w:ascii="Times New Roman;serif" w:hAnsi="Times New Roman;serif"/>
          <w:b w:val="false"/>
          <w:color w:val="000000"/>
          <w:sz w:val="24"/>
        </w:rPr>
        <w:t>make a payment, in such form as may be determined by the Board, equal to the excess, if any, of (A) the value of the property the Participant would have received upon the exercise of the Award immediately prior to the effective time of such Corporate Transaction, over (B) any exercise price payable by the Participant in connection with such exercise. For clarity, such payment may be zero if the value of such property is equal to or less than the exercise price. Payments under this Section 9(c)(vi) may be delayed to the same extent that payment of consideration to the holders of the Common Stock in connection with such Corporate Transaction is delayed as a result of escrows, earn outs, holdbacks or any other contingencies.</w:t>
      </w: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77520"/>
                <wp:effectExtent l="0" t="0" r="0" b="0"/>
                <wp:wrapNone/>
                <wp:docPr id="22" name="Frame21"/>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clarity, in the event of a Corporate Transaction, the Board need not take the same action or actions with respect to all Awards or portions thereof or with respect to all Participants.</w:t>
      </w:r>
    </w:p>
    <w:p>
      <w:pPr>
        <w:pStyle w:val="TextBody"/>
        <w:bidi w:val="0"/>
        <w:spacing w:lineRule="auto" w:line="288" w:before="0" w:after="240"/>
        <w:ind w:left="0" w:right="0" w:firstLine="720"/>
        <w:jc w:val="both"/>
        <w:rPr/>
      </w:pPr>
      <w:r>
        <w:rPr>
          <w:rFonts w:ascii="Times New Roman;serif" w:hAnsi="Times New Roman;serif"/>
          <w:b/>
          <w:color w:val="000000"/>
          <w:sz w:val="24"/>
        </w:rPr>
        <w:t>(d)    Change in Control.</w:t>
      </w:r>
      <w:r>
        <w:rPr>
          <w:color w:val="000000"/>
        </w:rPr>
        <w:t xml:space="preserve"> </w:t>
      </w:r>
      <w:r>
        <w:rPr>
          <w:rFonts w:ascii="Times New Roman;serif" w:hAnsi="Times New Roman;serif"/>
          <w:b w:val="false"/>
          <w:color w:val="000000"/>
          <w:sz w:val="24"/>
        </w:rPr>
        <w:t>An Award may be subject to additional acceleration of vesting and exercisability upon or after a Change in Control as may be provided in the Award Agreement for such Award, in any other written agreement or plan between the Company or any Affiliate and the Participant, or in any director compensation policy of the Company, but in the absence of such provision, no such acceleration will occur.</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(e)    Parachute Payments. </w:t>
      </w:r>
      <w:r>
        <w:rPr>
          <w:rFonts w:ascii="Times New Roman;serif" w:hAnsi="Times New Roman;serif"/>
          <w:b w:val="false"/>
          <w:color w:val="000000"/>
          <w:sz w:val="24"/>
        </w:rPr>
        <w:t>Except as otherwise provided in the applicable Award Agreement or other written agreement between a Participant and the Company or an Affiliate, if any payment or benefit the Participant would receive pursuant to a Change in Control from the Company or otherwise (“</w:t>
      </w:r>
      <w:r>
        <w:rPr>
          <w:rFonts w:ascii="Times New Roman;serif" w:hAnsi="Times New Roman;serif"/>
          <w:b/>
          <w:i/>
          <w:color w:val="000000"/>
          <w:sz w:val="24"/>
        </w:rPr>
        <w:t>Payment</w:t>
      </w:r>
      <w:r>
        <w:rPr>
          <w:color w:val="000000"/>
        </w:rPr>
        <w:t>”</w:t>
      </w:r>
      <w:r>
        <w:rPr>
          <w:rFonts w:ascii="Times New Roman;serif" w:hAnsi="Times New Roman;serif"/>
          <w:b w:val="false"/>
          <w:color w:val="000000"/>
          <w:sz w:val="24"/>
        </w:rPr>
        <w:t>) would (i) constitute a “parachute payment” within the meaning of Section 280G of the Code, and (ii) but for this sentence, be subject to the excise tax imposed by Section 4999 of the Code (the “</w:t>
      </w:r>
      <w:r>
        <w:rPr>
          <w:rFonts w:ascii="Times New Roman;serif" w:hAnsi="Times New Roman;serif"/>
          <w:b/>
          <w:i/>
          <w:color w:val="000000"/>
          <w:sz w:val="24"/>
        </w:rPr>
        <w:t>Excise Tax</w:t>
      </w:r>
      <w:r>
        <w:rPr>
          <w:color w:val="000000"/>
        </w:rPr>
        <w:t>”</w:t>
      </w:r>
      <w:r>
        <w:rPr>
          <w:rFonts w:ascii="Times New Roman;serif" w:hAnsi="Times New Roman;serif"/>
          <w:b w:val="false"/>
          <w:color w:val="000000"/>
          <w:sz w:val="24"/>
        </w:rPr>
        <w:t>), then such Payment will be equal to the Reduced Amount. The “</w:t>
      </w:r>
      <w:r>
        <w:rPr>
          <w:rFonts w:ascii="Times New Roman;serif" w:hAnsi="Times New Roman;serif"/>
          <w:b/>
          <w:i/>
          <w:color w:val="000000"/>
          <w:sz w:val="24"/>
        </w:rPr>
        <w:t>Reduced Amount</w:t>
      </w:r>
      <w:r>
        <w:rPr>
          <w:color w:val="000000"/>
        </w:rPr>
        <w:t xml:space="preserve">” </w:t>
      </w:r>
      <w:r>
        <w:rPr>
          <w:rFonts w:ascii="Times New Roman;serif" w:hAnsi="Times New Roman;serif"/>
          <w:b w:val="false"/>
          <w:color w:val="000000"/>
          <w:sz w:val="24"/>
        </w:rPr>
        <w:t>will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the Participant’s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will occur in the following order: (A) reduction of cash payments; (B) cancellation of accelerated vesting of equity awards other than stock options; (C) cancellation of accelerated vesting of stock options; and (D) reduction of other benefits paid to the Participant. Within any such category of payments and benefits (that is, (A), (B), (C) or (D)), a reduction will occur first with respect to amounts that are not “deferred compensation” within the meaning of Section 409A of the Code and then with respect to amounts that are. In the event that acceleration of compensation from a Participant’s equity awards is to be reduced, such acceleration of vesting will be canceled, subject to the immediately preceding sentence, in the reverse order of the date of grant. The accounting firm engaged by the Company for general audit purposes as of the day prior to the effective date of the Change in Control will perform the foregoing calculations. If the accounting firm so engaged by the Company is serving as accountant or auditor for the individual, entity or group effecting the Change in Control, the Company will appoint a nationally recognized accounting firm to make the determinations required hereunder. The Company will bear all expenses with respect to the determinations by such accounting firm required to be made hereunder. The accounting firm engaged to make the determinations hereunder will provide its calculations, together with detailed supporting documentation, to the Participant and the Company within 15 calendar days after the date on which the Participant’s right to a Payment is triggered (if requested at that time by the Participant or the Company) or such other time as reasonably requested by the Participant or the Company. Any good faith determinations of the accounting firm made hereunder will be final, binding and conclusive upon the Participant and the Company.</w:t>
      </w: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77520"/>
                <wp:effectExtent l="0" t="0" r="0" b="0"/>
                <wp:wrapNone/>
                <wp:docPr id="23" name="Frame22"/>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10.    Termination or Suspension of the Plan.</w:t>
      </w:r>
    </w:p>
    <w:p>
      <w:pPr>
        <w:pStyle w:val="TextBody"/>
        <w:bidi w:val="0"/>
        <w:spacing w:lineRule="auto" w:line="288" w:before="0" w:after="240"/>
        <w:ind w:left="0" w:right="0" w:firstLine="720"/>
        <w:jc w:val="both"/>
        <w:rPr/>
      </w:pPr>
      <w:r>
        <w:rPr>
          <w:rFonts w:ascii="Times New Roman;serif" w:hAnsi="Times New Roman;serif"/>
          <w:b/>
          <w:color w:val="000000"/>
          <w:sz w:val="24"/>
        </w:rPr>
        <w:t>(a)    Termination or Suspension.</w:t>
      </w:r>
      <w:r>
        <w:rPr>
          <w:color w:val="000000"/>
        </w:rPr>
        <w:t xml:space="preserve"> </w:t>
      </w:r>
      <w:r>
        <w:rPr>
          <w:rFonts w:ascii="Times New Roman;serif" w:hAnsi="Times New Roman;serif"/>
          <w:b w:val="false"/>
          <w:color w:val="000000"/>
          <w:sz w:val="24"/>
        </w:rPr>
        <w:t>The Board may suspend or terminate the Plan at any time. No Incentive Stock Option may be granted after</w:t>
      </w:r>
      <w:r>
        <w:rPr>
          <w:color w:val="0070C0"/>
        </w:rPr>
        <w:t xml:space="preserve"> </w:t>
      </w:r>
      <w:r>
        <w:rPr>
          <w:rFonts w:ascii="Times New Roman;serif" w:hAnsi="Times New Roman;serif"/>
          <w:b w:val="false"/>
          <w:color w:val="000000"/>
          <w:sz w:val="24"/>
        </w:rPr>
        <w:t>the tenth anniversary of the earlier of (i) the Adoption Date or (ii) the Effective Date. No Awards may be granted under the Plan while the Plan is suspended or after it is terminated.</w:t>
      </w:r>
    </w:p>
    <w:p>
      <w:pPr>
        <w:pStyle w:val="TextBody"/>
        <w:bidi w:val="0"/>
        <w:spacing w:lineRule="auto" w:line="288" w:before="0" w:after="240"/>
        <w:ind w:left="0" w:right="0" w:firstLine="720"/>
        <w:jc w:val="both"/>
        <w:rPr/>
      </w:pPr>
      <w:r>
        <w:rPr>
          <w:rFonts w:ascii="Times New Roman;serif" w:hAnsi="Times New Roman;serif"/>
          <w:b/>
          <w:color w:val="000000"/>
          <w:sz w:val="24"/>
        </w:rPr>
        <w:t>(b)    No Impairment of Rights.</w:t>
      </w:r>
      <w:r>
        <w:rPr>
          <w:color w:val="000000"/>
        </w:rPr>
        <w:t xml:space="preserve"> </w:t>
      </w:r>
      <w:r>
        <w:rPr>
          <w:rFonts w:ascii="Times New Roman;serif" w:hAnsi="Times New Roman;serif"/>
          <w:b w:val="false"/>
          <w:color w:val="000000"/>
          <w:sz w:val="24"/>
        </w:rPr>
        <w:t>Suspension or termination of the Plan will not materially impair rights and obligations under any Award granted while the Plan is in effect except with the written consent of the affected Participant or as otherwise permitted in the Plan (including Section 2(b)(viii)) or an Award Agreement.</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11.    Effective Date of 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Plan, as amended and restated hereby, will become effective on the Effective Date.</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12.    Choice of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laws of the State of Delaware will govern all questions concerning the construction, validity and interpretation of this Plan, without regard to that state’s conflict of laws rules.</w:t>
      </w:r>
    </w:p>
    <w:p>
      <w:pPr>
        <w:pStyle w:val="TextBody"/>
        <w:bidi w:val="0"/>
        <w:spacing w:lineRule="auto" w:line="288" w:before="0" w:after="240"/>
        <w:jc w:val="both"/>
        <w:rPr/>
      </w:pPr>
      <w:r>
        <w:rPr>
          <w:rFonts w:ascii="Times New Roman;serif" w:hAnsi="Times New Roman;serif"/>
          <w:b/>
          <w:color w:val="000000"/>
          <w:sz w:val="24"/>
        </w:rPr>
        <w:t xml:space="preserve">13.    Definitions. </w:t>
      </w:r>
      <w:r>
        <w:rPr>
          <w:rFonts w:ascii="Times New Roman;serif" w:hAnsi="Times New Roman;serif"/>
          <w:b w:val="false"/>
          <w:color w:val="000000"/>
          <w:sz w:val="24"/>
        </w:rPr>
        <w:t>As used in the Plan, the following definitions will apply to the capitalized terms indicated below:</w:t>
      </w:r>
    </w:p>
    <w:p>
      <w:pPr>
        <w:pStyle w:val="TextBody"/>
        <w:bidi w:val="0"/>
        <w:spacing w:lineRule="auto" w:line="288" w:before="0" w:after="240"/>
        <w:ind w:left="0" w:right="0" w:firstLine="720"/>
        <w:jc w:val="both"/>
        <w:rPr/>
      </w:pPr>
      <w:r>
        <w:rPr>
          <w:rFonts w:ascii="Times New Roman;serif" w:hAnsi="Times New Roman;serif"/>
          <w:b/>
          <w:color w:val="000000"/>
          <w:sz w:val="24"/>
        </w:rPr>
        <w:t>(a)    </w:t>
      </w:r>
      <w:r>
        <w:rPr>
          <w:color w:val="000000"/>
        </w:rPr>
        <w:t>“</w:t>
      </w:r>
      <w:r>
        <w:rPr>
          <w:rFonts w:ascii="Times New Roman;serif" w:hAnsi="Times New Roman;serif"/>
          <w:b/>
          <w:i/>
          <w:color w:val="000000"/>
          <w:sz w:val="24"/>
        </w:rPr>
        <w:t>Adoption Date</w:t>
      </w:r>
      <w:r>
        <w:rPr>
          <w:color w:val="000000"/>
        </w:rPr>
        <w:t xml:space="preserve">” </w:t>
      </w:r>
      <w:r>
        <w:rPr>
          <w:rFonts w:ascii="Times New Roman;serif" w:hAnsi="Times New Roman;serif"/>
          <w:b w:val="false"/>
          <w:color w:val="000000"/>
          <w:sz w:val="24"/>
        </w:rPr>
        <w:t>means March 31, 2025, which is the date the Plan, as amended and restated hereby, was adopted by the Board.</w:t>
      </w:r>
    </w:p>
    <w:p>
      <w:pPr>
        <w:pStyle w:val="TextBody"/>
        <w:bidi w:val="0"/>
        <w:spacing w:lineRule="auto" w:line="288" w:before="0" w:after="240"/>
        <w:ind w:left="0" w:right="0" w:firstLine="720"/>
        <w:jc w:val="both"/>
        <w:rPr/>
      </w:pPr>
      <w:r>
        <w:rPr>
          <w:rFonts w:ascii="Times New Roman;serif" w:hAnsi="Times New Roman;serif"/>
          <w:b/>
          <w:color w:val="000000"/>
          <w:sz w:val="24"/>
        </w:rPr>
        <w:t>(b)    </w:t>
      </w:r>
      <w:r>
        <w:rPr>
          <w:color w:val="000000"/>
        </w:rPr>
        <w:t>“</w:t>
      </w:r>
      <w:r>
        <w:rPr>
          <w:rFonts w:ascii="Times New Roman;serif" w:hAnsi="Times New Roman;serif"/>
          <w:b/>
          <w:i/>
          <w:color w:val="000000"/>
          <w:sz w:val="24"/>
        </w:rPr>
        <w:t>Affiliate</w:t>
      </w:r>
      <w:r>
        <w:rPr>
          <w:color w:val="000000"/>
        </w:rPr>
        <w:t xml:space="preserve">” </w:t>
      </w:r>
      <w:r>
        <w:rPr>
          <w:rFonts w:ascii="Times New Roman;serif" w:hAnsi="Times New Roman;serif"/>
          <w:b w:val="false"/>
          <w:color w:val="000000"/>
          <w:sz w:val="24"/>
        </w:rPr>
        <w:t>means, at the time of determination, any “parent” or “subsidiary” of the Company as such terms are defined in Rule 405. The Board will have the authority to determine the time or times at which “parent” or “subsidiary” status is determined within the foregoing definition.</w:t>
      </w:r>
    </w:p>
    <w:p>
      <w:pPr>
        <w:pStyle w:val="TextBody"/>
        <w:bidi w:val="0"/>
        <w:spacing w:lineRule="auto" w:line="288" w:before="0" w:after="240"/>
        <w:ind w:left="0" w:right="0" w:firstLine="720"/>
        <w:jc w:val="both"/>
        <w:rPr/>
      </w:pPr>
      <w:r>
        <w:rPr>
          <w:rFonts w:ascii="Times New Roman;serif" w:hAnsi="Times New Roman;serif"/>
          <w:b/>
          <w:color w:val="000000"/>
          <w:sz w:val="24"/>
        </w:rPr>
        <w:t>(c)    </w:t>
      </w:r>
      <w:r>
        <w:rPr>
          <w:color w:val="000000"/>
        </w:rPr>
        <w:t>“</w:t>
      </w:r>
      <w:r>
        <w:rPr>
          <w:rFonts w:ascii="Times New Roman;serif" w:hAnsi="Times New Roman;serif"/>
          <w:b/>
          <w:i/>
          <w:color w:val="000000"/>
          <w:sz w:val="24"/>
        </w:rPr>
        <w:t>Appreciation Award</w:t>
      </w:r>
      <w:r>
        <w:rPr>
          <w:color w:val="000000"/>
        </w:rPr>
        <w:t xml:space="preserve">” </w:t>
      </w:r>
      <w:r>
        <w:rPr>
          <w:rFonts w:ascii="Times New Roman;serif" w:hAnsi="Times New Roman;serif"/>
          <w:b w:val="false"/>
          <w:color w:val="000000"/>
          <w:sz w:val="24"/>
        </w:rPr>
        <w:t>means (i) a stock option or stock appreciation right granted under the Prior Plan or (ii) an Option or Stock Appreciation Right, in each case with respect to which the exercise or strike price (per share) is at least 100% of the Fair Market Value of the Common Stock subject to the stock option or stock appreciation right, or Option or Stock Appreciation Right, as applicable, on the date of grant.</w:t>
      </w:r>
    </w:p>
    <w:p>
      <w:pPr>
        <w:pStyle w:val="TextBody"/>
        <w:bidi w:val="0"/>
        <w:spacing w:lineRule="auto" w:line="288" w:before="0" w:after="240"/>
        <w:ind w:left="0" w:right="0" w:firstLine="720"/>
        <w:jc w:val="both"/>
        <w:rPr/>
      </w:pPr>
      <w:r>
        <w:rPr>
          <w:rFonts w:ascii="Times New Roman;serif" w:hAnsi="Times New Roman;serif"/>
          <w:b/>
          <w:color w:val="000000"/>
          <w:sz w:val="24"/>
        </w:rPr>
        <w:t>(d)    </w:t>
      </w:r>
      <w:r>
        <w:rPr>
          <w:color w:val="000000"/>
        </w:rPr>
        <w:t>“</w:t>
      </w:r>
      <w:r>
        <w:rPr>
          <w:rFonts w:ascii="Times New Roman;serif" w:hAnsi="Times New Roman;serif"/>
          <w:b/>
          <w:i/>
          <w:color w:val="000000"/>
          <w:sz w:val="24"/>
        </w:rPr>
        <w:t>Award</w:t>
      </w:r>
      <w:r>
        <w:rPr>
          <w:color w:val="000000"/>
        </w:rPr>
        <w:t xml:space="preserve">” </w:t>
      </w:r>
      <w:r>
        <w:rPr>
          <w:rFonts w:ascii="Times New Roman;serif" w:hAnsi="Times New Roman;serif"/>
          <w:b w:val="false"/>
          <w:color w:val="000000"/>
          <w:sz w:val="24"/>
        </w:rPr>
        <w:t>means an Incentive Stock Option, a Nonstatutory Stock Option, a Stock Appreciation Right, a Restricted Stock Award, a Restricted Stock Unit Award, a Performance Stock Award or any Other Stock Award.</w:t>
      </w:r>
    </w:p>
    <w:p>
      <w:pPr>
        <w:pStyle w:val="TextBody"/>
        <w:bidi w:val="0"/>
        <w:spacing w:lineRule="auto" w:line="288" w:before="0" w:after="240"/>
        <w:ind w:left="0" w:right="0" w:firstLine="720"/>
        <w:jc w:val="both"/>
        <w:rPr/>
      </w:pPr>
      <w:r>
        <w:rPr>
          <w:rFonts w:ascii="Times New Roman;serif" w:hAnsi="Times New Roman;serif"/>
          <w:b/>
          <w:color w:val="000000"/>
          <w:sz w:val="24"/>
        </w:rPr>
        <w:t>(e)    </w:t>
      </w:r>
      <w:r>
        <w:rPr>
          <w:color w:val="000000"/>
        </w:rPr>
        <w:t>“</w:t>
      </w:r>
      <w:r>
        <w:rPr>
          <w:rFonts w:ascii="Times New Roman;serif" w:hAnsi="Times New Roman;serif"/>
          <w:b/>
          <w:i/>
          <w:color w:val="000000"/>
          <w:sz w:val="24"/>
        </w:rPr>
        <w:t>Award Agreement</w:t>
      </w:r>
      <w:r>
        <w:rPr>
          <w:color w:val="000000"/>
        </w:rPr>
        <w:t xml:space="preserve">” </w:t>
      </w:r>
      <w:r>
        <w:rPr>
          <w:rFonts w:ascii="Times New Roman;serif" w:hAnsi="Times New Roman;serif"/>
          <w:b w:val="false"/>
          <w:color w:val="000000"/>
          <w:sz w:val="24"/>
        </w:rPr>
        <w:t>means a written agreement between the Company and a Participant evidencing the terms and conditions of an Award.</w:t>
      </w:r>
    </w:p>
    <w:p>
      <w:pPr>
        <w:pStyle w:val="TextBody"/>
        <w:bidi w:val="0"/>
        <w:spacing w:lineRule="auto" w:line="288" w:before="0" w:after="240"/>
        <w:ind w:left="0" w:right="0" w:firstLine="720"/>
        <w:jc w:val="both"/>
        <w:rPr/>
      </w:pPr>
      <w:r>
        <w:rPr>
          <w:rFonts w:ascii="Times New Roman;serif" w:hAnsi="Times New Roman;serif"/>
          <w:b/>
          <w:color w:val="000000"/>
          <w:sz w:val="24"/>
        </w:rPr>
        <w:t>(f)    </w:t>
      </w:r>
      <w:r>
        <w:rPr>
          <w:color w:val="000000"/>
        </w:rPr>
        <w:t>“</w:t>
      </w:r>
      <w:r>
        <w:rPr>
          <w:rFonts w:ascii="Times New Roman;serif" w:hAnsi="Times New Roman;serif"/>
          <w:b/>
          <w:i/>
          <w:color w:val="000000"/>
          <w:sz w:val="24"/>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77520"/>
                <wp:effectExtent l="0" t="0" r="0" b="0"/>
                <wp:wrapNone/>
                <wp:docPr id="24" name="Frame23"/>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(g)    </w:t>
      </w:r>
      <w:r>
        <w:rPr>
          <w:color w:val="000000"/>
        </w:rPr>
        <w:t>“</w:t>
      </w:r>
      <w:r>
        <w:rPr>
          <w:rFonts w:ascii="Times New Roman;serif" w:hAnsi="Times New Roman;serif"/>
          <w:b/>
          <w:i/>
          <w:color w:val="000000"/>
          <w:sz w:val="24"/>
        </w:rPr>
        <w:t>Capitalization Adjustment</w:t>
      </w:r>
      <w:r>
        <w:rPr>
          <w:color w:val="000000"/>
        </w:rPr>
        <w:t xml:space="preserve">” </w:t>
      </w:r>
      <w:r>
        <w:rPr>
          <w:rFonts w:ascii="Times New Roman;serif" w:hAnsi="Times New Roman;serif"/>
          <w:b w:val="false"/>
          <w:color w:val="000000"/>
          <w:sz w:val="24"/>
        </w:rPr>
        <w:t>means any change that is made in, or other events that occur with respect to, the Common Stock subject to the Plan or subject to any Award after the Original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No. 123 (revised). Notwithstanding the foregoing, the conversion of any convertible securities of the Company will not be treated as a Capitalization Adjustment.</w:t>
      </w:r>
    </w:p>
    <w:p>
      <w:pPr>
        <w:pStyle w:val="TextBody"/>
        <w:bidi w:val="0"/>
        <w:spacing w:lineRule="auto" w:line="288" w:before="0" w:after="240"/>
        <w:ind w:left="0" w:right="0" w:firstLine="720"/>
        <w:jc w:val="both"/>
        <w:rPr/>
      </w:pPr>
      <w:r>
        <w:rPr>
          <w:rFonts w:ascii="Times New Roman;serif" w:hAnsi="Times New Roman;serif"/>
          <w:b/>
          <w:color w:val="000000"/>
          <w:sz w:val="24"/>
        </w:rPr>
        <w:t>(h)    </w:t>
      </w:r>
      <w:r>
        <w:rPr>
          <w:color w:val="000000"/>
        </w:rPr>
        <w:t>“</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will have the meaning ascribed to such term in any written agreement between a Participant and the Company or an Affiliate defining such term and, in the absence of such agreement, such term means, with respect to a Participant, the occurrence of one or more of the following events that has a material negative impact on the business or reputation of the Company or an Affiliate: (i) any willful, material violation by the Participant of any law or regulation applicable to the business of the Company or an Affiliate; (ii) the Participant’s conviction for, or guilty plea to, a felony or a crime involving moral turpitude, or any willful perpetration by the Participant of a common law fraud; (iii) the Participant’s commission of an act of personal dishonesty which involves personal profit in connection with the Company, an Affiliate, or any other entity having a business relationship with the Company or an Affiliate; (iv) any material breach by the Participant of any provision of any agreement or understanding between the Company or an Affiliate and the Participant regarding the terms of the Participant’s service as an employee, officer, director or consultant to the Company or an Affiliate, including without limitation, the willful and continued failure or refusal of the Participant to perform the material duties required of the Participant as an employee, officer, director or consultant to the Company or an Affiliate, other than as a result of having a Disability, or a breach of any applicable invention assignment and confidentiality agreement or similar agreement between the Company or an Affiliate and the Participant; (v) the Participant’s disregard of the policies of the Company or an Affiliate so as to cause loss, damage or injury to the property, reputation or employees of the Company or an Affiliate; or (vi) any other misconduct by the Participant which is materially injurious to the financial condition or business reputation of, or is otherwise materially injurious to, the Company or an Affiliate. The determination that a termination of a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the Participant will have no effect upon any determination of the rights or obligations of the Company or the Participant for any other purpose.</w:t>
      </w:r>
    </w:p>
    <w:p>
      <w:pPr>
        <w:pStyle w:val="TextBody"/>
        <w:bidi w:val="0"/>
        <w:spacing w:lineRule="auto" w:line="288" w:before="0" w:after="240"/>
        <w:ind w:left="0" w:right="0" w:firstLine="720"/>
        <w:jc w:val="both"/>
        <w:rPr/>
      </w:pPr>
      <w:r>
        <w:rPr>
          <w:rFonts w:ascii="Times New Roman;serif" w:hAnsi="Times New Roman;serif"/>
          <w:b/>
          <w:color w:val="000000"/>
          <w:sz w:val="24"/>
        </w:rPr>
        <w:t>(i)    </w:t>
      </w:r>
      <w:r>
        <w:rPr>
          <w:color w:val="000000"/>
        </w:rPr>
        <w:t>“</w:t>
      </w:r>
      <w:r>
        <w:rPr>
          <w:rFonts w:ascii="Times New Roman;serif" w:hAnsi="Times New Roman;serif"/>
          <w:b/>
          <w:i/>
          <w:color w:val="000000"/>
          <w:sz w:val="24"/>
        </w:rPr>
        <w:t>Change in Control</w:t>
      </w:r>
      <w:r>
        <w:rPr>
          <w:color w:val="000000"/>
        </w:rPr>
        <w:t xml:space="preserve">” </w:t>
      </w:r>
      <w:r>
        <w:rPr>
          <w:rFonts w:ascii="Times New Roman;serif" w:hAnsi="Times New Roman;serif"/>
          <w:b w:val="false"/>
          <w:color w:val="000000"/>
          <w:sz w:val="24"/>
        </w:rPr>
        <w:t>means the occurrence, in a single transaction or in a series of related transactions, of any one or more of the following events:</w:t>
      </w:r>
    </w:p>
    <w:p>
      <w:pPr>
        <w:pStyle w:val="TextBody"/>
        <w:bidi w:val="0"/>
        <w:spacing w:lineRule="auto" w:line="288" w:before="0" w:after="240"/>
        <w:ind w:left="0" w:right="0" w:firstLine="1440"/>
        <w:jc w:val="both"/>
        <w:rPr/>
      </w:pPr>
      <w:r>
        <w:rPr>
          <w:rFonts w:ascii="Times New Roman;serif" w:hAnsi="Times New Roman;serif"/>
          <w:b/>
          <w:color w:val="000000"/>
          <w:sz w:val="24"/>
        </w:rPr>
        <w:t>(i)    </w:t>
      </w:r>
      <w:r>
        <w:rPr>
          <w:rFonts w:ascii="Times New Roman;serif" w:hAnsi="Times New Roman;serif"/>
          <w:b w:val="false"/>
          <w:color w:val="000000"/>
          <w:sz w:val="24"/>
        </w:rPr>
        <w:t xml:space="preserve">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w:t>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77520"/>
                <wp:effectExtent l="0" t="0" r="0" b="0"/>
                <wp:wrapNone/>
                <wp:docPr id="25" name="Frame24"/>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serif" w:hAnsi="Times New Roman;serif"/>
          <w:b/>
          <w:i/>
          <w:color w:val="000000"/>
          <w:sz w:val="24"/>
        </w:rPr>
        <w:t>Subject Person</w:t>
      </w:r>
      <w:r>
        <w:rPr>
          <w:color w:val="000000"/>
        </w:rPr>
        <w:t>”</w:t>
      </w:r>
      <w:r>
        <w:rPr>
          <w:rFonts w:ascii="Times New Roman;serif" w:hAnsi="Times New Roman;serif"/>
          <w:b w:val="false"/>
          <w:color w:val="000000"/>
          <w:sz w:val="24"/>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pStyle w:val="TextBody"/>
        <w:bidi w:val="0"/>
        <w:spacing w:lineRule="auto" w:line="288" w:before="0" w:after="240"/>
        <w:ind w:left="0" w:right="0" w:firstLine="1440"/>
        <w:jc w:val="both"/>
        <w:rPr/>
      </w:pPr>
      <w:r>
        <w:rPr>
          <w:rFonts w:ascii="Times New Roman;serif" w:hAnsi="Times New Roman;serif"/>
          <w:b/>
          <w:color w:val="000000"/>
          <w:sz w:val="24"/>
        </w:rPr>
        <w:t>(ii)    </w:t>
      </w:r>
      <w:r>
        <w:rPr>
          <w:rFonts w:ascii="Times New Roman;serif" w:hAnsi="Times New Roman;serif"/>
          <w:b w:val="false"/>
          <w:color w:val="000000"/>
          <w:sz w:val="24"/>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lineRule="auto" w:line="288" w:before="0" w:after="240"/>
        <w:ind w:left="0" w:right="0" w:firstLine="1440"/>
        <w:jc w:val="both"/>
        <w:rPr/>
      </w:pPr>
      <w:r>
        <w:rPr>
          <w:rFonts w:ascii="Times New Roman;serif" w:hAnsi="Times New Roman;serif"/>
          <w:b/>
          <w:color w:val="000000"/>
          <w:sz w:val="24"/>
        </w:rPr>
        <w:t>(iii)    </w:t>
      </w:r>
      <w:r>
        <w:rPr>
          <w:rFonts w:ascii="Times New Roman;serif" w:hAnsi="Times New Roman;serif"/>
          <w:b w:val="false"/>
          <w:color w:val="000000"/>
          <w:sz w:val="24"/>
        </w:rPr>
        <w:t>the stockholders of the Company approve or the Board approves a plan of complete dissolution or liquidation of the Company, or a complete dissolution or liquidation of the Company shall otherwise occur, except for a liquidation into a parent corporation;</w:t>
      </w:r>
    </w:p>
    <w:p>
      <w:pPr>
        <w:pStyle w:val="TextBody"/>
        <w:bidi w:val="0"/>
        <w:spacing w:lineRule="auto" w:line="288" w:before="0" w:after="240"/>
        <w:ind w:left="0" w:right="0" w:firstLine="1440"/>
        <w:jc w:val="both"/>
        <w:rPr/>
      </w:pPr>
      <w:r>
        <w:rPr>
          <w:rFonts w:ascii="Times New Roman;serif" w:hAnsi="Times New Roman;serif"/>
          <w:b/>
          <w:color w:val="000000"/>
          <w:sz w:val="24"/>
        </w:rPr>
        <w:t>(iv)    </w:t>
      </w:r>
      <w:r>
        <w:rPr>
          <w:rFonts w:ascii="Times New Roman;serif" w:hAnsi="Times New Roman;serif"/>
          <w:b w:val="false"/>
          <w:color w:val="000000"/>
          <w:sz w:val="24"/>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pStyle w:val="TextBody"/>
        <w:bidi w:val="0"/>
        <w:spacing w:lineRule="auto" w:line="288" w:before="0" w:after="240"/>
        <w:ind w:left="0" w:right="0" w:firstLine="1440"/>
        <w:jc w:val="both"/>
        <w:rPr/>
      </w:pPr>
      <w:r>
        <w:rPr>
          <w:rFonts w:ascii="Times New Roman;serif" w:hAnsi="Times New Roman;serif"/>
          <w:b/>
          <w:color w:val="000000"/>
          <w:sz w:val="24"/>
        </w:rPr>
        <w:t>(v)    </w:t>
      </w:r>
      <w:r>
        <w:rPr>
          <w:rFonts w:ascii="Times New Roman;serif" w:hAnsi="Times New Roman;serif"/>
          <w:b w:val="false"/>
          <w:color w:val="000000"/>
          <w:sz w:val="24"/>
        </w:rPr>
        <w:t>individuals who, on the Original Adoption Date, are members of the Board (the “</w:t>
      </w:r>
      <w:r>
        <w:rPr>
          <w:rFonts w:ascii="Times New Roman;serif" w:hAnsi="Times New Roman;serif"/>
          <w:b/>
          <w:i/>
          <w:color w:val="000000"/>
          <w:sz w:val="24"/>
        </w:rPr>
        <w:t>Incumbent Board</w:t>
      </w:r>
      <w:r>
        <w:rPr>
          <w:color w:val="000000"/>
        </w:rPr>
        <w:t>”</w:t>
      </w:r>
      <w:r>
        <w:rPr>
          <w:rFonts w:ascii="Times New Roman;serif" w:hAnsi="Times New Roman;serif"/>
          <w:b w:val="false"/>
          <w:color w:val="000000"/>
          <w:sz w:val="24"/>
        </w:rPr>
        <w:t xml:space="preserve">) cease for any reason to constitute at least a majority of the members of the Board; </w:t>
      </w:r>
      <w:r>
        <w:rPr>
          <w:rFonts w:ascii="Times New Roman;serif" w:hAnsi="Times New Roman;serif"/>
          <w:b w:val="false"/>
          <w:i/>
          <w:color w:val="000000"/>
          <w:sz w:val="24"/>
        </w:rPr>
        <w:t>provided, however</w:t>
      </w:r>
      <w:r>
        <w:rPr>
          <w:rFonts w:ascii="Times New Roman;serif" w:hAnsi="Times New Roman;serif"/>
          <w:b w:val="false"/>
          <w:color w:val="000000"/>
          <w:sz w:val="24"/>
        </w:rPr>
        <w:t>,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foregoing or any other provision of this Plan, (A) the term Change in Control will not include a sale of assets, merger or other transaction effected exclusively for the </w:t>
      </w: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77520"/>
                <wp:effectExtent l="0" t="0" r="0" b="0"/>
                <wp:wrapNone/>
                <wp:docPr id="26" name="Frame25"/>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purpose of changing the domicile of the Company, and (B) the definition of Change in Control (or any analogous term) in an individual written agreement between a Participant and the Company or an Affiliate will supersede the foregoing definition with respect to Awards subject to such agreement;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(1) if no definition of Change in Control (or any analogous term) is set forth in such an individual written agreement, the foregoing definition will apply; and (2) no Change in Control (or any analogous term) will be deemed to occur with respect to Awards subject to such an individual written agreement without a requirement that the Change in Control (or any analogous term) actually occur.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required for compliance with Section 409A of the Code, in no event will an event be deemed a Change in Control if such event is not also a “change in the ownership of” the Company, a “change in the effective control of” the Company or a “change in the ownership of a substantial portion of the assets of” the Company, each as determined under Treasury Regulations Section 1.409A-3(i)(5) (without regard to any alternative definition thereunder). The Board may, in its sole discretion and without a Participant’s consent, amend the definition of “Change in Control” to conform to the definition of a “change in control event” under Section 409A of the Code and the regulations thereunder.</w:t>
      </w:r>
    </w:p>
    <w:p>
      <w:pPr>
        <w:pStyle w:val="TextBody"/>
        <w:bidi w:val="0"/>
        <w:spacing w:lineRule="auto" w:line="288" w:before="0" w:after="240"/>
        <w:ind w:left="0" w:right="0" w:firstLine="720"/>
        <w:jc w:val="both"/>
        <w:rPr/>
      </w:pPr>
      <w:r>
        <w:rPr>
          <w:rFonts w:ascii="Times New Roman;serif" w:hAnsi="Times New Roman;serif"/>
          <w:b/>
          <w:color w:val="000000"/>
          <w:sz w:val="24"/>
        </w:rPr>
        <w:t>(j)    </w:t>
      </w:r>
      <w:r>
        <w:rPr>
          <w:color w:val="000000"/>
        </w:rPr>
        <w:t>“</w:t>
      </w:r>
      <w:r>
        <w:rPr>
          <w:rFonts w:ascii="Times New Roman;serif" w:hAnsi="Times New Roman;serif"/>
          <w:b/>
          <w:i/>
          <w:color w:val="000000"/>
          <w:sz w:val="24"/>
        </w:rPr>
        <w:t>Code</w:t>
      </w:r>
      <w:r>
        <w:rPr>
          <w:color w:val="000000"/>
        </w:rPr>
        <w:t xml:space="preserve">” </w:t>
      </w:r>
      <w:r>
        <w:rPr>
          <w:rFonts w:ascii="Times New Roman;serif" w:hAnsi="Times New Roman;serif"/>
          <w:b w:val="false"/>
          <w:color w:val="000000"/>
          <w:sz w:val="24"/>
        </w:rPr>
        <w:t>means the Internal Revenue Code of 1986, as amended, including any applicable regulations and guidance thereunder.</w:t>
      </w:r>
    </w:p>
    <w:p>
      <w:pPr>
        <w:pStyle w:val="TextBody"/>
        <w:bidi w:val="0"/>
        <w:spacing w:lineRule="auto" w:line="288" w:before="0" w:after="240"/>
        <w:ind w:left="0" w:right="0" w:firstLine="720"/>
        <w:jc w:val="both"/>
        <w:rPr/>
      </w:pPr>
      <w:r>
        <w:rPr>
          <w:rFonts w:ascii="Times New Roman;serif" w:hAnsi="Times New Roman;serif"/>
          <w:b/>
          <w:color w:val="000000"/>
          <w:sz w:val="24"/>
        </w:rPr>
        <w:t>(k)    </w:t>
      </w:r>
      <w:r>
        <w:rPr>
          <w:color w:val="000000"/>
        </w:rPr>
        <w:t>“</w:t>
      </w:r>
      <w:r>
        <w:rPr>
          <w:rFonts w:ascii="Times New Roman;serif" w:hAnsi="Times New Roman;serif"/>
          <w:b/>
          <w:i/>
          <w:color w:val="000000"/>
          <w:sz w:val="24"/>
        </w:rPr>
        <w:t>Committee</w:t>
      </w:r>
      <w:r>
        <w:rPr>
          <w:color w:val="000000"/>
        </w:rPr>
        <w:t xml:space="preserve">” </w:t>
      </w:r>
      <w:r>
        <w:rPr>
          <w:rFonts w:ascii="Times New Roman;serif" w:hAnsi="Times New Roman;serif"/>
          <w:b w:val="false"/>
          <w:color w:val="000000"/>
          <w:sz w:val="24"/>
        </w:rPr>
        <w:t>means a committee of one or more Directors to whom authority has been delegated by the Board in accordance with Section 2(c).</w:t>
      </w:r>
    </w:p>
    <w:p>
      <w:pPr>
        <w:pStyle w:val="TextBody"/>
        <w:bidi w:val="0"/>
        <w:spacing w:lineRule="auto" w:line="288" w:before="0" w:after="240"/>
        <w:ind w:left="0" w:right="0" w:firstLine="720"/>
        <w:jc w:val="both"/>
        <w:rPr/>
      </w:pPr>
      <w:r>
        <w:rPr>
          <w:rFonts w:ascii="Times New Roman;serif" w:hAnsi="Times New Roman;serif"/>
          <w:b/>
          <w:color w:val="000000"/>
          <w:sz w:val="24"/>
        </w:rPr>
        <w:t>(l)    </w:t>
      </w:r>
      <w:r>
        <w:rPr>
          <w:color w:val="000000"/>
        </w:rPr>
        <w:t>“</w:t>
      </w:r>
      <w:r>
        <w:rPr>
          <w:rFonts w:ascii="Times New Roman;serif" w:hAnsi="Times New Roman;serif"/>
          <w:b/>
          <w:i/>
          <w:color w:val="000000"/>
          <w:sz w:val="24"/>
        </w:rPr>
        <w:t>Common Stock</w:t>
      </w:r>
      <w:r>
        <w:rPr>
          <w:color w:val="000000"/>
        </w:rPr>
        <w:t xml:space="preserve">” </w:t>
      </w:r>
      <w:r>
        <w:rPr>
          <w:rFonts w:ascii="Times New Roman;serif" w:hAnsi="Times New Roman;serif"/>
          <w:b w:val="false"/>
          <w:color w:val="000000"/>
          <w:sz w:val="24"/>
        </w:rPr>
        <w:t>means the common stock of the Company.</w:t>
      </w:r>
    </w:p>
    <w:p>
      <w:pPr>
        <w:pStyle w:val="TextBody"/>
        <w:bidi w:val="0"/>
        <w:spacing w:lineRule="auto" w:line="288" w:before="0" w:after="240"/>
        <w:ind w:left="0" w:right="0" w:firstLine="720"/>
        <w:jc w:val="both"/>
        <w:rPr/>
      </w:pPr>
      <w:r>
        <w:rPr>
          <w:rFonts w:ascii="Times New Roman;serif" w:hAnsi="Times New Roman;serif"/>
          <w:b/>
          <w:color w:val="000000"/>
          <w:sz w:val="24"/>
        </w:rPr>
        <w:t>(m)    </w:t>
      </w:r>
      <w:r>
        <w:rPr>
          <w:color w:val="000000"/>
        </w:rPr>
        <w:t>“</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means Enphase Energy, Inc., a Delaware corporation.</w:t>
      </w:r>
    </w:p>
    <w:p>
      <w:pPr>
        <w:pStyle w:val="TextBody"/>
        <w:bidi w:val="0"/>
        <w:spacing w:lineRule="auto" w:line="288" w:before="0" w:after="240"/>
        <w:ind w:left="0" w:right="0" w:firstLine="720"/>
        <w:jc w:val="both"/>
        <w:rPr/>
      </w:pPr>
      <w:r>
        <w:rPr>
          <w:rFonts w:ascii="Times New Roman;serif" w:hAnsi="Times New Roman;serif"/>
          <w:b/>
          <w:color w:val="000000"/>
          <w:sz w:val="24"/>
        </w:rPr>
        <w:t>(n)    </w:t>
      </w:r>
      <w:r>
        <w:rPr>
          <w:color w:val="000000"/>
        </w:rPr>
        <w:t>“</w:t>
      </w:r>
      <w:r>
        <w:rPr>
          <w:rFonts w:ascii="Times New Roman;serif" w:hAnsi="Times New Roman;serif"/>
          <w:b/>
          <w:i/>
          <w:color w:val="000000"/>
          <w:sz w:val="24"/>
        </w:rPr>
        <w:t>Consultant</w:t>
      </w:r>
      <w:r>
        <w:rPr>
          <w:color w:val="000000"/>
        </w:rPr>
        <w:t xml:space="preserve">” </w:t>
      </w:r>
      <w:r>
        <w:rPr>
          <w:rFonts w:ascii="Times New Roman;serif" w:hAnsi="Times New Roman;serif"/>
          <w:b w:val="false"/>
          <w:color w:val="000000"/>
          <w:sz w:val="24"/>
        </w:rPr>
        <w:t>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bidi w:val="0"/>
        <w:spacing w:lineRule="auto" w:line="288" w:before="0" w:after="240"/>
        <w:ind w:left="0" w:right="0" w:firstLine="720"/>
        <w:jc w:val="both"/>
        <w:rPr/>
      </w:pPr>
      <w:r>
        <w:rPr>
          <w:rFonts w:ascii="Times New Roman;serif" w:hAnsi="Times New Roman;serif"/>
          <w:b/>
          <w:color w:val="000000"/>
          <w:sz w:val="24"/>
        </w:rPr>
        <w:t>(o)    </w:t>
      </w:r>
      <w:r>
        <w:rPr>
          <w:color w:val="000000"/>
        </w:rPr>
        <w:t>“</w:t>
      </w:r>
      <w:r>
        <w:rPr>
          <w:rFonts w:ascii="Times New Roman;serif" w:hAnsi="Times New Roman;serif"/>
          <w:b/>
          <w:i/>
          <w:color w:val="000000"/>
          <w:sz w:val="24"/>
        </w:rPr>
        <w:t>Continuous Service</w:t>
      </w:r>
      <w:r>
        <w:rPr>
          <w:color w:val="000000"/>
        </w:rPr>
        <w:t xml:space="preserve">” </w:t>
      </w:r>
      <w:r>
        <w:rPr>
          <w:rFonts w:ascii="Times New Roman;serif" w:hAnsi="Times New Roman;serif"/>
          <w:b w:val="false"/>
          <w:color w:val="000000"/>
          <w:sz w:val="24"/>
        </w:rPr>
        <w:t xml:space="preserve">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 xml:space="preserve">if the Entity for which a Participant is rendering services ceases to qualify as an Affiliate, as determined by the Board, in its sole discretion, such Participant’s Continuous Service will be considered to have terminated on the date such Entity ceases to qualify as an </w:t>
      </w: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77520"/>
                <wp:effectExtent l="0" t="0" r="0" b="0"/>
                <wp:wrapNone/>
                <wp:docPr id="27" name="Frame26"/>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or Affiliate’s leave of absence policy, in the written terms of any leave of absence agreement or policy applicable to the Participant, or as otherwise required by law.</w:t>
      </w:r>
    </w:p>
    <w:p>
      <w:pPr>
        <w:pStyle w:val="TextBody"/>
        <w:bidi w:val="0"/>
        <w:spacing w:lineRule="auto" w:line="288" w:before="0" w:after="240"/>
        <w:ind w:left="0" w:right="0" w:firstLine="720"/>
        <w:jc w:val="both"/>
        <w:rPr/>
      </w:pPr>
      <w:r>
        <w:rPr>
          <w:rFonts w:ascii="Times New Roman;serif" w:hAnsi="Times New Roman;serif"/>
          <w:b/>
          <w:color w:val="000000"/>
          <w:sz w:val="24"/>
        </w:rPr>
        <w:t>(p)    </w:t>
      </w:r>
      <w:r>
        <w:rPr>
          <w:color w:val="000000"/>
        </w:rPr>
        <w:t>“</w:t>
      </w:r>
      <w:r>
        <w:rPr>
          <w:rFonts w:ascii="Times New Roman;serif" w:hAnsi="Times New Roman;serif"/>
          <w:b/>
          <w:i/>
          <w:color w:val="000000"/>
          <w:sz w:val="24"/>
        </w:rPr>
        <w:t>Corporate Transaction</w:t>
      </w:r>
      <w:r>
        <w:rPr>
          <w:color w:val="000000"/>
        </w:rPr>
        <w:t xml:space="preserve">” </w:t>
      </w:r>
      <w:r>
        <w:rPr>
          <w:rFonts w:ascii="Times New Roman;serif" w:hAnsi="Times New Roman;serif"/>
          <w:b w:val="false"/>
          <w:color w:val="000000"/>
          <w:sz w:val="24"/>
        </w:rPr>
        <w:t>means the occurrence, in a single transaction or in a series of related transactions, of any one or more of the following events:</w:t>
      </w:r>
    </w:p>
    <w:p>
      <w:pPr>
        <w:pStyle w:val="TextBody"/>
        <w:bidi w:val="0"/>
        <w:spacing w:lineRule="auto" w:line="288" w:before="0" w:after="240"/>
        <w:ind w:left="0" w:right="0" w:firstLine="1440"/>
        <w:jc w:val="both"/>
        <w:rPr/>
      </w:pPr>
      <w:r>
        <w:rPr>
          <w:rFonts w:ascii="Times New Roman;serif" w:hAnsi="Times New Roman;serif"/>
          <w:b/>
          <w:color w:val="000000"/>
          <w:sz w:val="24"/>
        </w:rPr>
        <w:t>(i)    </w:t>
      </w:r>
      <w:r>
        <w:rPr>
          <w:rFonts w:ascii="Times New Roman;serif" w:hAnsi="Times New Roman;serif"/>
          <w:b w:val="false"/>
          <w:color w:val="000000"/>
          <w:sz w:val="24"/>
        </w:rPr>
        <w:t>the consummation of a sale</w:t>
      </w:r>
      <w:r>
        <w:rPr>
          <w:color w:val="000000"/>
        </w:rPr>
        <w:t xml:space="preserve"> </w:t>
      </w:r>
      <w:r>
        <w:rPr>
          <w:rFonts w:ascii="Times New Roman;serif" w:hAnsi="Times New Roman;serif"/>
          <w:b w:val="false"/>
          <w:color w:val="000000"/>
          <w:sz w:val="24"/>
        </w:rPr>
        <w:t>or other disposition of all or substantially all, as determined by the Board, in its sole discretion, of the consolidated assets of the Company and its Subsidiaries;</w:t>
      </w:r>
    </w:p>
    <w:p>
      <w:pPr>
        <w:pStyle w:val="TextBody"/>
        <w:bidi w:val="0"/>
        <w:spacing w:lineRule="auto" w:line="288" w:before="0" w:after="240"/>
        <w:ind w:left="0" w:right="0" w:firstLine="1440"/>
        <w:jc w:val="both"/>
        <w:rPr/>
      </w:pPr>
      <w:r>
        <w:rPr>
          <w:rFonts w:ascii="Times New Roman;serif" w:hAnsi="Times New Roman;serif"/>
          <w:b/>
          <w:color w:val="000000"/>
          <w:sz w:val="24"/>
        </w:rPr>
        <w:t>(ii)    </w:t>
      </w:r>
      <w:r>
        <w:rPr>
          <w:rFonts w:ascii="Times New Roman;serif" w:hAnsi="Times New Roman;serif"/>
          <w:b w:val="false"/>
          <w:color w:val="000000"/>
          <w:sz w:val="24"/>
        </w:rPr>
        <w:t>the consummation of a sale or other disposition of at least 90% of the outstanding securities of the Company;</w:t>
      </w:r>
    </w:p>
    <w:p>
      <w:pPr>
        <w:pStyle w:val="TextBody"/>
        <w:bidi w:val="0"/>
        <w:spacing w:lineRule="auto" w:line="288" w:before="0" w:after="240"/>
        <w:ind w:left="0" w:right="0" w:firstLine="1440"/>
        <w:jc w:val="both"/>
        <w:rPr/>
      </w:pPr>
      <w:r>
        <w:rPr>
          <w:rFonts w:ascii="Times New Roman;serif" w:hAnsi="Times New Roman;serif"/>
          <w:b/>
          <w:color w:val="000000"/>
          <w:sz w:val="24"/>
        </w:rPr>
        <w:t>(iii)    </w:t>
      </w:r>
      <w:r>
        <w:rPr>
          <w:rFonts w:ascii="Times New Roman;serif" w:hAnsi="Times New Roman;serif"/>
          <w:b w:val="false"/>
          <w:color w:val="000000"/>
          <w:sz w:val="24"/>
        </w:rPr>
        <w:t>the consummation of a merger, consolidation or similar transaction following which the Company is not the surviving corporation; or</w:t>
      </w:r>
    </w:p>
    <w:p>
      <w:pPr>
        <w:pStyle w:val="TextBody"/>
        <w:bidi w:val="0"/>
        <w:spacing w:lineRule="auto" w:line="288" w:before="0" w:after="240"/>
        <w:ind w:left="0" w:right="0" w:firstLine="1440"/>
        <w:jc w:val="both"/>
        <w:rPr/>
      </w:pPr>
      <w:r>
        <w:rPr>
          <w:rFonts w:ascii="Times New Roman;serif" w:hAnsi="Times New Roman;serif"/>
          <w:b/>
          <w:color w:val="000000"/>
          <w:sz w:val="24"/>
        </w:rPr>
        <w:t>(iv)    </w:t>
      </w:r>
      <w:r>
        <w:rPr>
          <w:rFonts w:ascii="Times New Roman;serif" w:hAnsi="Times New Roman;serif"/>
          <w:b w:val="false"/>
          <w:color w:val="000000"/>
          <w:sz w:val="24"/>
        </w:rPr>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If required for compliance with Section 409A of the Code, in no event will an event be deemed a Corporate Transaction if such event is not also a “change in the ownership of” the Company, a “change in the effective control of” the Company or a “change in the ownership of a substantial portion of the assets of” the Company, each as determined under Treasury Regulations Section 1.409A-3(i)(5) (without regard to any alternative definition thereunder). The Board may, in its sole discretion and without a Participant’s consent, amend the definition of “Corporate Transaction” to conform to the definition of a “change in control event” under Section 409A of the Code and the regulations thereunder.</w:t>
      </w:r>
    </w:p>
    <w:p>
      <w:pPr>
        <w:pStyle w:val="TextBody"/>
        <w:bidi w:val="0"/>
        <w:spacing w:lineRule="auto" w:line="288" w:before="0" w:after="240"/>
        <w:ind w:left="0" w:right="0" w:firstLine="720"/>
        <w:jc w:val="both"/>
        <w:rPr/>
      </w:pPr>
      <w:r>
        <w:rPr>
          <w:rFonts w:ascii="Times New Roman;serif" w:hAnsi="Times New Roman;serif"/>
          <w:b/>
          <w:color w:val="000000"/>
          <w:sz w:val="24"/>
        </w:rPr>
        <w:t>(q)    </w:t>
      </w:r>
      <w:r>
        <w:rPr>
          <w:color w:val="000000"/>
        </w:rPr>
        <w:t>“</w:t>
      </w:r>
      <w:r>
        <w:rPr>
          <w:rFonts w:ascii="Times New Roman;serif" w:hAnsi="Times New Roman;serif"/>
          <w:b/>
          <w:i/>
          <w:color w:val="000000"/>
          <w:sz w:val="24"/>
        </w:rPr>
        <w:t>Director</w:t>
      </w:r>
      <w:r>
        <w:rPr>
          <w:color w:val="000000"/>
        </w:rPr>
        <w:t xml:space="preserve">” </w:t>
      </w:r>
      <w:r>
        <w:rPr>
          <w:rFonts w:ascii="Times New Roman;serif" w:hAnsi="Times New Roman;serif"/>
          <w:b w:val="false"/>
          <w:color w:val="000000"/>
          <w:sz w:val="24"/>
        </w:rPr>
        <w:t>means a member of the Board.</w:t>
      </w:r>
    </w:p>
    <w:p>
      <w:pPr>
        <w:pStyle w:val="TextBody"/>
        <w:bidi w:val="0"/>
        <w:spacing w:lineRule="auto" w:line="288" w:before="0" w:after="240"/>
        <w:ind w:left="0" w:right="0" w:firstLine="720"/>
        <w:jc w:val="both"/>
        <w:rPr/>
      </w:pPr>
      <w:r>
        <w:rPr>
          <w:rFonts w:ascii="Times New Roman;serif" w:hAnsi="Times New Roman;serif"/>
          <w:b/>
          <w:color w:val="000000"/>
          <w:sz w:val="24"/>
        </w:rPr>
        <w:t>(r)    </w:t>
      </w:r>
      <w:r>
        <w:rPr>
          <w:color w:val="000000"/>
        </w:rPr>
        <w:t>“</w:t>
      </w:r>
      <w:r>
        <w:rPr>
          <w:rFonts w:ascii="Times New Roman;serif" w:hAnsi="Times New Roman;serif"/>
          <w:b/>
          <w:i/>
          <w:color w:val="000000"/>
          <w:sz w:val="24"/>
        </w:rPr>
        <w:t>Disability</w:t>
      </w:r>
      <w:r>
        <w:rPr>
          <w:color w:val="000000"/>
        </w:rPr>
        <w:t xml:space="preserve">” </w:t>
      </w:r>
      <w:r>
        <w:rPr>
          <w:rFonts w:ascii="Times New Roman;serif" w:hAnsi="Times New Roman;serif"/>
          <w:b w:val="false"/>
          <w:color w:val="000000"/>
          <w:sz w:val="24"/>
        </w:rPr>
        <w:t xml:space="preserve">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w:t>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77520"/>
                <wp:effectExtent l="0" t="0" r="0" b="0"/>
                <wp:wrapNone/>
                <wp:docPr id="28" name="Frame27"/>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409A(a)(2)(c)(i) of the Code, and will be determined by the Board on the basis of such medical evidence as the Board deems warranted under the circumstances.</w:t>
      </w:r>
    </w:p>
    <w:p>
      <w:pPr>
        <w:pStyle w:val="TextBody"/>
        <w:bidi w:val="0"/>
        <w:spacing w:lineRule="auto" w:line="288" w:before="0" w:after="240"/>
        <w:ind w:left="0" w:right="0" w:firstLine="720"/>
        <w:jc w:val="both"/>
        <w:rPr/>
      </w:pPr>
      <w:r>
        <w:rPr>
          <w:rFonts w:ascii="Times New Roman;serif" w:hAnsi="Times New Roman;serif"/>
          <w:b/>
          <w:color w:val="000000"/>
          <w:sz w:val="24"/>
        </w:rPr>
        <w:t>(s)    </w:t>
      </w:r>
      <w:r>
        <w:rPr>
          <w:color w:val="000000"/>
        </w:rPr>
        <w:t>“</w:t>
      </w:r>
      <w:r>
        <w:rPr>
          <w:rFonts w:ascii="Times New Roman;serif" w:hAnsi="Times New Roman;serif"/>
          <w:b/>
          <w:i/>
          <w:color w:val="000000"/>
          <w:sz w:val="24"/>
        </w:rPr>
        <w:t>Effective Date</w:t>
      </w:r>
      <w:r>
        <w:rPr>
          <w:color w:val="000000"/>
        </w:rPr>
        <w:t xml:space="preserve">” </w:t>
      </w:r>
      <w:r>
        <w:rPr>
          <w:rFonts w:ascii="Times New Roman;serif" w:hAnsi="Times New Roman;serif"/>
          <w:b w:val="false"/>
          <w:color w:val="000000"/>
          <w:sz w:val="24"/>
        </w:rPr>
        <w:t>means the effective date of this Plan (as amended and restated hereby), which is the date of the Annual Meeting of Stockholders of the Company held in 2026, provided that this Plan is approved by the Company’s stockholders at such meeting.</w:t>
      </w:r>
    </w:p>
    <w:p>
      <w:pPr>
        <w:pStyle w:val="TextBody"/>
        <w:bidi w:val="0"/>
        <w:spacing w:lineRule="auto" w:line="288" w:before="0" w:after="240"/>
        <w:ind w:left="0" w:right="0" w:firstLine="720"/>
        <w:jc w:val="both"/>
        <w:rPr/>
      </w:pPr>
      <w:r>
        <w:rPr>
          <w:rFonts w:ascii="Times New Roman;serif" w:hAnsi="Times New Roman;serif"/>
          <w:b/>
          <w:color w:val="000000"/>
          <w:sz w:val="24"/>
        </w:rPr>
        <w:t>(t)    </w:t>
      </w:r>
      <w:r>
        <w:rPr>
          <w:color w:val="000000"/>
        </w:rPr>
        <w:t>“</w:t>
      </w:r>
      <w:r>
        <w:rPr>
          <w:rFonts w:ascii="Times New Roman;serif" w:hAnsi="Times New Roman;serif"/>
          <w:b/>
          <w:i/>
          <w:color w:val="000000"/>
          <w:sz w:val="24"/>
        </w:rPr>
        <w:t>Employee</w:t>
      </w:r>
      <w:r>
        <w:rPr>
          <w:color w:val="000000"/>
        </w:rPr>
        <w:t xml:space="preserve">” </w:t>
      </w:r>
      <w:r>
        <w:rPr>
          <w:rFonts w:ascii="Times New Roman;serif" w:hAnsi="Times New Roman;serif"/>
          <w:b w:val="false"/>
          <w:color w:val="000000"/>
          <w:sz w:val="24"/>
        </w:rPr>
        <w:t>means any person employed by the Company or an Affiliate. However, service solely as a Director, or payment of a fee for such services, will not cause a Director to be considered an “Employee” for purposes of the Plan.</w:t>
      </w:r>
    </w:p>
    <w:p>
      <w:pPr>
        <w:pStyle w:val="TextBody"/>
        <w:bidi w:val="0"/>
        <w:spacing w:lineRule="auto" w:line="288" w:before="0" w:after="240"/>
        <w:ind w:left="0" w:right="0" w:firstLine="720"/>
        <w:jc w:val="both"/>
        <w:rPr/>
      </w:pPr>
      <w:r>
        <w:rPr>
          <w:rFonts w:ascii="Times New Roman;serif" w:hAnsi="Times New Roman;serif"/>
          <w:b/>
          <w:color w:val="000000"/>
          <w:sz w:val="24"/>
        </w:rPr>
        <w:t>(u)    </w:t>
      </w:r>
      <w:r>
        <w:rPr>
          <w:color w:val="000000"/>
        </w:rPr>
        <w:t>“</w:t>
      </w:r>
      <w:r>
        <w:rPr>
          <w:rFonts w:ascii="Times New Roman;serif" w:hAnsi="Times New Roman;serif"/>
          <w:b/>
          <w:i/>
          <w:color w:val="000000"/>
          <w:sz w:val="24"/>
        </w:rPr>
        <w:t>Entity</w:t>
      </w:r>
      <w:r>
        <w:rPr>
          <w:color w:val="000000"/>
        </w:rPr>
        <w:t xml:space="preserve">” </w:t>
      </w:r>
      <w:r>
        <w:rPr>
          <w:rFonts w:ascii="Times New Roman;serif" w:hAnsi="Times New Roman;serif"/>
          <w:b w:val="false"/>
          <w:color w:val="000000"/>
          <w:sz w:val="24"/>
        </w:rPr>
        <w:t>means a corporation, partnership, limited liability company or other entity.</w:t>
      </w:r>
    </w:p>
    <w:p>
      <w:pPr>
        <w:pStyle w:val="TextBody"/>
        <w:bidi w:val="0"/>
        <w:spacing w:lineRule="auto" w:line="288" w:before="0" w:after="240"/>
        <w:ind w:left="0" w:right="0" w:firstLine="720"/>
        <w:jc w:val="both"/>
        <w:rPr/>
      </w:pPr>
      <w:r>
        <w:rPr>
          <w:rFonts w:ascii="Times New Roman;serif" w:hAnsi="Times New Roman;serif"/>
          <w:b/>
          <w:color w:val="000000"/>
          <w:sz w:val="24"/>
        </w:rPr>
        <w:t>(v)    </w:t>
      </w:r>
      <w:r>
        <w:rPr>
          <w:color w:val="000000"/>
        </w:rPr>
        <w:t>“</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means the Securities Exchange Act of 1934, as amended, and the rules and regulations promulgated thereunder.</w:t>
      </w:r>
    </w:p>
    <w:p>
      <w:pPr>
        <w:pStyle w:val="TextBody"/>
        <w:bidi w:val="0"/>
        <w:spacing w:lineRule="auto" w:line="288" w:before="0" w:after="240"/>
        <w:ind w:left="0" w:right="0" w:firstLine="720"/>
        <w:jc w:val="both"/>
        <w:rPr/>
      </w:pPr>
      <w:r>
        <w:rPr>
          <w:rFonts w:ascii="Times New Roman;serif" w:hAnsi="Times New Roman;serif"/>
          <w:b/>
          <w:color w:val="000000"/>
          <w:sz w:val="24"/>
        </w:rPr>
        <w:t>(w)    </w:t>
      </w:r>
      <w:r>
        <w:rPr>
          <w:color w:val="000000"/>
        </w:rPr>
        <w:t>“</w:t>
      </w:r>
      <w:r>
        <w:rPr>
          <w:rFonts w:ascii="Times New Roman;serif" w:hAnsi="Times New Roman;serif"/>
          <w:b/>
          <w:i/>
          <w:color w:val="000000"/>
          <w:sz w:val="24"/>
        </w:rPr>
        <w:t>Exchange Act Person</w:t>
      </w:r>
      <w:r>
        <w:rPr>
          <w:color w:val="000000"/>
        </w:rPr>
        <w:t xml:space="preserve">” </w:t>
      </w:r>
      <w:r>
        <w:rPr>
          <w:rFonts w:ascii="Times New Roman;serif" w:hAnsi="Times New Roman;serif"/>
          <w:b w:val="false"/>
          <w:color w:val="000000"/>
          <w:sz w:val="24"/>
        </w:rPr>
        <w:t>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Original Effective Date, is the Owner, directly or indirectly, of securities of the Company representing more than fifty percent 50% of the combined voting power of the Company’s then outstanding securities.</w:t>
      </w:r>
    </w:p>
    <w:p>
      <w:pPr>
        <w:pStyle w:val="TextBody"/>
        <w:bidi w:val="0"/>
        <w:spacing w:lineRule="auto" w:line="288" w:before="0" w:after="240"/>
        <w:ind w:left="0" w:right="0" w:firstLine="720"/>
        <w:jc w:val="both"/>
        <w:rPr/>
      </w:pPr>
      <w:r>
        <w:rPr>
          <w:rFonts w:ascii="Times New Roman;serif" w:hAnsi="Times New Roman;serif"/>
          <w:b/>
          <w:color w:val="000000"/>
          <w:sz w:val="24"/>
        </w:rPr>
        <w:t>(x)    </w:t>
      </w:r>
      <w:r>
        <w:rPr>
          <w:color w:val="000000"/>
        </w:rPr>
        <w:t>“</w:t>
      </w:r>
      <w:r>
        <w:rPr>
          <w:rFonts w:ascii="Times New Roman;serif" w:hAnsi="Times New Roman;serif"/>
          <w:b/>
          <w:i/>
          <w:color w:val="000000"/>
          <w:sz w:val="24"/>
        </w:rPr>
        <w:t>Fair Market Value</w:t>
      </w:r>
      <w:r>
        <w:rPr>
          <w:color w:val="000000"/>
        </w:rPr>
        <w:t xml:space="preserve">” </w:t>
      </w:r>
      <w:r>
        <w:rPr>
          <w:rFonts w:ascii="Times New Roman;serif" w:hAnsi="Times New Roman;serif"/>
          <w:b w:val="false"/>
          <w:color w:val="000000"/>
          <w:sz w:val="24"/>
        </w:rPr>
        <w:t>means, as of any date, the value of the Common Stock determined as follows:</w:t>
      </w:r>
    </w:p>
    <w:p>
      <w:pPr>
        <w:pStyle w:val="TextBody"/>
        <w:bidi w:val="0"/>
        <w:spacing w:lineRule="auto" w:line="288" w:before="0" w:after="240"/>
        <w:ind w:left="0" w:right="0" w:firstLine="1440"/>
        <w:jc w:val="both"/>
        <w:rPr/>
      </w:pPr>
      <w:r>
        <w:rPr>
          <w:rFonts w:ascii="Times New Roman;serif" w:hAnsi="Times New Roman;serif"/>
          <w:b/>
          <w:color w:val="000000"/>
          <w:sz w:val="24"/>
        </w:rPr>
        <w:t>(i)    </w:t>
      </w:r>
      <w:r>
        <w:rPr>
          <w:rFonts w:ascii="Times New Roman;serif" w:hAnsi="Times New Roman;serif"/>
          <w:b w:val="false"/>
          <w:color w:val="000000"/>
          <w:sz w:val="24"/>
        </w:rPr>
        <w:t>Unless otherwise provided by the Board, if the Common Stock is listed on any established stock exchange or traded on any established market, then the Fair Market Value of a share of Common Stock will be the closing sales price for such stock as quoted on such exchange or market (or the exchange or market with the greatest volume of trading in the Common Stock) on the date of determination, as reported in a source the Board deems reliable.</w:t>
      </w:r>
    </w:p>
    <w:p>
      <w:pPr>
        <w:pStyle w:val="TextBody"/>
        <w:bidi w:val="0"/>
        <w:spacing w:lineRule="auto" w:line="288" w:before="0" w:after="240"/>
        <w:ind w:left="0" w:right="0" w:firstLine="1440"/>
        <w:jc w:val="both"/>
        <w:rPr/>
      </w:pPr>
      <w:r>
        <w:rPr>
          <w:rFonts w:ascii="Times New Roman;serif" w:hAnsi="Times New Roman;serif"/>
          <w:b/>
          <w:color w:val="000000"/>
          <w:sz w:val="24"/>
        </w:rPr>
        <w:t>(ii)    </w:t>
      </w:r>
      <w:r>
        <w:rPr>
          <w:rFonts w:ascii="Times New Roman;serif" w:hAnsi="Times New Roman;serif"/>
          <w:b w:val="false"/>
          <w:color w:val="000000"/>
          <w:sz w:val="24"/>
        </w:rPr>
        <w:t>Unless otherwise provided by the Board, if there is no closing sales price for the Common Stock on the date of determination, then the Fair Market Value of a share of Common Stock will be the closing sales price for such stock on the last preceding date for which such quotation exists.</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77520"/>
                <wp:effectExtent l="0" t="0" r="0" b="0"/>
                <wp:wrapNone/>
                <wp:docPr id="29" name="Frame28"/>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4"/>
        </w:rPr>
        <w:t>(iii)    </w:t>
      </w:r>
      <w:r>
        <w:rPr>
          <w:rFonts w:ascii="Times New Roman;serif" w:hAnsi="Times New Roman;serif"/>
          <w:b w:val="false"/>
          <w:color w:val="000000"/>
          <w:sz w:val="24"/>
        </w:rPr>
        <w:t xml:space="preserve">In the absence of such markets for the Common Stock, the Fair Market Value of a share of Common Stock will be determined by the Board in good faith and in a manner that complies with Sections 409A and 422 of the Code. </w:t>
      </w:r>
    </w:p>
    <w:p>
      <w:pPr>
        <w:pStyle w:val="TextBody"/>
        <w:bidi w:val="0"/>
        <w:spacing w:lineRule="auto" w:line="288" w:before="0" w:after="240"/>
        <w:ind w:left="0" w:right="0" w:firstLine="720"/>
        <w:jc w:val="both"/>
        <w:rPr/>
      </w:pPr>
      <w:r>
        <w:rPr>
          <w:rFonts w:ascii="Times New Roman;serif" w:hAnsi="Times New Roman;serif"/>
          <w:b/>
          <w:color w:val="000000"/>
          <w:sz w:val="24"/>
        </w:rPr>
        <w:t>(y)    </w:t>
      </w:r>
      <w:r>
        <w:rPr>
          <w:color w:val="000000"/>
        </w:rPr>
        <w:t>“</w:t>
      </w:r>
      <w:r>
        <w:rPr>
          <w:rFonts w:ascii="Times New Roman;serif" w:hAnsi="Times New Roman;serif"/>
          <w:b/>
          <w:i/>
          <w:color w:val="000000"/>
          <w:sz w:val="24"/>
        </w:rPr>
        <w:t>Full Value Award</w:t>
      </w:r>
      <w:r>
        <w:rPr>
          <w:color w:val="000000"/>
        </w:rPr>
        <w:t xml:space="preserve">” </w:t>
      </w:r>
      <w:r>
        <w:rPr>
          <w:rFonts w:ascii="Times New Roman;serif" w:hAnsi="Times New Roman;serif"/>
          <w:b w:val="false"/>
          <w:color w:val="000000"/>
          <w:sz w:val="24"/>
        </w:rPr>
        <w:t>means (i) a stock award granted under the Prior Plan or (ii) an Award, in each case that is not an Appreciation Award.</w:t>
      </w:r>
    </w:p>
    <w:p>
      <w:pPr>
        <w:pStyle w:val="TextBody"/>
        <w:bidi w:val="0"/>
        <w:spacing w:lineRule="auto" w:line="288" w:before="0" w:after="240"/>
        <w:ind w:left="0" w:right="0" w:firstLine="720"/>
        <w:jc w:val="both"/>
        <w:rPr/>
      </w:pPr>
      <w:r>
        <w:rPr>
          <w:rFonts w:ascii="Times New Roman;serif" w:hAnsi="Times New Roman;serif"/>
          <w:b/>
          <w:color w:val="000000"/>
          <w:sz w:val="24"/>
        </w:rPr>
        <w:t>(z)    </w:t>
      </w:r>
      <w:r>
        <w:rPr>
          <w:color w:val="000000"/>
        </w:rPr>
        <w:t>“</w:t>
      </w:r>
      <w:r>
        <w:rPr>
          <w:rFonts w:ascii="Times New Roman;serif" w:hAnsi="Times New Roman;serif"/>
          <w:b/>
          <w:i/>
          <w:color w:val="000000"/>
          <w:sz w:val="24"/>
        </w:rPr>
        <w:t>Incentive Stock Option</w:t>
      </w:r>
      <w:r>
        <w:rPr>
          <w:color w:val="000000"/>
        </w:rPr>
        <w:t xml:space="preserve">” </w:t>
      </w:r>
      <w:r>
        <w:rPr>
          <w:rFonts w:ascii="Times New Roman;serif" w:hAnsi="Times New Roman;serif"/>
          <w:b w:val="false"/>
          <w:color w:val="000000"/>
          <w:sz w:val="24"/>
        </w:rPr>
        <w:t>means an option granted pursuant to Section 5 that is intended to be, and that qualifies as, an “incentive stock option” within the meaning of Section 422 of the Code.</w:t>
      </w:r>
    </w:p>
    <w:p>
      <w:pPr>
        <w:pStyle w:val="TextBody"/>
        <w:bidi w:val="0"/>
        <w:spacing w:lineRule="auto" w:line="288" w:before="0" w:after="240"/>
        <w:ind w:left="0" w:right="0" w:firstLine="720"/>
        <w:jc w:val="both"/>
        <w:rPr/>
      </w:pPr>
      <w:r>
        <w:rPr>
          <w:rFonts w:ascii="Times New Roman;serif" w:hAnsi="Times New Roman;serif"/>
          <w:b/>
          <w:color w:val="000000"/>
          <w:sz w:val="24"/>
        </w:rPr>
        <w:t>(aa)    </w:t>
      </w:r>
      <w:r>
        <w:rPr>
          <w:color w:val="000000"/>
        </w:rPr>
        <w:t>“</w:t>
      </w:r>
      <w:r>
        <w:rPr>
          <w:rFonts w:ascii="Times New Roman;serif" w:hAnsi="Times New Roman;serif"/>
          <w:b/>
          <w:i/>
          <w:color w:val="000000"/>
          <w:sz w:val="24"/>
        </w:rPr>
        <w:t>Non-Employee Director</w:t>
      </w:r>
      <w:r>
        <w:rPr>
          <w:color w:val="000000"/>
        </w:rPr>
        <w:t xml:space="preserve">” </w:t>
      </w:r>
      <w:r>
        <w:rPr>
          <w:rFonts w:ascii="Times New Roman;serif" w:hAnsi="Times New Roman;serif"/>
          <w:b w:val="false"/>
          <w:color w:val="000000"/>
          <w:sz w:val="24"/>
        </w:rPr>
        <w:t>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serif" w:hAnsi="Times New Roman;serif"/>
          <w:b/>
          <w:i/>
          <w:color w:val="000000"/>
          <w:sz w:val="24"/>
        </w:rPr>
        <w:t>Regulation S-K</w:t>
      </w:r>
      <w:r>
        <w:rPr>
          <w:color w:val="000000"/>
        </w:rPr>
        <w:t>”</w:t>
      </w:r>
      <w:r>
        <w:rPr>
          <w:rFonts w:ascii="Times New Roman;serif" w:hAnsi="Times New Roman;serif"/>
          <w:b w:val="false"/>
          <w:color w:val="000000"/>
          <w:sz w:val="24"/>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bidi w:val="0"/>
        <w:spacing w:lineRule="auto" w:line="288" w:before="0" w:after="240"/>
        <w:ind w:left="0" w:right="0" w:firstLine="720"/>
        <w:jc w:val="both"/>
        <w:rPr/>
      </w:pPr>
      <w:r>
        <w:rPr>
          <w:rFonts w:ascii="Times New Roman;serif" w:hAnsi="Times New Roman;serif"/>
          <w:b/>
          <w:color w:val="000000"/>
          <w:sz w:val="24"/>
        </w:rPr>
        <w:t>(bb)    </w:t>
      </w:r>
      <w:r>
        <w:rPr>
          <w:color w:val="000000"/>
        </w:rPr>
        <w:t>“</w:t>
      </w:r>
      <w:r>
        <w:rPr>
          <w:rFonts w:ascii="Times New Roman;serif" w:hAnsi="Times New Roman;serif"/>
          <w:b/>
          <w:i/>
          <w:color w:val="000000"/>
          <w:sz w:val="24"/>
        </w:rPr>
        <w:t>Nonstatutory Stock Option</w:t>
      </w:r>
      <w:r>
        <w:rPr>
          <w:color w:val="000000"/>
        </w:rPr>
        <w:t xml:space="preserve">” </w:t>
      </w:r>
      <w:r>
        <w:rPr>
          <w:rFonts w:ascii="Times New Roman;serif" w:hAnsi="Times New Roman;serif"/>
          <w:b w:val="false"/>
          <w:color w:val="000000"/>
          <w:sz w:val="24"/>
        </w:rPr>
        <w:t>means an option granted pursuant to Section 5 that does not qualify as an Incentive Stock Option.</w:t>
      </w:r>
    </w:p>
    <w:p>
      <w:pPr>
        <w:pStyle w:val="TextBody"/>
        <w:bidi w:val="0"/>
        <w:spacing w:lineRule="auto" w:line="288" w:before="0" w:after="240"/>
        <w:ind w:left="0" w:right="0" w:firstLine="720"/>
        <w:jc w:val="both"/>
        <w:rPr/>
      </w:pPr>
      <w:r>
        <w:rPr>
          <w:rFonts w:ascii="Times New Roman;serif" w:hAnsi="Times New Roman;serif"/>
          <w:b/>
          <w:color w:val="000000"/>
          <w:sz w:val="24"/>
        </w:rPr>
        <w:t>(cc)    </w:t>
      </w:r>
      <w:r>
        <w:rPr>
          <w:color w:val="000000"/>
        </w:rPr>
        <w:t>“</w:t>
      </w:r>
      <w:r>
        <w:rPr>
          <w:rFonts w:ascii="Times New Roman;serif" w:hAnsi="Times New Roman;serif"/>
          <w:b/>
          <w:i/>
          <w:color w:val="000000"/>
          <w:sz w:val="24"/>
        </w:rPr>
        <w:t>Officer</w:t>
      </w:r>
      <w:r>
        <w:rPr>
          <w:color w:val="000000"/>
        </w:rPr>
        <w:t xml:space="preserve">” </w:t>
      </w:r>
      <w:r>
        <w:rPr>
          <w:rFonts w:ascii="Times New Roman;serif" w:hAnsi="Times New Roman;serif"/>
          <w:b w:val="false"/>
          <w:color w:val="000000"/>
          <w:sz w:val="24"/>
        </w:rPr>
        <w:t>means a person who is an officer of the Company within the meaning of Section 16 of the Exchange Act.</w:t>
      </w:r>
    </w:p>
    <w:p>
      <w:pPr>
        <w:pStyle w:val="TextBody"/>
        <w:bidi w:val="0"/>
        <w:spacing w:lineRule="auto" w:line="288" w:before="0" w:after="240"/>
        <w:ind w:left="0" w:right="0" w:firstLine="720"/>
        <w:jc w:val="both"/>
        <w:rPr/>
      </w:pPr>
      <w:r>
        <w:rPr>
          <w:rFonts w:ascii="Times New Roman;serif" w:hAnsi="Times New Roman;serif"/>
          <w:b/>
          <w:color w:val="000000"/>
          <w:sz w:val="24"/>
        </w:rPr>
        <w:t>(dd)    </w:t>
      </w:r>
      <w:r>
        <w:rPr>
          <w:color w:val="000000"/>
        </w:rPr>
        <w:t>“</w:t>
      </w:r>
      <w:r>
        <w:rPr>
          <w:rFonts w:ascii="Times New Roman;serif" w:hAnsi="Times New Roman;serif"/>
          <w:b/>
          <w:i/>
          <w:color w:val="000000"/>
          <w:sz w:val="24"/>
        </w:rPr>
        <w:t>Option</w:t>
      </w:r>
      <w:r>
        <w:rPr>
          <w:color w:val="000000"/>
        </w:rPr>
        <w:t xml:space="preserve">” </w:t>
      </w:r>
      <w:r>
        <w:rPr>
          <w:rFonts w:ascii="Times New Roman;serif" w:hAnsi="Times New Roman;serif"/>
          <w:b w:val="false"/>
          <w:color w:val="000000"/>
          <w:sz w:val="24"/>
        </w:rPr>
        <w:t>means an Incentive Stock Option or a Nonstatutory Stock Option to purchase shares of Common Stock granted pursuant to the Plan.</w:t>
      </w:r>
    </w:p>
    <w:p>
      <w:pPr>
        <w:pStyle w:val="TextBody"/>
        <w:bidi w:val="0"/>
        <w:spacing w:lineRule="auto" w:line="288" w:before="0" w:after="240"/>
        <w:ind w:left="0" w:right="0" w:firstLine="720"/>
        <w:jc w:val="both"/>
        <w:rPr/>
      </w:pPr>
      <w:r>
        <w:rPr>
          <w:rFonts w:ascii="Times New Roman;serif" w:hAnsi="Times New Roman;serif"/>
          <w:b/>
          <w:color w:val="000000"/>
          <w:sz w:val="24"/>
        </w:rPr>
        <w:t>(ee)    </w:t>
      </w:r>
      <w:r>
        <w:rPr>
          <w:color w:val="000000"/>
        </w:rPr>
        <w:t>“</w:t>
      </w:r>
      <w:r>
        <w:rPr>
          <w:rFonts w:ascii="Times New Roman;serif" w:hAnsi="Times New Roman;serif"/>
          <w:b/>
          <w:i/>
          <w:color w:val="000000"/>
          <w:sz w:val="24"/>
        </w:rPr>
        <w:t>Option Agreement</w:t>
      </w:r>
      <w:r>
        <w:rPr>
          <w:color w:val="000000"/>
        </w:rPr>
        <w:t xml:space="preserve">” </w:t>
      </w:r>
      <w:r>
        <w:rPr>
          <w:rFonts w:ascii="Times New Roman;serif" w:hAnsi="Times New Roman;serif"/>
          <w:b w:val="false"/>
          <w:color w:val="000000"/>
          <w:sz w:val="24"/>
        </w:rPr>
        <w:t>means a written agreement between the Company and a holder of an Option evidencing the terms and conditions of an Option grant. Each Option Agreement will be subject to the terms and conditions of the Plan.</w:t>
      </w:r>
    </w:p>
    <w:p>
      <w:pPr>
        <w:pStyle w:val="TextBody"/>
        <w:bidi w:val="0"/>
        <w:spacing w:lineRule="auto" w:line="288" w:before="0" w:after="240"/>
        <w:ind w:left="0" w:right="0" w:firstLine="720"/>
        <w:jc w:val="both"/>
        <w:rPr/>
      </w:pPr>
      <w:r>
        <w:rPr>
          <w:rFonts w:ascii="Times New Roman;serif" w:hAnsi="Times New Roman;serif"/>
          <w:b/>
          <w:color w:val="000000"/>
          <w:sz w:val="24"/>
        </w:rPr>
        <w:t>(ff)    </w:t>
      </w:r>
      <w:r>
        <w:rPr>
          <w:color w:val="000000"/>
        </w:rPr>
        <w:t>“</w:t>
      </w:r>
      <w:r>
        <w:rPr>
          <w:rFonts w:ascii="Times New Roman;serif" w:hAnsi="Times New Roman;serif"/>
          <w:b/>
          <w:i/>
          <w:color w:val="000000"/>
          <w:sz w:val="24"/>
        </w:rPr>
        <w:t>Original Adoption Date</w:t>
      </w:r>
      <w:r>
        <w:rPr>
          <w:color w:val="000000"/>
        </w:rPr>
        <w:t xml:space="preserve">” </w:t>
      </w:r>
      <w:r>
        <w:rPr>
          <w:rFonts w:ascii="Times New Roman;serif" w:hAnsi="Times New Roman;serif"/>
          <w:b w:val="false"/>
          <w:color w:val="000000"/>
          <w:sz w:val="24"/>
        </w:rPr>
        <w:t>means March 25, 2021, which is the date the Plan was originally adopted by the Board.</w:t>
      </w:r>
    </w:p>
    <w:p>
      <w:pPr>
        <w:pStyle w:val="TextBody"/>
        <w:bidi w:val="0"/>
        <w:spacing w:lineRule="auto" w:line="288" w:before="0" w:after="240"/>
        <w:ind w:left="0" w:right="0" w:firstLine="720"/>
        <w:jc w:val="both"/>
        <w:rPr/>
      </w:pPr>
      <w:r>
        <w:rPr>
          <w:rFonts w:ascii="Times New Roman;serif" w:hAnsi="Times New Roman;serif"/>
          <w:b/>
          <w:color w:val="000000"/>
          <w:sz w:val="24"/>
        </w:rPr>
        <w:t>(gg)    </w:t>
      </w:r>
      <w:r>
        <w:rPr>
          <w:color w:val="000000"/>
        </w:rPr>
        <w:t>“</w:t>
      </w:r>
      <w:r>
        <w:rPr>
          <w:rFonts w:ascii="Times New Roman;serif" w:hAnsi="Times New Roman;serif"/>
          <w:b/>
          <w:i/>
          <w:color w:val="000000"/>
          <w:sz w:val="24"/>
        </w:rPr>
        <w:t>Original Effective Date</w:t>
      </w:r>
      <w:r>
        <w:rPr>
          <w:color w:val="000000"/>
        </w:rPr>
        <w:t xml:space="preserve">” </w:t>
      </w:r>
      <w:r>
        <w:rPr>
          <w:rFonts w:ascii="Times New Roman;serif" w:hAnsi="Times New Roman;serif"/>
          <w:b w:val="false"/>
          <w:color w:val="000000"/>
          <w:sz w:val="24"/>
        </w:rPr>
        <w:t>means May 19, 2021.</w:t>
      </w:r>
    </w:p>
    <w:p>
      <w:pPr>
        <w:pStyle w:val="TextBody"/>
        <w:bidi w:val="0"/>
        <w:spacing w:lineRule="auto" w:line="288" w:before="0" w:after="240"/>
        <w:ind w:left="0" w:right="0" w:firstLine="720"/>
        <w:jc w:val="both"/>
        <w:rPr/>
      </w:pPr>
      <w:r>
        <w:rPr>
          <w:rFonts w:ascii="Times New Roman;serif" w:hAnsi="Times New Roman;serif"/>
          <w:b/>
          <w:color w:val="000000"/>
          <w:sz w:val="24"/>
        </w:rPr>
        <w:t>(hh)    </w:t>
      </w:r>
      <w:r>
        <w:rPr>
          <w:color w:val="000000"/>
        </w:rPr>
        <w:t>“</w:t>
      </w:r>
      <w:r>
        <w:rPr>
          <w:rFonts w:ascii="Times New Roman;serif" w:hAnsi="Times New Roman;serif"/>
          <w:b/>
          <w:i/>
          <w:color w:val="000000"/>
          <w:sz w:val="24"/>
        </w:rPr>
        <w:t>Other Stock Award</w:t>
      </w:r>
      <w:r>
        <w:rPr>
          <w:color w:val="000000"/>
        </w:rPr>
        <w:t xml:space="preserve">” </w:t>
      </w:r>
      <w:r>
        <w:rPr>
          <w:rFonts w:ascii="Times New Roman;serif" w:hAnsi="Times New Roman;serif"/>
          <w:b w:val="false"/>
          <w:color w:val="000000"/>
          <w:sz w:val="24"/>
        </w:rPr>
        <w:t>means an award based in whole or in part by reference to the Common Stock which is granted pursuant to the terms and conditions of Section 6(d).</w:t>
      </w:r>
    </w:p>
    <w:p>
      <w:pPr>
        <w:pStyle w:val="TextBody"/>
        <w:bidi w:val="0"/>
        <w:spacing w:lineRule="auto" w:line="288" w:before="0" w:after="240"/>
        <w:ind w:left="0" w:right="0" w:firstLine="720"/>
        <w:jc w:val="both"/>
        <w:rPr/>
      </w:pPr>
      <w:r>
        <w:rPr>
          <w:rFonts w:ascii="Times New Roman;serif" w:hAnsi="Times New Roman;serif"/>
          <w:b/>
          <w:color w:val="000000"/>
          <w:sz w:val="24"/>
        </w:rPr>
        <w:t>(ii)    </w:t>
      </w:r>
      <w:r>
        <w:rPr>
          <w:color w:val="000000"/>
        </w:rPr>
        <w:t>“</w:t>
      </w:r>
      <w:r>
        <w:rPr>
          <w:rFonts w:ascii="Times New Roman;serif" w:hAnsi="Times New Roman;serif"/>
          <w:b/>
          <w:i/>
          <w:color w:val="000000"/>
          <w:sz w:val="24"/>
        </w:rPr>
        <w:t>Other Stock Award Agreement</w:t>
      </w:r>
      <w:r>
        <w:rPr>
          <w:color w:val="000000"/>
        </w:rPr>
        <w:t xml:space="preserve">” </w:t>
      </w:r>
      <w:r>
        <w:rPr>
          <w:rFonts w:ascii="Times New Roman;serif" w:hAnsi="Times New Roman;serif"/>
          <w:b w:val="false"/>
          <w:color w:val="000000"/>
          <w:sz w:val="24"/>
        </w:rPr>
        <w:t>means a written agreement between the Company and a holder of an Other Stock Award evidencing the terms and conditions of an Other Stock Award grant. Each Other Stock Award Agreement will be subject to the terms and conditions of the Plan.</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77520"/>
                <wp:effectExtent l="0" t="0" r="0" b="0"/>
                <wp:wrapNone/>
                <wp:docPr id="30" name="Frame29"/>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(jj)    </w:t>
      </w:r>
      <w:r>
        <w:rPr>
          <w:color w:val="000000"/>
        </w:rPr>
        <w:t>“</w:t>
      </w:r>
      <w:r>
        <w:rPr>
          <w:rFonts w:ascii="Times New Roman;serif" w:hAnsi="Times New Roman;serif"/>
          <w:b/>
          <w:i/>
          <w:color w:val="000000"/>
          <w:sz w:val="24"/>
        </w:rPr>
        <w:t>Own,</w:t>
      </w:r>
      <w:r>
        <w:rPr>
          <w:color w:val="000000"/>
        </w:rPr>
        <w:t>” “</w:t>
      </w:r>
      <w:r>
        <w:rPr>
          <w:rFonts w:ascii="Times New Roman;serif" w:hAnsi="Times New Roman;serif"/>
          <w:b/>
          <w:i/>
          <w:color w:val="000000"/>
          <w:sz w:val="24"/>
        </w:rPr>
        <w:t>Owned,</w:t>
      </w:r>
      <w:r>
        <w:rPr>
          <w:color w:val="000000"/>
        </w:rPr>
        <w:t>” “</w:t>
      </w:r>
      <w:r>
        <w:rPr>
          <w:rFonts w:ascii="Times New Roman;serif" w:hAnsi="Times New Roman;serif"/>
          <w:b/>
          <w:i/>
          <w:color w:val="000000"/>
          <w:sz w:val="24"/>
        </w:rPr>
        <w:t>Owner,</w:t>
      </w:r>
      <w:r>
        <w:rPr>
          <w:color w:val="000000"/>
        </w:rPr>
        <w:t>” “</w:t>
      </w:r>
      <w:r>
        <w:rPr>
          <w:rFonts w:ascii="Times New Roman;serif" w:hAnsi="Times New Roman;serif"/>
          <w:b/>
          <w:i/>
          <w:color w:val="000000"/>
          <w:sz w:val="24"/>
        </w:rPr>
        <w:t>Ownership</w:t>
      </w:r>
      <w:r>
        <w:rPr>
          <w:color w:val="000000"/>
        </w:rPr>
        <w:t xml:space="preserve">” </w:t>
      </w:r>
      <w:r>
        <w:rPr>
          <w:rFonts w:ascii="Times New Roman;serif" w:hAnsi="Times New Roman;serif"/>
          <w:b w:val="false"/>
          <w:color w:val="000000"/>
          <w:sz w:val="24"/>
        </w:rPr>
        <w:t>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lineRule="auto" w:line="288" w:before="0" w:after="240"/>
        <w:ind w:left="0" w:right="0" w:firstLine="720"/>
        <w:jc w:val="both"/>
        <w:rPr/>
      </w:pPr>
      <w:r>
        <w:rPr>
          <w:rFonts w:ascii="Times New Roman;serif" w:hAnsi="Times New Roman;serif"/>
          <w:b/>
          <w:color w:val="000000"/>
          <w:sz w:val="24"/>
        </w:rPr>
        <w:t>(kk)    </w:t>
      </w:r>
      <w:r>
        <w:rPr>
          <w:color w:val="000000"/>
        </w:rPr>
        <w:t>“</w:t>
      </w:r>
      <w:r>
        <w:rPr>
          <w:rFonts w:ascii="Times New Roman;serif" w:hAnsi="Times New Roman;serif"/>
          <w:b/>
          <w:i/>
          <w:color w:val="000000"/>
          <w:sz w:val="24"/>
        </w:rPr>
        <w:t>Participant</w:t>
      </w:r>
      <w:r>
        <w:rPr>
          <w:color w:val="000000"/>
        </w:rPr>
        <w:t xml:space="preserve">” </w:t>
      </w:r>
      <w:r>
        <w:rPr>
          <w:rFonts w:ascii="Times New Roman;serif" w:hAnsi="Times New Roman;serif"/>
          <w:b w:val="false"/>
          <w:color w:val="000000"/>
          <w:sz w:val="24"/>
        </w:rPr>
        <w:t>means a person to whom an Award is granted pursuant to the Plan or, if applicable, such other person who holds an outstanding Award.</w:t>
      </w:r>
    </w:p>
    <w:p>
      <w:pPr>
        <w:pStyle w:val="TextBody"/>
        <w:bidi w:val="0"/>
        <w:spacing w:lineRule="auto" w:line="288" w:before="0" w:after="240"/>
        <w:ind w:left="0" w:right="0" w:firstLine="720"/>
        <w:jc w:val="both"/>
        <w:rPr/>
      </w:pPr>
      <w:r>
        <w:rPr>
          <w:rFonts w:ascii="Times New Roman;serif" w:hAnsi="Times New Roman;serif"/>
          <w:b/>
          <w:color w:val="000000"/>
          <w:sz w:val="24"/>
        </w:rPr>
        <w:t>(ll)    </w:t>
      </w:r>
      <w:r>
        <w:rPr>
          <w:color w:val="000000"/>
        </w:rPr>
        <w:t>“</w:t>
      </w:r>
      <w:r>
        <w:rPr>
          <w:rFonts w:ascii="Times New Roman;serif" w:hAnsi="Times New Roman;serif"/>
          <w:b/>
          <w:i/>
          <w:color w:val="000000"/>
          <w:sz w:val="24"/>
        </w:rPr>
        <w:t>Performance Criteria</w:t>
      </w:r>
      <w:r>
        <w:rPr>
          <w:color w:val="000000"/>
        </w:rPr>
        <w:t xml:space="preserve">” </w:t>
      </w:r>
      <w:r>
        <w:rPr>
          <w:rFonts w:ascii="Times New Roman;serif" w:hAnsi="Times New Roman;serif"/>
          <w:b w:val="false"/>
          <w:color w:val="000000"/>
          <w:sz w:val="24"/>
        </w:rPr>
        <w:t>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 (xv) increases in revenue or product revenue; (xvi) expenses and cost reduction goals; (xvii) improvement in or attainment of working capital levels; (xviii) economic value added (or an equivalent metric); (xix) market share; (xx) cash flow; (xxi) cash flow per share; (xxii) share price performance; (xxiii) debt reduction; (xxiv) implementation or completion of projects or processes; (xxv) customer satisfaction; (xxvi) stockholders’ equity; (xxvii) capital expenditures; (xxviii) debt levels; (xxix) operating profit or net operating profit; (xxx) growth of net income or operating income; (xxxi) billings; and (xxxii) any other measures of performance selected by the Board. Partial achievement of the specified criteria may result in the payment or vesting corresponding to the degree of achievement as specified in the applicable Award Agreement.</w:t>
      </w:r>
    </w:p>
    <w:p>
      <w:pPr>
        <w:pStyle w:val="TextBody"/>
        <w:bidi w:val="0"/>
        <w:spacing w:lineRule="auto" w:line="288" w:before="0" w:after="240"/>
        <w:ind w:left="0" w:right="0" w:firstLine="720"/>
        <w:jc w:val="both"/>
        <w:rPr/>
      </w:pPr>
      <w:r>
        <w:rPr>
          <w:rFonts w:ascii="Times New Roman;serif" w:hAnsi="Times New Roman;serif"/>
          <w:b/>
          <w:color w:val="000000"/>
          <w:sz w:val="24"/>
        </w:rPr>
        <w:t>(mm)    </w:t>
      </w:r>
      <w:r>
        <w:rPr>
          <w:color w:val="000000"/>
        </w:rPr>
        <w:t>“</w:t>
      </w:r>
      <w:r>
        <w:rPr>
          <w:rFonts w:ascii="Times New Roman;serif" w:hAnsi="Times New Roman;serif"/>
          <w:b/>
          <w:i/>
          <w:color w:val="000000"/>
          <w:sz w:val="24"/>
        </w:rPr>
        <w:t>Performance Goals</w:t>
      </w:r>
      <w:r>
        <w:rPr>
          <w:color w:val="000000"/>
        </w:rPr>
        <w:t xml:space="preserve">” </w:t>
      </w:r>
      <w:r>
        <w:rPr>
          <w:rFonts w:ascii="Times New Roman;serif" w:hAnsi="Times New Roman;serif"/>
          <w:b w:val="false"/>
          <w:color w:val="000000"/>
          <w:sz w:val="24"/>
        </w:rPr>
        <w:t>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The Board is authorized to make appropriate adjustments in the method of calculating the attainment of Performance Goals for a Performance Period as follows: (i) to exclude restructuring and/or other nonrecurring charges; (ii) to exclude exchange rate effects, as applicable, for non-U.S. dollar denominated Performance Goals; (iii) to exclude the effects of changes to generally accepted accounting principles; (iv) to exclude the effects of any statutory adjustments to corporate tax rates; (v) to exclude the effects of items that are “unusual” in nature or occur “infrequently” as determined under generally accepted accounting principles; and (vi) to make other appropriate adjustments selected by the Board.</w:t>
      </w:r>
    </w:p>
    <w:p>
      <w:pPr>
        <w:pStyle w:val="TextBody"/>
        <w:bidi w:val="0"/>
        <w:spacing w:lineRule="auto" w:line="288" w:before="0" w:after="240"/>
        <w:ind w:left="0" w:right="0" w:firstLine="720"/>
        <w:jc w:val="both"/>
        <w:rPr/>
      </w:pPr>
      <w:r>
        <w:rPr>
          <w:rFonts w:ascii="Times New Roman;serif" w:hAnsi="Times New Roman;serif"/>
          <w:b/>
          <w:color w:val="000000"/>
          <w:sz w:val="24"/>
        </w:rPr>
        <w:t>(nn)    </w:t>
      </w:r>
      <w:r>
        <w:rPr>
          <w:color w:val="000000"/>
        </w:rPr>
        <w:t>“</w:t>
      </w:r>
      <w:r>
        <w:rPr>
          <w:rFonts w:ascii="Times New Roman;serif" w:hAnsi="Times New Roman;serif"/>
          <w:b/>
          <w:i/>
          <w:color w:val="000000"/>
          <w:sz w:val="24"/>
        </w:rPr>
        <w:t>Performance Period</w:t>
      </w:r>
      <w:r>
        <w:rPr>
          <w:color w:val="000000"/>
        </w:rPr>
        <w:t xml:space="preserve">” </w:t>
      </w:r>
      <w:r>
        <w:rPr>
          <w:rFonts w:ascii="Times New Roman;serif" w:hAnsi="Times New Roman;serif"/>
          <w:b w:val="false"/>
          <w:color w:val="000000"/>
          <w:sz w:val="24"/>
        </w:rPr>
        <w:t xml:space="preserve">means the period of time selected by the Board over which the attainment of one or more Performance Goals will be measured for the purpose of </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77520"/>
                <wp:effectExtent l="0" t="0" r="0" b="0"/>
                <wp:wrapNone/>
                <wp:docPr id="31" name="Frame30"/>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determining a Participant’s right to and the payment of a Performance Stock Award. Performance Periods may be of varying and overlapping duration, at the sole discretion of the Board.</w:t>
      </w:r>
    </w:p>
    <w:p>
      <w:pPr>
        <w:pStyle w:val="TextBody"/>
        <w:bidi w:val="0"/>
        <w:spacing w:lineRule="auto" w:line="288" w:before="0" w:after="240"/>
        <w:ind w:left="0" w:right="0" w:firstLine="720"/>
        <w:jc w:val="both"/>
        <w:rPr/>
      </w:pPr>
      <w:r>
        <w:rPr>
          <w:rFonts w:ascii="Times New Roman;serif" w:hAnsi="Times New Roman;serif"/>
          <w:b/>
          <w:color w:val="000000"/>
          <w:sz w:val="24"/>
        </w:rPr>
        <w:t>(oo)    </w:t>
      </w:r>
      <w:r>
        <w:rPr>
          <w:color w:val="000000"/>
        </w:rPr>
        <w:t>“</w:t>
      </w:r>
      <w:r>
        <w:rPr>
          <w:rFonts w:ascii="Times New Roman;serif" w:hAnsi="Times New Roman;serif"/>
          <w:b/>
          <w:i/>
          <w:color w:val="000000"/>
          <w:sz w:val="24"/>
        </w:rPr>
        <w:t>Performance Stock Award</w:t>
      </w:r>
      <w:r>
        <w:rPr>
          <w:color w:val="000000"/>
        </w:rPr>
        <w:t xml:space="preserve">” </w:t>
      </w:r>
      <w:r>
        <w:rPr>
          <w:rFonts w:ascii="Times New Roman;serif" w:hAnsi="Times New Roman;serif"/>
          <w:b w:val="false"/>
          <w:color w:val="000000"/>
          <w:sz w:val="24"/>
        </w:rPr>
        <w:t>means an Award granted under the terms and conditions of Section 6(c).</w:t>
      </w:r>
    </w:p>
    <w:p>
      <w:pPr>
        <w:pStyle w:val="TextBody"/>
        <w:bidi w:val="0"/>
        <w:spacing w:lineRule="auto" w:line="288" w:before="0" w:after="240"/>
        <w:ind w:left="0" w:right="0" w:firstLine="720"/>
        <w:jc w:val="both"/>
        <w:rPr/>
      </w:pPr>
      <w:r>
        <w:rPr>
          <w:rFonts w:ascii="Times New Roman;serif" w:hAnsi="Times New Roman;serif"/>
          <w:b/>
          <w:color w:val="000000"/>
          <w:sz w:val="24"/>
        </w:rPr>
        <w:t>(pp)    </w:t>
      </w:r>
      <w:r>
        <w:rPr>
          <w:color w:val="000000"/>
        </w:rPr>
        <w:t>“</w:t>
      </w:r>
      <w:r>
        <w:rPr>
          <w:rFonts w:ascii="Times New Roman;serif" w:hAnsi="Times New Roman;serif"/>
          <w:b/>
          <w:i/>
          <w:color w:val="000000"/>
          <w:sz w:val="24"/>
        </w:rPr>
        <w:t>Plan</w:t>
      </w:r>
      <w:r>
        <w:rPr>
          <w:color w:val="000000"/>
        </w:rPr>
        <w:t xml:space="preserve">” </w:t>
      </w:r>
      <w:r>
        <w:rPr>
          <w:rFonts w:ascii="Times New Roman;serif" w:hAnsi="Times New Roman;serif"/>
          <w:b w:val="false"/>
          <w:color w:val="000000"/>
          <w:sz w:val="24"/>
        </w:rPr>
        <w:t>means this Enphase Energy, Inc. 2021 Equity Incentive Plan.</w:t>
      </w:r>
    </w:p>
    <w:p>
      <w:pPr>
        <w:pStyle w:val="TextBody"/>
        <w:bidi w:val="0"/>
        <w:spacing w:lineRule="auto" w:line="288" w:before="0" w:after="240"/>
        <w:ind w:left="0" w:right="0" w:firstLine="720"/>
        <w:jc w:val="both"/>
        <w:rPr/>
      </w:pPr>
      <w:r>
        <w:rPr>
          <w:rFonts w:ascii="Times New Roman;serif" w:hAnsi="Times New Roman;serif"/>
          <w:b/>
          <w:color w:val="000000"/>
          <w:sz w:val="24"/>
        </w:rPr>
        <w:t>(qq)    </w:t>
      </w:r>
      <w:r>
        <w:rPr>
          <w:color w:val="000000"/>
        </w:rPr>
        <w:t>“</w:t>
      </w:r>
      <w:r>
        <w:rPr>
          <w:rFonts w:ascii="Times New Roman;serif" w:hAnsi="Times New Roman;serif"/>
          <w:b/>
          <w:i/>
          <w:color w:val="000000"/>
          <w:sz w:val="24"/>
        </w:rPr>
        <w:t>Prior Plan</w:t>
      </w:r>
      <w:r>
        <w:rPr>
          <w:color w:val="000000"/>
        </w:rPr>
        <w:t xml:space="preserve">” </w:t>
      </w:r>
      <w:r>
        <w:rPr>
          <w:rFonts w:ascii="Times New Roman;serif" w:hAnsi="Times New Roman;serif"/>
          <w:b w:val="false"/>
          <w:color w:val="000000"/>
          <w:sz w:val="24"/>
        </w:rPr>
        <w:t>means the Enphase Energy, Inc. 2011 Equity Incentive Plan.</w:t>
      </w:r>
    </w:p>
    <w:p>
      <w:pPr>
        <w:pStyle w:val="TextBody"/>
        <w:bidi w:val="0"/>
        <w:spacing w:lineRule="auto" w:line="288" w:before="0" w:after="240"/>
        <w:ind w:left="0" w:right="0" w:firstLine="720"/>
        <w:jc w:val="both"/>
        <w:rPr/>
      </w:pPr>
      <w:r>
        <w:rPr>
          <w:rFonts w:ascii="Times New Roman;serif" w:hAnsi="Times New Roman;serif"/>
          <w:b/>
          <w:color w:val="000000"/>
          <w:sz w:val="24"/>
        </w:rPr>
        <w:t>(rr)    </w:t>
      </w:r>
      <w:r>
        <w:rPr>
          <w:color w:val="000000"/>
        </w:rPr>
        <w:t>“</w:t>
      </w:r>
      <w:r>
        <w:rPr>
          <w:rFonts w:ascii="Times New Roman;serif" w:hAnsi="Times New Roman;serif"/>
          <w:b/>
          <w:i/>
          <w:color w:val="000000"/>
          <w:sz w:val="24"/>
        </w:rPr>
        <w:t>Prior Plan Award</w:t>
      </w:r>
      <w:r>
        <w:rPr>
          <w:color w:val="000000"/>
        </w:rPr>
        <w:t xml:space="preserve">” </w:t>
      </w:r>
      <w:r>
        <w:rPr>
          <w:rFonts w:ascii="Times New Roman;serif" w:hAnsi="Times New Roman;serif"/>
          <w:b w:val="false"/>
          <w:color w:val="000000"/>
          <w:sz w:val="24"/>
        </w:rPr>
        <w:t>means an award granted under the Prior Plan that is outstanding as of the Original Effective Date.</w:t>
      </w:r>
    </w:p>
    <w:p>
      <w:pPr>
        <w:pStyle w:val="TextBody"/>
        <w:bidi w:val="0"/>
        <w:spacing w:lineRule="auto" w:line="288" w:before="0" w:after="240"/>
        <w:ind w:left="0" w:right="0" w:firstLine="720"/>
        <w:jc w:val="both"/>
        <w:rPr/>
      </w:pPr>
      <w:r>
        <w:rPr>
          <w:rFonts w:ascii="Times New Roman;serif" w:hAnsi="Times New Roman;serif"/>
          <w:b/>
          <w:color w:val="000000"/>
          <w:sz w:val="24"/>
        </w:rPr>
        <w:t>(ss)    </w:t>
      </w:r>
      <w:r>
        <w:rPr>
          <w:color w:val="000000"/>
        </w:rPr>
        <w:t>“</w:t>
      </w:r>
      <w:r>
        <w:rPr>
          <w:rFonts w:ascii="Times New Roman;serif" w:hAnsi="Times New Roman;serif"/>
          <w:b/>
          <w:i/>
          <w:color w:val="000000"/>
          <w:sz w:val="24"/>
        </w:rPr>
        <w:t>Prior Plan Returning Shares</w:t>
      </w:r>
      <w:r>
        <w:rPr>
          <w:color w:val="000000"/>
        </w:rPr>
        <w:t xml:space="preserve">” </w:t>
      </w:r>
      <w:r>
        <w:rPr>
          <w:rFonts w:ascii="Times New Roman;serif" w:hAnsi="Times New Roman;serif"/>
          <w:b w:val="false"/>
          <w:color w:val="000000"/>
          <w:sz w:val="24"/>
        </w:rPr>
        <w:t>means: (i) any shares of Common Stock subject to a Prior Plan Award that on or following the Original Effective Date are not issued because such Prior Plan Award or any portion thereof expires or otherwise terminates without all of the shares covered by such Prior Plan Award having been issued; (ii) any shares of Common Stock subject to a Prior Plan Award that on or following the Original Effective Date are not issued because such Prior Plan Award or any portion thereof is settled in cash; (iii) any shares of Common Stock issued pursuant to a Prior Plan Award that on or following the Original Effective Date are forfeited back to or repurchased by the Company because of the failure to meet a contingency or condition required for the vesting of such shares; (iv) any shares of Common Stock that on or following the Original Effective Date are reacquired or withheld (or not issued) by the Company to satisfy the purchase price of a Prior Plan Award that is a Full Value Award; and (v) any shares of Common Stock that on or following the Original Effective Date are reacquired or withheld (or not issued) by the Company to satisfy a tax withholding obligation in connection with a Prior Plan Award that is a Full Value Award.</w:t>
      </w:r>
    </w:p>
    <w:p>
      <w:pPr>
        <w:pStyle w:val="TextBody"/>
        <w:bidi w:val="0"/>
        <w:spacing w:lineRule="auto" w:line="288" w:before="0" w:after="240"/>
        <w:ind w:left="0" w:right="0" w:firstLine="720"/>
        <w:jc w:val="both"/>
        <w:rPr/>
      </w:pPr>
      <w:r>
        <w:rPr>
          <w:rFonts w:ascii="Times New Roman;serif" w:hAnsi="Times New Roman;serif"/>
          <w:b/>
          <w:color w:val="000000"/>
          <w:sz w:val="24"/>
        </w:rPr>
        <w:t>(tt)    </w:t>
      </w:r>
      <w:r>
        <w:rPr>
          <w:color w:val="000000"/>
        </w:rPr>
        <w:t>“</w:t>
      </w:r>
      <w:r>
        <w:rPr>
          <w:rFonts w:ascii="Times New Roman;serif" w:hAnsi="Times New Roman;serif"/>
          <w:b/>
          <w:i/>
          <w:color w:val="000000"/>
          <w:sz w:val="24"/>
        </w:rPr>
        <w:t>Restricted Stock Award</w:t>
      </w:r>
      <w:r>
        <w:rPr>
          <w:color w:val="000000"/>
        </w:rPr>
        <w:t xml:space="preserve">” </w:t>
      </w:r>
      <w:r>
        <w:rPr>
          <w:rFonts w:ascii="Times New Roman;serif" w:hAnsi="Times New Roman;serif"/>
          <w:b w:val="false"/>
          <w:color w:val="000000"/>
          <w:sz w:val="24"/>
        </w:rPr>
        <w:t>means an award of shares of Common Stock which is granted pursuant to the terms and conditions of Section 6(a).</w:t>
      </w:r>
    </w:p>
    <w:p>
      <w:pPr>
        <w:pStyle w:val="TextBody"/>
        <w:bidi w:val="0"/>
        <w:spacing w:lineRule="auto" w:line="288" w:before="0" w:after="240"/>
        <w:ind w:left="0" w:right="0" w:firstLine="720"/>
        <w:jc w:val="both"/>
        <w:rPr/>
      </w:pPr>
      <w:r>
        <w:rPr>
          <w:rFonts w:ascii="Times New Roman;serif" w:hAnsi="Times New Roman;serif"/>
          <w:b/>
          <w:color w:val="000000"/>
          <w:sz w:val="24"/>
        </w:rPr>
        <w:t>(uu)    </w:t>
      </w:r>
      <w:r>
        <w:rPr>
          <w:color w:val="000000"/>
        </w:rPr>
        <w:t>“</w:t>
      </w:r>
      <w:r>
        <w:rPr>
          <w:rFonts w:ascii="Times New Roman;serif" w:hAnsi="Times New Roman;serif"/>
          <w:b/>
          <w:i/>
          <w:color w:val="000000"/>
          <w:sz w:val="24"/>
        </w:rPr>
        <w:t>Restricted Stock Award Agreement</w:t>
      </w:r>
      <w:r>
        <w:rPr>
          <w:color w:val="000000"/>
        </w:rPr>
        <w:t xml:space="preserve">” </w:t>
      </w:r>
      <w:r>
        <w:rPr>
          <w:rFonts w:ascii="Times New Roman;serif" w:hAnsi="Times New Roman;serif"/>
          <w:b w:val="false"/>
          <w:color w:val="000000"/>
          <w:sz w:val="24"/>
        </w:rPr>
        <w:t>means a written agreement between the Company and a holder of a Restricted Stock Award evidencing the terms and conditions of a Restricted Stock Award grant. Each Restricted Stock Award Agreement will be subject to the terms and conditions of the Plan.</w:t>
      </w:r>
    </w:p>
    <w:p>
      <w:pPr>
        <w:pStyle w:val="TextBody"/>
        <w:bidi w:val="0"/>
        <w:spacing w:lineRule="auto" w:line="288" w:before="0" w:after="240"/>
        <w:ind w:left="0" w:right="0" w:firstLine="720"/>
        <w:jc w:val="both"/>
        <w:rPr/>
      </w:pPr>
      <w:r>
        <w:rPr>
          <w:rFonts w:ascii="Times New Roman;serif" w:hAnsi="Times New Roman;serif"/>
          <w:b/>
          <w:color w:val="000000"/>
          <w:sz w:val="24"/>
        </w:rPr>
        <w:t>(vv)    </w:t>
      </w:r>
      <w:r>
        <w:rPr>
          <w:color w:val="000000"/>
        </w:rPr>
        <w:t>“</w:t>
      </w:r>
      <w:r>
        <w:rPr>
          <w:rFonts w:ascii="Times New Roman;serif" w:hAnsi="Times New Roman;serif"/>
          <w:b/>
          <w:i/>
          <w:color w:val="000000"/>
          <w:sz w:val="24"/>
        </w:rPr>
        <w:t>Restricted Stock Unit Award</w:t>
      </w:r>
      <w:r>
        <w:rPr>
          <w:color w:val="000000"/>
        </w:rPr>
        <w:t xml:space="preserve">” </w:t>
      </w:r>
      <w:r>
        <w:rPr>
          <w:rFonts w:ascii="Times New Roman;serif" w:hAnsi="Times New Roman;serif"/>
          <w:b w:val="false"/>
          <w:color w:val="000000"/>
          <w:sz w:val="24"/>
        </w:rPr>
        <w:t>means a right to receive shares of Common Stock which is granted pursuant to the terms and conditions of Section 6(b).</w:t>
      </w:r>
    </w:p>
    <w:p>
      <w:pPr>
        <w:pStyle w:val="TextBody"/>
        <w:bidi w:val="0"/>
        <w:spacing w:lineRule="auto" w:line="288" w:before="0" w:after="240"/>
        <w:ind w:left="0" w:right="0" w:firstLine="720"/>
        <w:jc w:val="both"/>
        <w:rPr/>
      </w:pPr>
      <w:r>
        <w:rPr>
          <w:rFonts w:ascii="Times New Roman;serif" w:hAnsi="Times New Roman;serif"/>
          <w:b/>
          <w:color w:val="000000"/>
          <w:sz w:val="24"/>
        </w:rPr>
        <w:t>(ww)    </w:t>
      </w:r>
      <w:r>
        <w:rPr>
          <w:color w:val="000000"/>
        </w:rPr>
        <w:t>“</w:t>
      </w:r>
      <w:r>
        <w:rPr>
          <w:rFonts w:ascii="Times New Roman;serif" w:hAnsi="Times New Roman;serif"/>
          <w:b/>
          <w:i/>
          <w:color w:val="000000"/>
          <w:sz w:val="24"/>
        </w:rPr>
        <w:t>Restricted Stock Unit Award Agreement</w:t>
      </w:r>
      <w:r>
        <w:rPr>
          <w:color w:val="000000"/>
        </w:rPr>
        <w:t xml:space="preserve">” </w:t>
      </w:r>
      <w:r>
        <w:rPr>
          <w:rFonts w:ascii="Times New Roman;serif" w:hAnsi="Times New Roman;serif"/>
          <w:b w:val="false"/>
          <w:color w:val="000000"/>
          <w:sz w:val="24"/>
        </w:rPr>
        <w:t>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77520"/>
                <wp:effectExtent l="0" t="0" r="0" b="0"/>
                <wp:wrapNone/>
                <wp:docPr id="32" name="Frame31"/>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(xx)    </w:t>
      </w:r>
      <w:r>
        <w:rPr>
          <w:color w:val="000000"/>
        </w:rPr>
        <w:t>“</w:t>
      </w:r>
      <w:r>
        <w:rPr>
          <w:rFonts w:ascii="Times New Roman;serif" w:hAnsi="Times New Roman;serif"/>
          <w:b/>
          <w:i/>
          <w:color w:val="000000"/>
          <w:sz w:val="24"/>
        </w:rPr>
        <w:t>Rule 16b-3</w:t>
      </w:r>
      <w:r>
        <w:rPr>
          <w:color w:val="000000"/>
        </w:rPr>
        <w:t xml:space="preserve">” </w:t>
      </w:r>
      <w:r>
        <w:rPr>
          <w:rFonts w:ascii="Times New Roman;serif" w:hAnsi="Times New Roman;serif"/>
          <w:b w:val="false"/>
          <w:color w:val="000000"/>
          <w:sz w:val="24"/>
        </w:rPr>
        <w:t>means Rule 16b-3 promulgated under the Exchange Act or any successor to Rule 16b-3, as in effect from time to time.</w:t>
      </w:r>
    </w:p>
    <w:p>
      <w:pPr>
        <w:pStyle w:val="TextBody"/>
        <w:bidi w:val="0"/>
        <w:spacing w:lineRule="auto" w:line="288" w:before="0" w:after="240"/>
        <w:ind w:left="0" w:right="0" w:firstLine="720"/>
        <w:jc w:val="both"/>
        <w:rPr/>
      </w:pPr>
      <w:r>
        <w:rPr>
          <w:rFonts w:ascii="Times New Roman;serif" w:hAnsi="Times New Roman;serif"/>
          <w:b/>
          <w:color w:val="000000"/>
          <w:sz w:val="24"/>
        </w:rPr>
        <w:t>(yy)    </w:t>
      </w:r>
      <w:r>
        <w:rPr>
          <w:color w:val="000000"/>
        </w:rPr>
        <w:t>“</w:t>
      </w:r>
      <w:r>
        <w:rPr>
          <w:rFonts w:ascii="Times New Roman;serif" w:hAnsi="Times New Roman;serif"/>
          <w:b/>
          <w:i/>
          <w:color w:val="000000"/>
          <w:sz w:val="24"/>
        </w:rPr>
        <w:t>Rule 405</w:t>
      </w:r>
      <w:r>
        <w:rPr>
          <w:color w:val="000000"/>
        </w:rPr>
        <w:t xml:space="preserve">” </w:t>
      </w:r>
      <w:r>
        <w:rPr>
          <w:rFonts w:ascii="Times New Roman;serif" w:hAnsi="Times New Roman;serif"/>
          <w:b w:val="false"/>
          <w:color w:val="000000"/>
          <w:sz w:val="24"/>
        </w:rPr>
        <w:t xml:space="preserve">means Rule 405 promulgated under the Securities Act. </w:t>
      </w:r>
    </w:p>
    <w:p>
      <w:pPr>
        <w:pStyle w:val="TextBody"/>
        <w:bidi w:val="0"/>
        <w:spacing w:lineRule="auto" w:line="288" w:before="0" w:after="240"/>
        <w:ind w:left="0" w:right="0" w:firstLine="720"/>
        <w:jc w:val="both"/>
        <w:rPr/>
      </w:pPr>
      <w:r>
        <w:rPr>
          <w:rFonts w:ascii="Times New Roman;serif" w:hAnsi="Times New Roman;serif"/>
          <w:b/>
          <w:color w:val="000000"/>
          <w:sz w:val="24"/>
        </w:rPr>
        <w:t>(zz)    </w:t>
      </w:r>
      <w:r>
        <w:rPr>
          <w:color w:val="000000"/>
        </w:rPr>
        <w:t>“</w:t>
      </w:r>
      <w:r>
        <w:rPr>
          <w:rFonts w:ascii="Times New Roman;serif" w:hAnsi="Times New Roman;serif"/>
          <w:b/>
          <w:i/>
          <w:color w:val="000000"/>
          <w:sz w:val="24"/>
        </w:rPr>
        <w:t>Securities Act</w:t>
      </w:r>
      <w:r>
        <w:rPr>
          <w:color w:val="000000"/>
        </w:rPr>
        <w:t xml:space="preserve">” </w:t>
      </w:r>
      <w:r>
        <w:rPr>
          <w:rFonts w:ascii="Times New Roman;serif" w:hAnsi="Times New Roman;serif"/>
          <w:b w:val="false"/>
          <w:color w:val="000000"/>
          <w:sz w:val="24"/>
        </w:rPr>
        <w:t>means the Securities Act of 1933, as amended, and the rules and regulations promulgated thereunder.</w:t>
      </w:r>
    </w:p>
    <w:p>
      <w:pPr>
        <w:pStyle w:val="TextBody"/>
        <w:bidi w:val="0"/>
        <w:spacing w:lineRule="auto" w:line="288" w:before="0" w:after="240"/>
        <w:ind w:left="0" w:right="0" w:firstLine="720"/>
        <w:jc w:val="both"/>
        <w:rPr/>
      </w:pPr>
      <w:r>
        <w:rPr>
          <w:rFonts w:ascii="Times New Roman;serif" w:hAnsi="Times New Roman;serif"/>
          <w:b/>
          <w:color w:val="000000"/>
          <w:sz w:val="24"/>
        </w:rPr>
        <w:t>(aaa)    </w:t>
      </w:r>
      <w:r>
        <w:rPr>
          <w:color w:val="000000"/>
        </w:rPr>
        <w:t>“</w:t>
      </w:r>
      <w:r>
        <w:rPr>
          <w:rFonts w:ascii="Times New Roman;serif" w:hAnsi="Times New Roman;serif"/>
          <w:b/>
          <w:i/>
          <w:color w:val="000000"/>
          <w:sz w:val="24"/>
        </w:rPr>
        <w:t>Stock Appreciation Right</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SAR</w:t>
      </w:r>
      <w:r>
        <w:rPr>
          <w:color w:val="000000"/>
        </w:rPr>
        <w:t xml:space="preserve">” </w:t>
      </w:r>
      <w:r>
        <w:rPr>
          <w:rFonts w:ascii="Times New Roman;serif" w:hAnsi="Times New Roman;serif"/>
          <w:b w:val="false"/>
          <w:color w:val="000000"/>
          <w:sz w:val="24"/>
        </w:rPr>
        <w:t>means a right to receive the appreciation on Common Stock that is granted pursuant to the terms and conditions of Section 5.</w:t>
      </w:r>
    </w:p>
    <w:p>
      <w:pPr>
        <w:pStyle w:val="TextBody"/>
        <w:bidi w:val="0"/>
        <w:spacing w:lineRule="auto" w:line="288" w:before="0" w:after="240"/>
        <w:ind w:left="0" w:right="0" w:firstLine="720"/>
        <w:jc w:val="both"/>
        <w:rPr/>
      </w:pPr>
      <w:r>
        <w:rPr>
          <w:rFonts w:ascii="Times New Roman;serif" w:hAnsi="Times New Roman;serif"/>
          <w:b/>
          <w:color w:val="000000"/>
          <w:sz w:val="24"/>
        </w:rPr>
        <w:t>(bbb)    </w:t>
      </w:r>
      <w:r>
        <w:rPr>
          <w:color w:val="000000"/>
        </w:rPr>
        <w:t>“</w:t>
      </w:r>
      <w:r>
        <w:rPr>
          <w:rFonts w:ascii="Times New Roman;serif" w:hAnsi="Times New Roman;serif"/>
          <w:b/>
          <w:i/>
          <w:color w:val="000000"/>
          <w:sz w:val="24"/>
        </w:rPr>
        <w:t>Stock Appreciation Right Agreement</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SAR Agreement</w:t>
      </w:r>
      <w:r>
        <w:rPr>
          <w:color w:val="000000"/>
        </w:rPr>
        <w:t xml:space="preserve">” </w:t>
      </w:r>
      <w:r>
        <w:rPr>
          <w:rFonts w:ascii="Times New Roman;serif" w:hAnsi="Times New Roman;serif"/>
          <w:b w:val="false"/>
          <w:color w:val="000000"/>
          <w:sz w:val="24"/>
        </w:rPr>
        <w:t>means a written agreement between the Company and a holder of a Stock Appreciation Right evidencing the terms and conditions of a Stock Appreciation Right grant. Each Stock Appreciation Right Agreement will be subject to the terms and conditions of the Plan.</w:t>
      </w:r>
    </w:p>
    <w:p>
      <w:pPr>
        <w:pStyle w:val="TextBody"/>
        <w:bidi w:val="0"/>
        <w:spacing w:lineRule="auto" w:line="288" w:before="0" w:after="240"/>
        <w:ind w:left="0" w:right="0" w:firstLine="720"/>
        <w:jc w:val="both"/>
        <w:rPr/>
      </w:pPr>
      <w:r>
        <w:rPr>
          <w:rFonts w:ascii="Times New Roman;serif" w:hAnsi="Times New Roman;serif"/>
          <w:b/>
          <w:color w:val="000000"/>
          <w:sz w:val="24"/>
        </w:rPr>
        <w:t>(ccc)    </w:t>
      </w:r>
      <w:r>
        <w:rPr>
          <w:color w:val="000000"/>
        </w:rPr>
        <w:t>“</w:t>
      </w:r>
      <w:r>
        <w:rPr>
          <w:rFonts w:ascii="Times New Roman;serif" w:hAnsi="Times New Roman;serif"/>
          <w:b/>
          <w:i/>
          <w:color w:val="000000"/>
          <w:sz w:val="24"/>
        </w:rPr>
        <w:t>Subsidiary</w:t>
      </w:r>
      <w:r>
        <w:rPr>
          <w:color w:val="000000"/>
        </w:rPr>
        <w:t xml:space="preserve">” </w:t>
      </w:r>
      <w:r>
        <w:rPr>
          <w:rFonts w:ascii="Times New Roman;serif" w:hAnsi="Times New Roman;serif"/>
          <w:b w:val="false"/>
          <w:color w:val="000000"/>
          <w:sz w:val="24"/>
        </w:rPr>
        <w:t>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bidi w:val="0"/>
        <w:spacing w:lineRule="auto" w:line="288"/>
        <w:ind w:left="0" w:right="0" w:firstLine="720"/>
        <w:jc w:val="left"/>
        <w:rPr/>
      </w:pPr>
      <w:r>
        <w:rPr>
          <w:rFonts w:ascii="Times New Roman;serif" w:hAnsi="Times New Roman;serif"/>
          <w:b/>
          <w:color w:val="000000"/>
          <w:sz w:val="24"/>
        </w:rPr>
        <w:t>(ddd)    </w:t>
      </w:r>
      <w:r>
        <w:rPr>
          <w:color w:val="000000"/>
        </w:rPr>
        <w:t>“</w:t>
      </w:r>
      <w:r>
        <w:rPr>
          <w:rFonts w:ascii="Times New Roman;serif" w:hAnsi="Times New Roman;serif"/>
          <w:b/>
          <w:i/>
          <w:color w:val="000000"/>
          <w:sz w:val="24"/>
        </w:rPr>
        <w:t>Ten Percent Stockholder</w:t>
      </w:r>
      <w:r>
        <w:rPr>
          <w:color w:val="000000"/>
        </w:rPr>
        <w:t xml:space="preserve">” </w:t>
      </w:r>
      <w:r>
        <w:rPr>
          <w:rFonts w:ascii="Times New Roman;serif" w:hAnsi="Times New Roman;serif"/>
          <w:b w:val="false"/>
          <w:color w:val="000000"/>
          <w:sz w:val="24"/>
        </w:rPr>
        <w:t>means a person who Owns (or is deemed to Own pursuant to Section 424(d) of the Code) stock possessing more than 10% of the total combined voting power of all classes of stock of the Company or any Affiliate.</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77520"/>
                <wp:effectExtent l="0" t="0" r="0" b="0"/>
                <wp:wrapNone/>
                <wp:docPr id="33" name="Frame32"/>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Enphase Energy,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2021 Equity Incentive Plan</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Form of Restricted Stock Unit Award Grant Notice</w:t>
      </w:r>
    </w:p>
    <w:p>
      <w:pPr>
        <w:pStyle w:val="TextBody"/>
        <w:bidi w:val="0"/>
        <w:spacing w:lineRule="auto" w:line="288" w:before="0" w:after="240"/>
        <w:jc w:val="left"/>
        <w:rPr/>
      </w:pPr>
      <w:r>
        <w:rPr>
          <w:rFonts w:ascii="Times New Roman;serif" w:hAnsi="Times New Roman;serif"/>
          <w:b w:val="false"/>
          <w:color w:val="000000"/>
          <w:sz w:val="20"/>
        </w:rPr>
        <w:t>Enphase Energy,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hereby grants to Participant a Restricted Stock Unit Award (the “</w:t>
      </w:r>
      <w:r>
        <w:rPr>
          <w:rFonts w:ascii="Times New Roman;serif" w:hAnsi="Times New Roman;serif"/>
          <w:b/>
          <w:i/>
          <w:color w:val="000000"/>
          <w:sz w:val="20"/>
        </w:rPr>
        <w:t>Award</w:t>
      </w:r>
      <w:r>
        <w:rPr>
          <w:color w:val="000000"/>
        </w:rPr>
        <w:t>”</w:t>
      </w:r>
      <w:r>
        <w:rPr>
          <w:rFonts w:ascii="Times New Roman;serif" w:hAnsi="Times New Roman;serif"/>
          <w:b w:val="false"/>
          <w:color w:val="000000"/>
          <w:sz w:val="20"/>
        </w:rPr>
        <w:t>) under the Enphase Energy, Inc. 2021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for the number of restricted stock units (the “</w:t>
      </w:r>
      <w:r>
        <w:rPr>
          <w:rFonts w:ascii="Times New Roman;serif" w:hAnsi="Times New Roman;serif"/>
          <w:b/>
          <w:i/>
          <w:color w:val="000000"/>
          <w:sz w:val="20"/>
        </w:rPr>
        <w:t>RSUs</w:t>
      </w:r>
      <w:r>
        <w:rPr>
          <w:color w:val="000000"/>
        </w:rPr>
        <w:t>”</w:t>
      </w:r>
      <w:r>
        <w:rPr>
          <w:rFonts w:ascii="Times New Roman;serif" w:hAnsi="Times New Roman;serif"/>
          <w:b w:val="false"/>
          <w:color w:val="000000"/>
          <w:sz w:val="20"/>
        </w:rPr>
        <w:t>) set forth below. This Award is subject to all of the terms and conditions set forth in this Restricted Stock Unit Award Grant Notice (the “</w:t>
      </w:r>
      <w:r>
        <w:rPr>
          <w:rFonts w:ascii="Times New Roman;serif" w:hAnsi="Times New Roman;serif"/>
          <w:b/>
          <w:i/>
          <w:color w:val="000000"/>
          <w:sz w:val="20"/>
        </w:rPr>
        <w:t>Grant Notice</w:t>
      </w:r>
      <w:r>
        <w:rPr>
          <w:color w:val="000000"/>
        </w:rPr>
        <w:t>”</w:t>
      </w:r>
      <w:r>
        <w:rPr>
          <w:rFonts w:ascii="Times New Roman;serif" w:hAnsi="Times New Roman;serif"/>
          <w:b w:val="false"/>
          <w:color w:val="000000"/>
          <w:sz w:val="20"/>
        </w:rPr>
        <w:t>) and in the Plan and the Restricted Stock Unit Award Agreement (the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both of which are attached hereto and incorporated herein in their entirety. Capitalized terms not explicitly defined in this Grant Notice but defined in the Plan or the Agreement will have the same definitions as in the Plan or the Agreement.</w:t>
      </w:r>
    </w:p>
    <w:tbl>
      <w:tblPr>
        <w:tblW w:w="7829" w:type="dxa"/>
        <w:jc w:val="left"/>
        <w:tblInd w:w="0" w:type="dxa"/>
        <w:tblLayout w:type="fixed"/>
        <w:tblCellMar>
          <w:top w:w="28" w:type="dxa"/>
          <w:left w:w="28" w:type="dxa"/>
          <w:bottom w:w="28" w:type="dxa"/>
          <w:right w:w="28" w:type="dxa"/>
        </w:tblCellMar>
      </w:tblPr>
      <w:tblGrid>
        <w:gridCol w:w="1074"/>
        <w:gridCol w:w="946"/>
        <w:gridCol w:w="950"/>
        <w:gridCol w:w="1421"/>
        <w:gridCol w:w="1421"/>
        <w:gridCol w:w="2017"/>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%%FIRST_NAME_MIDDLE_NAME_LAST_NAME%-%</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Grant:</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%%OPTION_DATE,'MM/DD/YYYY'%-%</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Vesting Date:</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%%VEST_DATE_PERIOD1%-%</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RSUs Subject to Award:</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%%TOTAL_SHARES_GRANTED,'999,999,999'%-%</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Participant’s Services</w:t>
            </w:r>
          </w:p>
        </w:tc>
      </w:tr>
    </w:tbl>
    <w:p>
      <w:pPr>
        <w:pStyle w:val="TextBody"/>
        <w:bidi w:val="0"/>
        <w:spacing w:before="0" w:after="0"/>
        <w:ind w:left="0" w:right="0" w:hanging="1782"/>
        <w:jc w:val="left"/>
        <w:rPr/>
      </w:pPr>
      <w:r>
        <w:rPr/>
      </w:r>
    </w:p>
    <w:p>
      <w:pPr>
        <w:pStyle w:val="TextBody"/>
        <w:bidi w:val="0"/>
        <w:spacing w:lineRule="auto" w:line="288" w:before="0" w:after="0"/>
        <w:ind w:left="0" w:right="0" w:hanging="1782"/>
        <w:jc w:val="left"/>
        <w:rPr/>
      </w:pPr>
      <w:r>
        <w:rPr>
          <w:rFonts w:ascii="Times New Roman;serif" w:hAnsi="Times New Roman;serif"/>
          <w:b/>
          <w:color w:val="000000"/>
          <w:sz w:val="20"/>
        </w:rPr>
        <w:t>Vesting Schedule:</w:t>
      </w:r>
      <w:r>
        <w:rPr>
          <w:color w:val="000000"/>
        </w:rPr>
        <w:t xml:space="preserve">     </w:t>
      </w:r>
      <w:r>
        <w:rPr>
          <w:rFonts w:ascii="Times New Roman;serif" w:hAnsi="Times New Roman;serif"/>
          <w:b w:val="false"/>
          <w:color w:val="000000"/>
          <w:sz w:val="20"/>
        </w:rPr>
        <w:t>The RSUs subject to this Award will vest [ ]. The number of RSUs vesting on any applicable vesting date may be rounded up or down to the nearest whole share, as determined by the Company, provided that the total number of RSUs that may vest under this Award will be the total number of RSUs subject to this Award (as set forth above).</w:t>
      </w:r>
    </w:p>
    <w:p>
      <w:pPr>
        <w:pStyle w:val="TextBody"/>
        <w:bidi w:val="0"/>
        <w:spacing w:before="0" w:after="0"/>
        <w:jc w:val="both"/>
        <w:rPr/>
      </w:pPr>
      <w:r>
        <w:rPr/>
      </w:r>
    </w:p>
    <w:p>
      <w:pPr>
        <w:pStyle w:val="TextBody"/>
        <w:bidi w:val="0"/>
        <w:spacing w:lineRule="auto" w:line="288" w:before="0" w:after="240"/>
        <w:ind w:left="0" w:right="0" w:hanging="1800"/>
        <w:jc w:val="both"/>
        <w:rPr/>
      </w:pPr>
      <w:r>
        <w:rPr>
          <w:rFonts w:ascii="Times New Roman;serif" w:hAnsi="Times New Roman;serif"/>
          <w:b/>
          <w:color w:val="000000"/>
          <w:sz w:val="20"/>
        </w:rPr>
        <w:t>Issuance Schedule:    </w:t>
      </w:r>
      <w:r>
        <w:rPr>
          <w:rFonts w:ascii="Times New Roman;serif" w:hAnsi="Times New Roman;serif"/>
          <w:b w:val="false"/>
          <w:color w:val="000000"/>
          <w:sz w:val="20"/>
        </w:rPr>
        <w:t>One share of Common Stock will be issued for each RSU that vests at the time set forth in Section 6 of the Agreement.</w:t>
      </w:r>
    </w:p>
    <w:p>
      <w:pPr>
        <w:pStyle w:val="TextBody"/>
        <w:bidi w:val="0"/>
        <w:spacing w:lineRule="auto" w:line="288" w:before="0" w:after="0"/>
        <w:jc w:val="left"/>
        <w:rPr/>
      </w:pPr>
      <w:r>
        <w:rPr>
          <w:rFonts w:ascii="Times New Roman;serif" w:hAnsi="Times New Roman;serif"/>
          <w:b/>
          <w:color w:val="000000"/>
          <w:sz w:val="20"/>
        </w:rPr>
        <w:t>Additional Terms/Acknowledgements:</w:t>
      </w:r>
      <w:r>
        <w:rPr>
          <w:color w:val="000000"/>
        </w:rPr>
        <w:t xml:space="preserve"> </w:t>
      </w:r>
      <w:r>
        <w:rPr>
          <w:rFonts w:ascii="Times New Roman;serif" w:hAnsi="Times New Roman;serif"/>
          <w:b w:val="false"/>
          <w:color w:val="000000"/>
          <w:sz w:val="20"/>
        </w:rPr>
        <w:t>Participant acknowledges receipt of, and understands and agrees to, this Grant Notice, the Agreement, and the Plan. Participant further acknowledges that as of the Date of Grant, this Grant Notice, the Agreement and the Plan set forth the entire understanding between Participant and the Company regarding this Award and supersede all prior oral and written agreements, promises and/or representations regarding this Award, with the exception of any written employment, offer letter or severance agreement, or any written severance plan or policy, in each case that specifies the terms that should govern this Award. By accepting this Award, Participant consents to receive this Grant Notice, the Agreement, the Plan, the prospectus for the Plan and any other Plan-related documents by electronic delivery and to participate in the Plan through an on-line or electronic system established and maintained by the Company or another third party designated by the Company. Participant’s acceptance of this Award, and Participant’s acknowledgement and agreement with the terms set forth in this paragraph, will be evidenced by Participant’s signature below or by electronic acceptance or authentication in a form authorized by the Company.</w:t>
      </w:r>
    </w:p>
    <w:p>
      <w:pPr>
        <w:pStyle w:val="TextBody"/>
        <w:bidi w:val="0"/>
        <w:spacing w:before="0" w:after="0"/>
        <w:jc w:val="left"/>
        <w:rPr/>
      </w:pPr>
      <w:r>
        <w:rPr/>
      </w:r>
    </w:p>
    <w:p>
      <w:pPr>
        <w:pStyle w:val="TextBody"/>
        <w:bidi w:val="0"/>
        <w:spacing w:before="0" w:after="0"/>
        <w:jc w:val="left"/>
        <w:rPr/>
      </w:pPr>
      <w:r>
        <w:rPr/>
      </w:r>
    </w:p>
    <w:tbl>
      <w:tblPr>
        <w:tblW w:w="3116" w:type="dxa"/>
        <w:jc w:val="left"/>
        <w:tblInd w:w="0" w:type="dxa"/>
        <w:tblLayout w:type="fixed"/>
        <w:tblCellMar>
          <w:top w:w="28" w:type="dxa"/>
          <w:left w:w="28" w:type="dxa"/>
          <w:bottom w:w="28" w:type="dxa"/>
          <w:right w:w="28" w:type="dxa"/>
        </w:tblCellMar>
      </w:tblPr>
      <w:tblGrid>
        <w:gridCol w:w="124"/>
        <w:gridCol w:w="109"/>
        <w:gridCol w:w="109"/>
        <w:gridCol w:w="811"/>
        <w:gridCol w:w="811"/>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Enphase Energy, Inc.</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7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Badrinarayanan Kothandaraman</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77520"/>
                <wp:effectExtent l="0" t="0" r="0" b="0"/>
                <wp:wrapNone/>
                <wp:docPr id="34" name="Frame33"/>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710"/>
        <w:jc w:val="both"/>
        <w:rPr/>
      </w:pPr>
      <w:r>
        <w:rPr/>
        <w:drawing>
          <wp:inline distT="0" distB="0" distL="0" distR="0">
            <wp:extent cx="914400" cy="914400"/>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3"/>
                    <a:stretch>
                      <a:fillRect/>
                    </a:stretch>
                  </pic:blipFill>
                  <pic:spPr bwMode="auto">
                    <a:xfrm>
                      <a:off x="0" y="0"/>
                      <a:ext cx="914400" cy="914400"/>
                    </a:xfrm>
                    <a:prstGeom prst="rect">
                      <a:avLst/>
                    </a:prstGeom>
                  </pic:spPr>
                </pic:pic>
              </a:graphicData>
            </a:graphic>
          </wp:inline>
        </w:drawing>
      </w:r>
      <w:r>
        <w:rPr>
          <w:rFonts w:ascii="Times New Roman;serif" w:hAnsi="Times New Roman;serif"/>
          <w:b/>
          <w:color w:val="000000"/>
          <w:sz w:val="20"/>
        </w:rPr>
        <w:t>Attachments:</w:t>
      </w:r>
      <w:r>
        <w:rPr>
          <w:color w:val="000000"/>
        </w:rPr>
        <w:t xml:space="preserve"> </w:t>
      </w:r>
      <w:r>
        <w:rPr>
          <w:rFonts w:ascii="Times New Roman;serif" w:hAnsi="Times New Roman;serif"/>
          <w:b w:val="false"/>
          <w:color w:val="000000"/>
          <w:sz w:val="20"/>
        </w:rPr>
        <w:t>(i) Restricted Stock Unit Award Agreement and (ii) 2021 Equity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Enphase Energy,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2021 Equity Incentive Plan</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Form of Restricted Stock Unit Award Agreement</w:t>
      </w:r>
    </w:p>
    <w:p>
      <w:pPr>
        <w:pStyle w:val="TextBody"/>
        <w:bidi w:val="0"/>
        <w:spacing w:lineRule="auto" w:line="288" w:before="0" w:after="200"/>
        <w:ind w:left="0" w:right="0" w:firstLine="720"/>
        <w:jc w:val="left"/>
        <w:rPr/>
      </w:pPr>
      <w:r>
        <w:rPr>
          <w:rFonts w:ascii="Times New Roman;serif" w:hAnsi="Times New Roman;serif"/>
          <w:b w:val="false"/>
          <w:color w:val="000000"/>
          <w:sz w:val="20"/>
        </w:rPr>
        <w:t>Pursuant to the accompanying Restricted Stock Unit Award Grant Notice (the “</w:t>
      </w:r>
      <w:r>
        <w:rPr>
          <w:rFonts w:ascii="Times New Roman;serif" w:hAnsi="Times New Roman;serif"/>
          <w:b/>
          <w:i/>
          <w:color w:val="000000"/>
          <w:sz w:val="20"/>
        </w:rPr>
        <w:t>Grant Notice</w:t>
      </w:r>
      <w:r>
        <w:rPr>
          <w:color w:val="000000"/>
        </w:rPr>
        <w:t>”</w:t>
      </w:r>
      <w:r>
        <w:rPr>
          <w:rFonts w:ascii="Times New Roman;serif" w:hAnsi="Times New Roman;serif"/>
          <w:b w:val="false"/>
          <w:color w:val="000000"/>
          <w:sz w:val="20"/>
        </w:rPr>
        <w:t>) and this Restricted Stock Unit Award Agreement (the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Enphase Energy,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has granted you a Restricted Stock Unit Award (the “</w:t>
      </w:r>
      <w:r>
        <w:rPr>
          <w:rFonts w:ascii="Times New Roman;serif" w:hAnsi="Times New Roman;serif"/>
          <w:b/>
          <w:i/>
          <w:color w:val="000000"/>
          <w:sz w:val="20"/>
        </w:rPr>
        <w:t>Award</w:t>
      </w:r>
      <w:r>
        <w:rPr>
          <w:color w:val="000000"/>
        </w:rPr>
        <w:t>”</w:t>
      </w:r>
      <w:r>
        <w:rPr>
          <w:rFonts w:ascii="Times New Roman;serif" w:hAnsi="Times New Roman;serif"/>
          <w:b w:val="false"/>
          <w:color w:val="000000"/>
          <w:sz w:val="20"/>
        </w:rPr>
        <w:t>) under the Enphase Energy, Inc. 2021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for the number of restricted stock units (the “</w:t>
      </w:r>
      <w:r>
        <w:rPr>
          <w:rFonts w:ascii="Times New Roman;serif" w:hAnsi="Times New Roman;serif"/>
          <w:b/>
          <w:i/>
          <w:color w:val="000000"/>
          <w:sz w:val="20"/>
        </w:rPr>
        <w:t>RSUs</w:t>
      </w:r>
      <w:r>
        <w:rPr>
          <w:color w:val="000000"/>
        </w:rPr>
        <w:t>”</w:t>
      </w:r>
      <w:r>
        <w:rPr>
          <w:rFonts w:ascii="Times New Roman;serif" w:hAnsi="Times New Roman;serif"/>
          <w:b w:val="false"/>
          <w:color w:val="000000"/>
          <w:sz w:val="20"/>
        </w:rPr>
        <w:t>) set forth in the Grant Notice. This Award is granted to you effective as of the date of grant set forth in the Grant Notice (the “</w:t>
      </w:r>
      <w:r>
        <w:rPr>
          <w:rFonts w:ascii="Times New Roman;serif" w:hAnsi="Times New Roman;serif"/>
          <w:b/>
          <w:i/>
          <w:color w:val="000000"/>
          <w:sz w:val="20"/>
        </w:rPr>
        <w:t>Date of Grant</w:t>
      </w:r>
      <w:r>
        <w:rPr>
          <w:color w:val="000000"/>
        </w:rPr>
        <w:t>”</w:t>
      </w:r>
      <w:r>
        <w:rPr>
          <w:rFonts w:ascii="Times New Roman;serif" w:hAnsi="Times New Roman;serif"/>
          <w:b w:val="false"/>
          <w:color w:val="000000"/>
          <w:sz w:val="20"/>
        </w:rPr>
        <w:t>). Capitalized terms not explicitly defined in this Agreement but defined in the Plan or the Grant Notice will have the same definitions as in the Plan or the Grant Notice.</w:t>
      </w:r>
    </w:p>
    <w:p>
      <w:pPr>
        <w:pStyle w:val="TextBody"/>
        <w:bidi w:val="0"/>
        <w:spacing w:lineRule="auto" w:line="288" w:before="0" w:after="200"/>
        <w:ind w:left="0" w:right="0" w:firstLine="720"/>
        <w:jc w:val="left"/>
        <w:rPr/>
      </w:pPr>
      <w:r>
        <w:rPr>
          <w:rFonts w:ascii="Times New Roman;serif" w:hAnsi="Times New Roman;serif"/>
          <w:b/>
          <w:color w:val="000000"/>
          <w:sz w:val="24"/>
        </w:rPr>
        <w:t>1.    </w:t>
      </w:r>
      <w:r>
        <w:rPr>
          <w:rFonts w:ascii="Times New Roman;serif" w:hAnsi="Times New Roman;serif"/>
          <w:b/>
          <w:color w:val="000000"/>
          <w:sz w:val="20"/>
        </w:rPr>
        <w:t xml:space="preserve">Grant of the Award. </w:t>
      </w:r>
      <w:r>
        <w:rPr>
          <w:rFonts w:ascii="Times New Roman;serif" w:hAnsi="Times New Roman;serif"/>
          <w:b w:val="false"/>
          <w:color w:val="000000"/>
          <w:sz w:val="20"/>
        </w:rPr>
        <w:t>This Award represents your right to be issued on a future date (as set forth in Section 6) one share of Common Stock for each RSU subject to this Award that vests in accordance with the Grant Notice and this Agreement. This Award was granted in consideration of your services to the Company or an Affiliate. Except as otherwise provided herein, you will not be required to make any payment to the Company (other than services to the Company or an Affiliate) with respect to your receipt of this Award, the vesting of the RSUs or the issuance of any shares of Common Stock in respect of this Award.</w:t>
      </w:r>
    </w:p>
    <w:p>
      <w:pPr>
        <w:pStyle w:val="TextBody"/>
        <w:bidi w:val="0"/>
        <w:spacing w:lineRule="auto" w:line="288" w:before="0" w:after="200"/>
        <w:ind w:left="0" w:right="0" w:firstLine="720"/>
        <w:jc w:val="left"/>
        <w:rPr/>
      </w:pPr>
      <w:r>
        <w:rPr>
          <w:rFonts w:ascii="Times New Roman;serif" w:hAnsi="Times New Roman;serif"/>
          <w:b/>
          <w:color w:val="000000"/>
          <w:sz w:val="24"/>
        </w:rPr>
        <w:t>2.    </w:t>
      </w:r>
      <w:r>
        <w:rPr>
          <w:rFonts w:ascii="Times New Roman;serif" w:hAnsi="Times New Roman;serif"/>
          <w:b/>
          <w:color w:val="000000"/>
          <w:sz w:val="20"/>
        </w:rPr>
        <w:t>Vesting.</w:t>
      </w:r>
      <w:r>
        <w:rPr>
          <w:color w:val="000000"/>
        </w:rPr>
        <w:t xml:space="preserve"> </w:t>
      </w:r>
      <w:r>
        <w:rPr>
          <w:rFonts w:ascii="Times New Roman;serif" w:hAnsi="Times New Roman;serif"/>
          <w:b w:val="false"/>
          <w:color w:val="000000"/>
          <w:sz w:val="20"/>
        </w:rPr>
        <w:t>Subject to the limitations contained herein, this Award will vest, if at all, in accordance with the vesting schedule set forth in the Grant Notice, provided that vesting will cease upon the termination of your Continuous Service. Upon such termination of your Continuous Service, you will forfeit (at no cost to the Company) any RSUs subject to this Award that have not vested as of the date of such termination and you will have no further right, title or interest in such RSUs or the shares of Common Stock in respect of this Award.</w:t>
      </w:r>
    </w:p>
    <w:p>
      <w:pPr>
        <w:pStyle w:val="TextBody"/>
        <w:bidi w:val="0"/>
        <w:spacing w:lineRule="auto" w:line="288" w:before="0" w:after="200"/>
        <w:ind w:left="0" w:right="0" w:firstLine="720"/>
        <w:jc w:val="left"/>
        <w:rPr/>
      </w:pPr>
      <w:r>
        <w:rPr>
          <w:rFonts w:ascii="Times New Roman;serif" w:hAnsi="Times New Roman;serif"/>
          <w:b/>
          <w:color w:val="000000"/>
          <w:sz w:val="24"/>
        </w:rPr>
        <w:t>3.    </w:t>
      </w:r>
      <w:r>
        <w:rPr>
          <w:rFonts w:ascii="Times New Roman;serif" w:hAnsi="Times New Roman;serif"/>
          <w:b/>
          <w:color w:val="000000"/>
          <w:sz w:val="20"/>
        </w:rPr>
        <w:t>Number of RSUs and Shares.</w:t>
      </w:r>
      <w:r>
        <w:rPr>
          <w:color w:val="000000"/>
        </w:rPr>
        <w:t xml:space="preserve"> </w:t>
      </w:r>
    </w:p>
    <w:p>
      <w:pPr>
        <w:pStyle w:val="TextBody"/>
        <w:bidi w:val="0"/>
        <w:spacing w:lineRule="auto" w:line="288" w:before="0" w:after="200"/>
        <w:ind w:left="0" w:right="0" w:firstLine="1440"/>
        <w:jc w:val="left"/>
        <w:rPr/>
      </w:pPr>
      <w:r>
        <w:rPr>
          <w:rFonts w:ascii="Times New Roman;serif" w:hAnsi="Times New Roman;serif"/>
          <w:b/>
          <w:color w:val="000000"/>
          <w:sz w:val="24"/>
        </w:rPr>
        <w:t>a.    </w:t>
      </w:r>
      <w:r>
        <w:rPr>
          <w:rFonts w:ascii="Times New Roman;serif" w:hAnsi="Times New Roman;serif"/>
          <w:b w:val="false"/>
          <w:color w:val="000000"/>
          <w:sz w:val="20"/>
        </w:rPr>
        <w:t>The number of RSUs subject to this Award, as set forth in the Grant Notice, will be adjusted for Capitalization Adjustments, if any, as provided in the Plan.</w:t>
      </w:r>
    </w:p>
    <w:p>
      <w:pPr>
        <w:pStyle w:val="TextBody"/>
        <w:bidi w:val="0"/>
        <w:spacing w:lineRule="auto" w:line="288" w:before="0" w:after="200"/>
        <w:ind w:left="0" w:right="0" w:firstLine="1440"/>
        <w:jc w:val="left"/>
        <w:rPr/>
      </w:pPr>
      <w:r>
        <w:rPr>
          <w:rFonts w:ascii="Times New Roman;serif" w:hAnsi="Times New Roman;serif"/>
          <w:b/>
          <w:color w:val="000000"/>
          <w:sz w:val="24"/>
        </w:rPr>
        <w:t>b.    </w:t>
      </w:r>
      <w:r>
        <w:rPr>
          <w:rFonts w:ascii="Times New Roman;serif" w:hAnsi="Times New Roman;serif"/>
          <w:b w:val="false"/>
          <w:color w:val="000000"/>
          <w:sz w:val="20"/>
        </w:rPr>
        <w:t>Any additional RSUs and any shares of Common Stock, cash or other property that become subject to this Award pursuant to this Section 3 will be subject, in a manner determined by the Board, to the same forfeiture restrictions, restrictions on transferability, and time and manner of issuance as applicable to the other RSUs subject to this Award to which they relate.</w:t>
      </w:r>
    </w:p>
    <w:p>
      <w:pPr>
        <w:pStyle w:val="TextBody"/>
        <w:bidi w:val="0"/>
        <w:spacing w:lineRule="auto" w:line="288" w:before="0" w:after="200"/>
        <w:ind w:left="0" w:right="0" w:firstLine="1440"/>
        <w:jc w:val="left"/>
        <w:rPr/>
      </w:pPr>
      <w:r>
        <w:rPr>
          <w:rFonts w:ascii="Times New Roman;serif" w:hAnsi="Times New Roman;serif"/>
          <w:b/>
          <w:color w:val="000000"/>
          <w:sz w:val="24"/>
        </w:rPr>
        <w:t>c.    </w:t>
      </w:r>
      <w:r>
        <w:rPr>
          <w:rFonts w:ascii="Times New Roman;serif" w:hAnsi="Times New Roman;serif"/>
          <w:b w:val="false"/>
          <w:color w:val="000000"/>
          <w:sz w:val="20"/>
        </w:rPr>
        <w:t>No fractional shares or rights for fractional shares of Common Stock will be created pursuant to this Section 3. Any fractional shares that may be created by the adjustments referred to in this Section 3 will be rounded down to the nearest whole share.</w:t>
      </w:r>
    </w:p>
    <w:p>
      <w:pPr>
        <w:pStyle w:val="TextBody"/>
        <w:bidi w:val="0"/>
        <w:spacing w:lineRule="auto" w:line="288" w:before="0" w:after="200"/>
        <w:ind w:left="0" w:right="0" w:firstLine="720"/>
        <w:jc w:val="left"/>
        <w:rPr/>
      </w:pPr>
      <w:r>
        <w:rPr>
          <w:rFonts w:ascii="Times New Roman;serif" w:hAnsi="Times New Roman;serif"/>
          <w:b/>
          <w:color w:val="000000"/>
          <w:sz w:val="24"/>
        </w:rPr>
        <w:t>4.    </w:t>
      </w:r>
      <w:r>
        <w:rPr>
          <w:rFonts w:ascii="Times New Roman;serif" w:hAnsi="Times New Roman;serif"/>
          <w:b/>
          <w:color w:val="000000"/>
          <w:sz w:val="20"/>
        </w:rPr>
        <w:t>Securities Law Compliance.</w:t>
      </w:r>
      <w:r>
        <w:rPr>
          <w:color w:val="000000"/>
        </w:rPr>
        <w:t xml:space="preserve"> </w:t>
      </w:r>
      <w:r>
        <w:rPr>
          <w:rFonts w:ascii="Times New Roman;serif" w:hAnsi="Times New Roman;serif"/>
          <w:b w:val="false"/>
          <w:color w:val="000000"/>
          <w:sz w:val="20"/>
        </w:rPr>
        <w:t xml:space="preserve">You will not be issued any shares of Common Stock in respect of this Award unless either (i) such shares are registered under the Securities Act or (ii) the Company has determined that such issuance would be exempt from the registration requirements of the Securities Act. This Award also must comply with all other applicable laws and regulations governing this Award, and you will not receive any shares of </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77520"/>
                <wp:effectExtent l="0" t="0" r="0" b="0"/>
                <wp:wrapNone/>
                <wp:docPr id="36" name="Frame34"/>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Common Stock in respect of this Award if the Company determines that such receipt would not be in material compliance with such laws and regulations.</w:t>
      </w:r>
    </w:p>
    <w:p>
      <w:pPr>
        <w:pStyle w:val="TextBody"/>
        <w:bidi w:val="0"/>
        <w:spacing w:lineRule="auto" w:line="288" w:before="0" w:after="200"/>
        <w:ind w:left="0" w:right="0" w:firstLine="720"/>
        <w:jc w:val="left"/>
        <w:rPr/>
      </w:pPr>
      <w:r>
        <w:rPr>
          <w:rFonts w:ascii="Times New Roman;serif" w:hAnsi="Times New Roman;serif"/>
          <w:b/>
          <w:color w:val="000000"/>
          <w:sz w:val="24"/>
        </w:rPr>
        <w:t>5.    </w:t>
      </w:r>
      <w:r>
        <w:rPr>
          <w:rFonts w:ascii="Times New Roman;serif" w:hAnsi="Times New Roman;serif"/>
          <w:b/>
          <w:color w:val="000000"/>
          <w:sz w:val="20"/>
        </w:rPr>
        <w:t xml:space="preserve">Transferability. </w:t>
      </w:r>
      <w:r>
        <w:rPr>
          <w:rFonts w:ascii="Times New Roman;serif" w:hAnsi="Times New Roman;serif"/>
          <w:b w:val="false"/>
          <w:color w:val="000000"/>
          <w:sz w:val="20"/>
        </w:rPr>
        <w:t xml:space="preserve">This Award is not transferable, except by will or by the laws of descent and distribution and prior to the time that shares of Common Stock in respect of this Award have been issued to you, you may not transfer, pledge, assign, hypothecate, donate, encumber, sell or otherwise dispose of any portion of the RSUs or the shares of Common Stock in respect of this Award. For example, you may not use any shares of Common Stock that may be issued in respect of this Award as security for a loan, nor may you transfer, pledge, assign, hypothecate, donate, encumber, sell or otherwise dispose of such shares. This restriction on transfer will lapse upon issuance to you of the shares of Common Stock in respect of this Award. </w:t>
      </w:r>
    </w:p>
    <w:p>
      <w:pPr>
        <w:pStyle w:val="TextBody"/>
        <w:bidi w:val="0"/>
        <w:spacing w:lineRule="auto" w:line="288" w:before="0" w:after="200"/>
        <w:ind w:left="0" w:right="0" w:firstLine="720"/>
        <w:jc w:val="left"/>
        <w:rPr/>
      </w:pPr>
      <w:r>
        <w:rPr>
          <w:rFonts w:ascii="Times New Roman;serif" w:hAnsi="Times New Roman;serif"/>
          <w:b/>
          <w:color w:val="000000"/>
          <w:sz w:val="24"/>
        </w:rPr>
        <w:t>6.    </w:t>
      </w:r>
      <w:r>
        <w:rPr>
          <w:rFonts w:ascii="Times New Roman;serif" w:hAnsi="Times New Roman;serif"/>
          <w:b/>
          <w:color w:val="000000"/>
          <w:sz w:val="20"/>
        </w:rPr>
        <w:t>Issuance of Shares.</w:t>
      </w:r>
    </w:p>
    <w:p>
      <w:pPr>
        <w:pStyle w:val="TextBody"/>
        <w:bidi w:val="0"/>
        <w:spacing w:lineRule="auto" w:line="288" w:before="0" w:after="200"/>
        <w:ind w:left="0" w:right="0" w:firstLine="1440"/>
        <w:jc w:val="left"/>
        <w:rPr/>
      </w:pPr>
      <w:r>
        <w:rPr>
          <w:rFonts w:ascii="Times New Roman;serif" w:hAnsi="Times New Roman;serif"/>
          <w:b/>
          <w:color w:val="000000"/>
          <w:sz w:val="24"/>
        </w:rPr>
        <w:t>a.    </w:t>
      </w:r>
      <w:r>
        <w:rPr>
          <w:rFonts w:ascii="Times New Roman;serif" w:hAnsi="Times New Roman;serif"/>
          <w:b w:val="false"/>
          <w:color w:val="000000"/>
          <w:sz w:val="20"/>
        </w:rPr>
        <w:t>The issuance of any shares of Common Stock in respect of this Award is subject to satisfaction of the tax withholding obligations set forth in Section 10. The form of such issuance (</w:t>
      </w:r>
      <w:r>
        <w:rPr>
          <w:rFonts w:ascii="Times New Roman;serif" w:hAnsi="Times New Roman;serif"/>
          <w:b w:val="false"/>
          <w:i/>
          <w:color w:val="000000"/>
          <w:sz w:val="20"/>
        </w:rPr>
        <w:t>e.g.</w:t>
      </w:r>
      <w:r>
        <w:rPr>
          <w:rFonts w:ascii="Times New Roman;serif" w:hAnsi="Times New Roman;serif"/>
          <w:b w:val="false"/>
          <w:color w:val="000000"/>
          <w:sz w:val="20"/>
        </w:rPr>
        <w:t>, a stock certificate or electronic entry evidencing such shares) will be determined by the Company. Each installment of RSUs that vests under this Award is a “separate payment” for purposes of Treasury Regulations Section 1.409A-2(b)(2).</w:t>
      </w:r>
    </w:p>
    <w:p>
      <w:pPr>
        <w:pStyle w:val="TextBody"/>
        <w:bidi w:val="0"/>
        <w:spacing w:lineRule="auto" w:line="288" w:before="0" w:after="200"/>
        <w:ind w:left="0" w:right="0" w:firstLine="1440"/>
        <w:jc w:val="left"/>
        <w:rPr/>
      </w:pPr>
      <w:r>
        <w:rPr>
          <w:rFonts w:ascii="Times New Roman;serif" w:hAnsi="Times New Roman;serif"/>
          <w:b/>
          <w:color w:val="000000"/>
          <w:sz w:val="24"/>
        </w:rPr>
        <w:t>b.    </w:t>
      </w:r>
      <w:r>
        <w:rPr>
          <w:rFonts w:ascii="Times New Roman;serif" w:hAnsi="Times New Roman;serif"/>
          <w:b w:val="false"/>
          <w:color w:val="000000"/>
          <w:sz w:val="20"/>
        </w:rPr>
        <w:t xml:space="preserve">If this Award is exempt from application of Section 409A of the Code and any state law of similar effect (collectively </w:t>
      </w:r>
      <w:r>
        <w:rPr>
          <w:color w:val="000000"/>
        </w:rPr>
        <w:t>“</w:t>
      </w:r>
      <w:r>
        <w:rPr>
          <w:rFonts w:ascii="Times New Roman;serif" w:hAnsi="Times New Roman;serif"/>
          <w:b/>
          <w:i/>
          <w:color w:val="000000"/>
          <w:sz w:val="20"/>
        </w:rPr>
        <w:t>Section</w:t>
      </w:r>
      <w:r>
        <w:rPr>
          <w:color w:val="000000"/>
        </w:rPr>
        <w:t xml:space="preserve"> </w:t>
      </w:r>
      <w:r>
        <w:rPr>
          <w:rFonts w:ascii="Times New Roman;serif" w:hAnsi="Times New Roman;serif"/>
          <w:b/>
          <w:i/>
          <w:color w:val="000000"/>
          <w:sz w:val="20"/>
        </w:rPr>
        <w:t>409A</w:t>
      </w:r>
      <w:r>
        <w:rPr>
          <w:color w:val="000000"/>
        </w:rPr>
        <w:t>”</w:t>
      </w:r>
      <w:r>
        <w:rPr>
          <w:rFonts w:ascii="Times New Roman;serif" w:hAnsi="Times New Roman;serif"/>
          <w:b w:val="false"/>
          <w:color w:val="000000"/>
          <w:sz w:val="20"/>
        </w:rPr>
        <w:t>), then in the event one or more RSUs subject to this Award vests, the Company will issue to you, on the applicable vesting date, one share of Common Stock for each RSU that vests on such date (and for purposes of this Agreement, such issuance date is referred to as the “</w:t>
      </w:r>
      <w:r>
        <w:rPr>
          <w:rFonts w:ascii="Times New Roman;serif" w:hAnsi="Times New Roman;serif"/>
          <w:b/>
          <w:i/>
          <w:color w:val="000000"/>
          <w:sz w:val="20"/>
        </w:rPr>
        <w:t>Original Issuance Date</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provided, however</w:t>
      </w:r>
      <w:r>
        <w:rPr>
          <w:rFonts w:ascii="Times New Roman;serif" w:hAnsi="Times New Roman;serif"/>
          <w:b w:val="false"/>
          <w:color w:val="000000"/>
          <w:sz w:val="20"/>
        </w:rPr>
        <w:t>, that if the Original Issuance Date falls on a date that is not a business day, such shares will instead be issued to you on the next following business day.</w:t>
      </w:r>
    </w:p>
    <w:p>
      <w:pPr>
        <w:pStyle w:val="TextBody"/>
        <w:bidi w:val="0"/>
        <w:spacing w:lineRule="auto" w:line="288" w:before="0" w:after="200"/>
        <w:ind w:left="0" w:right="0" w:firstLine="1440"/>
        <w:jc w:val="left"/>
        <w:rPr/>
      </w:pPr>
      <w:r>
        <w:rPr>
          <w:rFonts w:ascii="Times New Roman;serif" w:hAnsi="Times New Roman;serif"/>
          <w:b/>
          <w:color w:val="000000"/>
          <w:sz w:val="24"/>
        </w:rPr>
        <w:t>c.    </w:t>
      </w:r>
      <w:r>
        <w:rPr>
          <w:rFonts w:ascii="Times New Roman;serif" w:hAnsi="Times New Roman;serif"/>
          <w:b w:val="false"/>
          <w:color w:val="000000"/>
          <w:sz w:val="20"/>
        </w:rPr>
        <w:t xml:space="preserve">Notwithstanding the foregoing, </w:t>
      </w:r>
      <w:r>
        <w:rPr>
          <w:rFonts w:ascii="Times New Roman;serif" w:hAnsi="Times New Roman;serif"/>
          <w:b w:val="false"/>
          <w:color w:val="000000"/>
          <w:sz w:val="20"/>
          <w:u w:val="single"/>
        </w:rPr>
        <w:t>if</w:t>
      </w:r>
      <w:r>
        <w:rPr>
          <w:rFonts w:ascii="Times New Roman;serif" w:hAnsi="Times New Roman;serif"/>
          <w:b w:val="false"/>
          <w:color w:val="000000"/>
          <w:sz w:val="20"/>
        </w:rPr>
        <w:t>:</w:t>
      </w:r>
    </w:p>
    <w:p>
      <w:pPr>
        <w:pStyle w:val="TextBody"/>
        <w:bidi w:val="0"/>
        <w:spacing w:lineRule="auto" w:line="288" w:before="0" w:after="200"/>
        <w:ind w:left="0" w:right="0" w:firstLine="2160"/>
        <w:jc w:val="both"/>
        <w:rPr/>
      </w:pPr>
      <w:r>
        <w:rPr>
          <w:rFonts w:ascii="Times New Roman;serif" w:hAnsi="Times New Roman;serif"/>
          <w:b/>
          <w:color w:val="000000"/>
          <w:sz w:val="24"/>
        </w:rPr>
        <w:t>1)    </w:t>
      </w:r>
      <w:r>
        <w:rPr>
          <w:rFonts w:ascii="Times New Roman;serif" w:hAnsi="Times New Roman;serif"/>
          <w:b w:val="false"/>
          <w:color w:val="000000"/>
          <w:sz w:val="20"/>
        </w:rPr>
        <w:t>this Award is otherwise subject to Withholding Taxes (as described in Section 10) on the Original Issuance Date,</w:t>
      </w:r>
    </w:p>
    <w:p>
      <w:pPr>
        <w:pStyle w:val="TextBody"/>
        <w:bidi w:val="0"/>
        <w:spacing w:lineRule="auto" w:line="288" w:before="0" w:after="200"/>
        <w:ind w:left="0" w:right="0" w:firstLine="2160"/>
        <w:jc w:val="both"/>
        <w:rPr/>
      </w:pPr>
      <w:r>
        <w:rPr>
          <w:rFonts w:ascii="Times New Roman;serif" w:hAnsi="Times New Roman;serif"/>
          <w:b/>
          <w:color w:val="000000"/>
          <w:sz w:val="24"/>
        </w:rPr>
        <w:t>2)    </w:t>
      </w:r>
      <w:r>
        <w:rPr>
          <w:rFonts w:ascii="Times New Roman;serif" w:hAnsi="Times New Roman;serif"/>
          <w:b w:val="false"/>
          <w:color w:val="000000"/>
          <w:sz w:val="20"/>
        </w:rPr>
        <w:t>the Original Issuance Date does not occur (x) during an “open window period” applicable to you, as determined by the Company in accordance with the Company’s then-effective policy on trading in Company securities, or (y) on a date when you are otherwise permitted to sell shares of Common Stock on an established stock exchange or stock market, and</w:t>
      </w:r>
    </w:p>
    <w:p>
      <w:pPr>
        <w:pStyle w:val="TextBody"/>
        <w:bidi w:val="0"/>
        <w:spacing w:lineRule="auto" w:line="288" w:before="0" w:after="200"/>
        <w:ind w:left="0" w:right="0" w:firstLine="2160"/>
        <w:jc w:val="both"/>
        <w:rPr/>
      </w:pPr>
      <w:r>
        <w:rPr>
          <w:rFonts w:ascii="Times New Roman;serif" w:hAnsi="Times New Roman;serif"/>
          <w:b/>
          <w:color w:val="000000"/>
          <w:sz w:val="24"/>
        </w:rPr>
        <w:t>3)    </w:t>
      </w:r>
      <w:r>
        <w:rPr>
          <w:rFonts w:ascii="Times New Roman;serif" w:hAnsi="Times New Roman;serif"/>
          <w:b w:val="false"/>
          <w:color w:val="000000"/>
          <w:sz w:val="20"/>
        </w:rPr>
        <w:t>the Company elects, prior to the Original Issuance Date, (x) not to satisfy such Withholding Taxes by withholding shares of Common Stock from the shares of Common Stock otherwise due, on the Original Issuance Date, to you under this Award, (y) not to permit you to enter into a “same day sale” commitment with a broker-dealer pursuant to Section 10 (including, but not limited to, under a previously established 10b5-1 trading plan entered into in compliance with the Company’s policies), and (z) not to permit you to pay such Withholding Taxes in cash,</w:t>
      </w:r>
    </w:p>
    <w:p>
      <w:pPr>
        <w:pStyle w:val="TextBody"/>
        <w:bidi w:val="0"/>
        <w:spacing w:lineRule="auto" w:line="288" w:before="0" w:after="200"/>
        <w:jc w:val="both"/>
        <w:rPr/>
      </w:pPr>
      <w:r>
        <w:rPr>
          <w:rFonts w:ascii="Times New Roman;serif" w:hAnsi="Times New Roman;serif"/>
          <w:b w:val="false"/>
          <w:color w:val="000000"/>
          <w:sz w:val="20"/>
          <w:u w:val="single"/>
        </w:rPr>
        <w:t>then</w:t>
      </w:r>
      <w:r>
        <w:rPr>
          <w:color w:val="000000"/>
        </w:rPr>
        <w:t xml:space="preserve"> </w:t>
      </w:r>
      <w:r>
        <w:rPr>
          <w:rFonts w:ascii="Times New Roman;serif" w:hAnsi="Times New Roman;serif"/>
          <w:b w:val="false"/>
          <w:color w:val="000000"/>
          <w:sz w:val="20"/>
        </w:rPr>
        <w:t xml:space="preserve">the shares that would otherwise be issued to you on the Original Issuance Date will not be issued to you on the Original Issuance Date and will instead be issued to you on the first business day when you are not prohibited from selling shares of Common Stock on an established stock exchange or stock market, but in no event later than December 31 of the calendar year in which the Original Issuance Date occurs (that is, the last day of your taxable year in which the Original Issuance Date occurs), or, if permitted in a manner that complies with Treasury Regulations Section 1.409A-1(b)(4), no later than the date that is the 15th day of the third calendar month of the calendar year following the calendar year in which the shares of Common Stock in respect of this Award are no longer subject to a “substantial risk of forfeiture” within the meaning of Treasury Regulations Section 1.409A-1(d). </w:t>
      </w:r>
    </w:p>
    <w:p>
      <w:pPr>
        <w:pStyle w:val="TextBody"/>
        <w:bidi w:val="0"/>
        <w:spacing w:lineRule="auto" w:line="288" w:before="0" w:after="200"/>
        <w:ind w:left="0" w:right="0" w:firstLine="1440"/>
        <w:jc w:val="left"/>
        <w:rPr/>
      </w:pPr>
      <w:r>
        <w:rPr>
          <w:rFonts w:ascii="Times New Roman;serif" w:hAnsi="Times New Roman;serif"/>
          <w:b/>
          <w:color w:val="000000"/>
          <w:sz w:val="24"/>
        </w:rPr>
        <w:t>d.    </w:t>
      </w:r>
      <w:r>
        <w:rPr>
          <w:rFonts w:ascii="Times New Roman;serif" w:hAnsi="Times New Roman;serif"/>
          <w:b w:val="false"/>
          <w:color w:val="000000"/>
          <w:sz w:val="20"/>
        </w:rPr>
        <w:t xml:space="preserve">The provisions of this Section 6(d) are intended to apply if this Award is subject to Section 409A because of the terms of a severance arrangement or other agreement between you and the Company or </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6375"/>
                <wp:effectExtent l="0" t="0" r="0" b="0"/>
                <wp:wrapNone/>
                <wp:docPr id="37" name="Frame35"/>
                <a:graphic xmlns:a="http://schemas.openxmlformats.org/drawingml/2006/main">
                  <a:graphicData uri="http://schemas.microsoft.com/office/word/2010/wordprocessingShape">
                    <wps:wsp>
                      <wps:cNvSpPr txBox="1"/>
                      <wps:spPr>
                        <a:xfrm>
                          <a:off x="0" y="0"/>
                          <a:ext cx="6480175" cy="1476375"/>
                        </a:xfrm>
                        <a:prstGeom prst="rect"/>
                        <a:solidFill>
                          <a:srgbClr val="FFFFFF"/>
                        </a:solidFill>
                      </wps:spPr>
                      <wps:txbx>
                        <w:txbxContent>
                          <w:tbl>
                            <w:tblPr>
                              <w:tblW w:w="2084" w:type="dxa"/>
                              <w:jc w:val="left"/>
                              <w:tblInd w:w="0" w:type="dxa"/>
                              <w:tblLayout w:type="fixed"/>
                              <w:tblCellMar>
                                <w:top w:w="28" w:type="dxa"/>
                                <w:left w:w="28" w:type="dxa"/>
                                <w:bottom w:w="28" w:type="dxa"/>
                                <w:right w:w="28" w:type="dxa"/>
                              </w:tblCellMar>
                            </w:tblPr>
                            <w:tblGrid>
                              <w:gridCol w:w="667"/>
                              <w:gridCol w:w="585"/>
                              <w:gridCol w:w="832"/>
                            </w:tblGrid>
                            <w:tr>
                              <w:trPr/>
                              <w:tc>
                                <w:tcPr>
                                  <w:tcW w:w="667" w:type="dxa"/>
                                  <w:tcBorders/>
                                  <w:vAlign w:val="center"/>
                                </w:tcPr>
                                <w:p>
                                  <w:pPr>
                                    <w:pStyle w:val="TableContents"/>
                                    <w:bidi w:val="0"/>
                                    <w:spacing w:before="0" w:after="283"/>
                                    <w:jc w:val="left"/>
                                    <w:rPr>
                                      <w:sz w:val="4"/>
                                      <w:szCs w:val="4"/>
                                    </w:rPr>
                                  </w:pPr>
                                  <w:r>
                                    <w:rPr>
                                      <w:sz w:val="4"/>
                                      <w:szCs w:val="4"/>
                                    </w:rPr>
                                  </w:r>
                                  <w:r>
                                    <w:br w:type="page"/>
                                  </w:r>
                                </w:p>
                              </w:tc>
                              <w:tc>
                                <w:tcPr>
                                  <w:tcW w:w="5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808080"/>
                                      <w:sz w:val="18"/>
                                    </w:rPr>
                                  </w:pPr>
                                  <w:r>
                                    <w:rPr>
                                      <w:rFonts w:ascii="sans-serif" w:hAnsi="sans-serif"/>
                                      <w:b w:val="false"/>
                                      <w:color w:val="808080"/>
                                      <w:sz w:val="18"/>
                                    </w:rPr>
                                    <w:t>Enphase Confidential</w:t>
                                  </w:r>
                                </w:p>
                              </w:tc>
                            </w:tr>
                          </w:tbl>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1.    </w:t>
                            </w:r>
                          </w:p>
                          <w:tbl>
                            <w:tblPr>
                              <w:tblW w:w="1709" w:type="dxa"/>
                              <w:jc w:val="left"/>
                              <w:tblInd w:w="0" w:type="dxa"/>
                              <w:tblLayout w:type="fixed"/>
                              <w:tblCellMar>
                                <w:top w:w="28" w:type="dxa"/>
                                <w:left w:w="28" w:type="dxa"/>
                                <w:bottom w:w="28" w:type="dxa"/>
                                <w:right w:w="28" w:type="dxa"/>
                              </w:tblCellMar>
                            </w:tblPr>
                            <w:tblGrid>
                              <w:gridCol w:w="547"/>
                              <w:gridCol w:w="480"/>
                              <w:gridCol w:w="682"/>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25pt;mso-wrap-distance-left:0pt;mso-wrap-distance-right:0pt;mso-wrap-distance-top:0pt;mso-wrap-distance-bottom:0pt;margin-top:0pt;mso-position-vertical:top;mso-position-vertical-relative:text;margin-left:0pt;mso-position-horizontal:left;mso-position-horizontal-relative:text">
                <v:textbox>
                  <w:txbxContent>
                    <w:tbl>
                      <w:tblPr>
                        <w:tblW w:w="2084" w:type="dxa"/>
                        <w:jc w:val="left"/>
                        <w:tblInd w:w="0" w:type="dxa"/>
                        <w:tblLayout w:type="fixed"/>
                        <w:tblCellMar>
                          <w:top w:w="28" w:type="dxa"/>
                          <w:left w:w="28" w:type="dxa"/>
                          <w:bottom w:w="28" w:type="dxa"/>
                          <w:right w:w="28" w:type="dxa"/>
                        </w:tblCellMar>
                      </w:tblPr>
                      <w:tblGrid>
                        <w:gridCol w:w="667"/>
                        <w:gridCol w:w="585"/>
                        <w:gridCol w:w="832"/>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808080"/>
                                <w:sz w:val="18"/>
                              </w:rPr>
                            </w:pPr>
                            <w:r>
                              <w:rPr>
                                <w:rFonts w:ascii="sans-serif" w:hAnsi="sans-serif"/>
                                <w:b w:val="false"/>
                                <w:color w:val="808080"/>
                                <w:sz w:val="18"/>
                              </w:rPr>
                              <w:t>Enphase Confidential</w:t>
                            </w:r>
                          </w:p>
                        </w:tc>
                      </w:tr>
                    </w:tbl>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1.    </w:t>
                      </w:r>
                    </w:p>
                    <w:tbl>
                      <w:tblPr>
                        <w:tblW w:w="1709" w:type="dxa"/>
                        <w:jc w:val="left"/>
                        <w:tblInd w:w="0" w:type="dxa"/>
                        <w:tblLayout w:type="fixed"/>
                        <w:tblCellMar>
                          <w:top w:w="28" w:type="dxa"/>
                          <w:left w:w="28" w:type="dxa"/>
                          <w:bottom w:w="28" w:type="dxa"/>
                          <w:right w:w="28" w:type="dxa"/>
                        </w:tblCellMar>
                      </w:tblPr>
                      <w:tblGrid>
                        <w:gridCol w:w="547"/>
                        <w:gridCol w:w="480"/>
                        <w:gridCol w:w="682"/>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00"/>
        <w:jc w:val="left"/>
        <w:rPr/>
      </w:pPr>
      <w:r>
        <w:rPr>
          <w:rFonts w:ascii="Times New Roman;serif" w:hAnsi="Times New Roman;serif"/>
          <w:b w:val="false"/>
          <w:color w:val="000000"/>
          <w:sz w:val="20"/>
        </w:rPr>
        <w:t>an Affiliate (or a severance arrangement, plan or policy maintained by the Company or an Affiliate), if any, that provides for acceleration of vesting of this Award upon your termination of employment or separation from service (as such term is defined in Treasury Regulations Section 1.409A-1(h) without regard to any alternative definition thereunder) (“</w:t>
      </w:r>
      <w:r>
        <w:rPr>
          <w:rFonts w:ascii="Times New Roman;serif" w:hAnsi="Times New Roman;serif"/>
          <w:b/>
          <w:i/>
          <w:color w:val="000000"/>
          <w:sz w:val="20"/>
        </w:rPr>
        <w:t>Separation from Service</w:t>
      </w:r>
      <w:r>
        <w:rPr>
          <w:color w:val="000000"/>
        </w:rPr>
        <w:t>”</w:t>
      </w:r>
      <w:r>
        <w:rPr>
          <w:rFonts w:ascii="Times New Roman;serif" w:hAnsi="Times New Roman;serif"/>
          <w:b w:val="false"/>
          <w:color w:val="000000"/>
          <w:sz w:val="20"/>
        </w:rPr>
        <w:t>) and such severance benefit does not satisfy the requirements for an exemption from application of Section 409A provided under Treasury Regulations Section 1.409A-1(b)(4) or 1.409A-1(b)(9) (“</w:t>
      </w:r>
      <w:r>
        <w:rPr>
          <w:rFonts w:ascii="Times New Roman;serif" w:hAnsi="Times New Roman;serif"/>
          <w:b/>
          <w:i/>
          <w:color w:val="000000"/>
          <w:sz w:val="20"/>
        </w:rPr>
        <w:t>Non-Exempt Severance Arrangement</w:t>
      </w:r>
      <w:r>
        <w:rPr>
          <w:color w:val="000000"/>
        </w:rPr>
        <w:t>”</w:t>
      </w:r>
      <w:r>
        <w:rPr>
          <w:rFonts w:ascii="Times New Roman;serif" w:hAnsi="Times New Roman;serif"/>
          <w:b w:val="false"/>
          <w:color w:val="000000"/>
          <w:sz w:val="20"/>
        </w:rPr>
        <w:t xml:space="preserve">). If this Award is subject to and not exempt from application of Section 409A due to application of a Non-Exempt Severance Arrangement, the following provisions in this Section 6(d) will supersede anything to the contrary in Section 6(b) or 6(c). </w:t>
      </w:r>
    </w:p>
    <w:p>
      <w:pPr>
        <w:pStyle w:val="TextBody"/>
        <w:bidi w:val="0"/>
        <w:spacing w:lineRule="auto" w:line="288" w:before="0" w:after="200"/>
        <w:ind w:left="0" w:right="0" w:firstLine="2160"/>
        <w:jc w:val="left"/>
        <w:rPr/>
      </w:pPr>
      <w:r>
        <w:rPr>
          <w:rFonts w:ascii="Times New Roman;serif" w:hAnsi="Times New Roman;serif"/>
          <w:b/>
          <w:color w:val="000000"/>
          <w:sz w:val="24"/>
        </w:rPr>
        <w:t>1)    </w:t>
      </w:r>
      <w:r>
        <w:rPr>
          <w:rFonts w:ascii="Times New Roman;serif" w:hAnsi="Times New Roman;serif"/>
          <w:b w:val="false"/>
          <w:color w:val="000000"/>
          <w:sz w:val="20"/>
        </w:rPr>
        <w:t>If this Award vests in the ordinary course during your Continuous Service in accordance with the vesting schedule set forth in the Grant Notice, without accelerating vesting under the terms of a Non-Exempt Severance Arrangement, in no event will the shares to be issued in respect of this Award be issued any later than the later of: (i) December 31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of the calendar year that includes the applicable vesting date and (ii) the 60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that follows the applicable vesting date.</w:t>
      </w:r>
    </w:p>
    <w:p>
      <w:pPr>
        <w:pStyle w:val="TextBody"/>
        <w:bidi w:val="0"/>
        <w:spacing w:lineRule="auto" w:line="288" w:before="0" w:after="200"/>
        <w:ind w:left="0" w:right="0" w:firstLine="2160"/>
        <w:jc w:val="left"/>
        <w:rPr/>
      </w:pPr>
      <w:r>
        <w:rPr>
          <w:rFonts w:ascii="Times New Roman;serif" w:hAnsi="Times New Roman;serif"/>
          <w:b/>
          <w:color w:val="000000"/>
          <w:sz w:val="24"/>
        </w:rPr>
        <w:t>2)    </w:t>
      </w:r>
      <w:r>
        <w:rPr>
          <w:rFonts w:ascii="Times New Roman;serif" w:hAnsi="Times New Roman;serif"/>
          <w:b w:val="false"/>
          <w:color w:val="000000"/>
          <w:sz w:val="20"/>
        </w:rPr>
        <w:t>If vesting of this Award accelerates under the terms of a Non-Exempt Severance Arrangement in connection with your Separation from Service, and such vesting acceleration provisions were in effect as of the Date of Grant and, therefore, are part of the terms of this Award as of the Date of Grant, then the shares will be earlier issued in respect of this Award upon your Separation from Service in accordance with the terms of the Non-Exempt Severance Arrangement, but in no event later than the 60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that follows the date of your Separation from Service. However, if at the time the shares would otherwise be issued you are subject to the distribution limitations contained in Section 409A applicable to “specified employees,” as defined in Section 409A(a)(2)(B)(i) of the Code, such shares will not be issued before the date that is six (6) months following the date of your Separation from Service, or, if earlier, the date of your death that occurs within such six (6) month period.</w:t>
      </w:r>
    </w:p>
    <w:p>
      <w:pPr>
        <w:pStyle w:val="TextBody"/>
        <w:bidi w:val="0"/>
        <w:spacing w:lineRule="auto" w:line="288" w:before="0" w:after="200"/>
        <w:ind w:left="0" w:right="0" w:firstLine="2160"/>
        <w:jc w:val="left"/>
        <w:rPr/>
      </w:pPr>
      <w:r>
        <w:rPr>
          <w:rFonts w:ascii="Times New Roman;serif" w:hAnsi="Times New Roman;serif"/>
          <w:b/>
          <w:color w:val="000000"/>
          <w:sz w:val="24"/>
        </w:rPr>
        <w:t>3)    </w:t>
      </w:r>
      <w:r>
        <w:rPr>
          <w:rFonts w:ascii="Times New Roman;serif" w:hAnsi="Times New Roman;serif"/>
          <w:b w:val="false"/>
          <w:color w:val="000000"/>
          <w:sz w:val="20"/>
        </w:rPr>
        <w:t>If vesting of this Award accelerates under the terms of a Non-Exempt Severance Arrangement in connection with your Separation from Service, and such vesting acceleration provisions were not in effect as of the Date of Grant and, therefore, are not a part of the terms of this Award on the Date of Grant, then such acceleration of vesting of this Award will not accelerate the issuance date of the shares, but the shares will instead be issued on the same schedule as set forth in Section 6(d)(i) as if they had vested in the ordinary course during your Continuous Service in accordance with the vesting schedule set forth in the Grant Notice, notwithstanding the vesting acceleration of this Award. Such issuance schedule is intended to satisfy the requirements of payment on a specified date or pursuant to a fixed schedule, as provided under Treasury Regulations Section 1.409A-3(a)(4).</w:t>
      </w:r>
    </w:p>
    <w:p>
      <w:pPr>
        <w:pStyle w:val="TextBody"/>
        <w:bidi w:val="0"/>
        <w:spacing w:lineRule="auto" w:line="288" w:before="0" w:after="200"/>
        <w:ind w:left="0" w:right="0" w:firstLine="1440"/>
        <w:jc w:val="left"/>
        <w:rPr/>
      </w:pPr>
      <w:r>
        <w:rPr>
          <w:rFonts w:ascii="Times New Roman;serif" w:hAnsi="Times New Roman;serif"/>
          <w:b/>
          <w:color w:val="000000"/>
          <w:sz w:val="24"/>
        </w:rPr>
        <w:t>e.    </w:t>
      </w:r>
      <w:r>
        <w:rPr>
          <w:color w:val="000000"/>
        </w:rPr>
        <w:t xml:space="preserve"> </w:t>
      </w:r>
      <w:r>
        <w:rPr>
          <w:rFonts w:ascii="Times New Roman;serif" w:hAnsi="Times New Roman;serif"/>
          <w:b w:val="false"/>
          <w:color w:val="000000"/>
          <w:sz w:val="20"/>
        </w:rPr>
        <w:t>If this Award is subject to Section 409A (a “</w:t>
      </w:r>
      <w:r>
        <w:rPr>
          <w:rFonts w:ascii="Times New Roman;serif" w:hAnsi="Times New Roman;serif"/>
          <w:b/>
          <w:i/>
          <w:color w:val="000000"/>
          <w:sz w:val="20"/>
        </w:rPr>
        <w:t>Non-Exempt Award</w:t>
      </w:r>
      <w:r>
        <w:rPr>
          <w:color w:val="000000"/>
        </w:rPr>
        <w:t>”</w:t>
      </w:r>
      <w:r>
        <w:rPr>
          <w:rFonts w:ascii="Times New Roman;serif" w:hAnsi="Times New Roman;serif"/>
          <w:b w:val="false"/>
          <w:color w:val="000000"/>
          <w:sz w:val="20"/>
        </w:rPr>
        <w:t>), then the provisions in this Section 6(e) will apply and supersede anything to the contrary that may be set forth in the Plan, the Grant Notice or any other Section of this Agreement.</w:t>
      </w:r>
    </w:p>
    <w:p>
      <w:pPr>
        <w:pStyle w:val="TextBody"/>
        <w:bidi w:val="0"/>
        <w:spacing w:lineRule="auto" w:line="288" w:before="0" w:after="200"/>
        <w:ind w:left="0" w:right="0" w:firstLine="2160"/>
        <w:jc w:val="both"/>
        <w:rPr/>
      </w:pPr>
      <w:r>
        <w:rPr>
          <w:rFonts w:ascii="Times New Roman;serif" w:hAnsi="Times New Roman;serif"/>
          <w:b/>
          <w:color w:val="000000"/>
          <w:sz w:val="24"/>
        </w:rPr>
        <w:t>1)    </w:t>
      </w:r>
      <w:r>
        <w:rPr>
          <w:rFonts w:ascii="Times New Roman;serif" w:hAnsi="Times New Roman;serif"/>
          <w:b w:val="false"/>
          <w:color w:val="000000"/>
          <w:sz w:val="20"/>
        </w:rPr>
        <w:t>Any exercise by the Board of discretion to accelerate the vesting of your Non-Exempt Award will not result in any acceleration of the scheduled issuance dates for the shares in respect of the Non-Exempt Award unless earlier issuance of such shares upon the applicable vesting dates would be in compliance with the requirements of Section 409A.</w:t>
      </w:r>
    </w:p>
    <w:p>
      <w:pPr>
        <w:pStyle w:val="TextBody"/>
        <w:bidi w:val="0"/>
        <w:spacing w:lineRule="auto" w:line="288" w:before="0" w:after="200"/>
        <w:ind w:left="0" w:right="0" w:firstLine="2160"/>
        <w:jc w:val="both"/>
        <w:rPr/>
      </w:pPr>
      <w:r>
        <w:rPr>
          <w:rFonts w:ascii="Times New Roman;serif" w:hAnsi="Times New Roman;serif"/>
          <w:b/>
          <w:color w:val="000000"/>
          <w:sz w:val="24"/>
        </w:rPr>
        <w:t>2)    </w:t>
      </w:r>
      <w:r>
        <w:rPr>
          <w:rFonts w:ascii="Times New Roman;serif" w:hAnsi="Times New Roman;serif"/>
          <w:b w:val="false"/>
          <w:color w:val="000000"/>
          <w:sz w:val="20"/>
        </w:rPr>
        <w:t>The Company explicitly reserves the right to (A) earlier settle your Non-Exempt Award to the extent permitted and in compliance with the requirements of Section 409A, including pursuant to any of the exemptions available in Treasury Regulations Section 1.409A-3(j)(4)(i), and (B) provide that you will receive a cash settlement equal to the Fair Market Value of the shares that would otherwise be issued to you, if applicable and in compliance with the requirements of Section 409A.</w:t>
      </w:r>
    </w:p>
    <w:p>
      <w:pPr>
        <w:pStyle w:val="TextBody"/>
        <w:bidi w:val="0"/>
        <w:spacing w:lineRule="auto" w:line="288" w:before="0" w:after="200"/>
        <w:ind w:left="0" w:right="0" w:firstLine="2160"/>
        <w:jc w:val="both"/>
        <w:rPr/>
      </w:pPr>
      <w:r>
        <w:rPr>
          <w:rFonts w:ascii="Times New Roman;serif" w:hAnsi="Times New Roman;serif"/>
          <w:b/>
          <w:color w:val="000000"/>
          <w:sz w:val="24"/>
        </w:rPr>
        <w:t>3)    </w:t>
      </w:r>
      <w:r>
        <w:rPr>
          <w:rFonts w:ascii="Times New Roman;serif" w:hAnsi="Times New Roman;serif"/>
          <w:b w:val="false"/>
          <w:color w:val="000000"/>
          <w:sz w:val="20"/>
        </w:rPr>
        <w:t xml:space="preserve">If the terms of your Non-Exempt Award provide that it will be settled upon a Change in Control or Corporate Transaction, then to the extent it is required for compliance with the requirements of Section 409A, the Change in Control or Corporate Transaction event triggering settlement must also constitute a change in the ownership or effective control of the Company, or in the ownership of a substantial portion of the </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6375"/>
                <wp:effectExtent l="0" t="0" r="0" b="0"/>
                <wp:wrapNone/>
                <wp:docPr id="38" name="Frame36"/>
                <a:graphic xmlns:a="http://schemas.openxmlformats.org/drawingml/2006/main">
                  <a:graphicData uri="http://schemas.microsoft.com/office/word/2010/wordprocessingShape">
                    <wps:wsp>
                      <wps:cNvSpPr txBox="1"/>
                      <wps:spPr>
                        <a:xfrm>
                          <a:off x="0" y="0"/>
                          <a:ext cx="6480175" cy="1476375"/>
                        </a:xfrm>
                        <a:prstGeom prst="rect"/>
                        <a:solidFill>
                          <a:srgbClr val="FFFFFF"/>
                        </a:solidFill>
                      </wps:spPr>
                      <wps:txbx>
                        <w:txbxContent>
                          <w:tbl>
                            <w:tblPr>
                              <w:tblW w:w="2084" w:type="dxa"/>
                              <w:jc w:val="left"/>
                              <w:tblInd w:w="0" w:type="dxa"/>
                              <w:tblLayout w:type="fixed"/>
                              <w:tblCellMar>
                                <w:top w:w="28" w:type="dxa"/>
                                <w:left w:w="28" w:type="dxa"/>
                                <w:bottom w:w="28" w:type="dxa"/>
                                <w:right w:w="28" w:type="dxa"/>
                              </w:tblCellMar>
                            </w:tblPr>
                            <w:tblGrid>
                              <w:gridCol w:w="667"/>
                              <w:gridCol w:w="585"/>
                              <w:gridCol w:w="832"/>
                            </w:tblGrid>
                            <w:tr>
                              <w:trPr/>
                              <w:tc>
                                <w:tcPr>
                                  <w:tcW w:w="667" w:type="dxa"/>
                                  <w:tcBorders/>
                                  <w:vAlign w:val="center"/>
                                </w:tcPr>
                                <w:p>
                                  <w:pPr>
                                    <w:pStyle w:val="TableContents"/>
                                    <w:bidi w:val="0"/>
                                    <w:spacing w:before="0" w:after="283"/>
                                    <w:jc w:val="left"/>
                                    <w:rPr>
                                      <w:sz w:val="4"/>
                                      <w:szCs w:val="4"/>
                                    </w:rPr>
                                  </w:pPr>
                                  <w:r>
                                    <w:rPr>
                                      <w:sz w:val="4"/>
                                      <w:szCs w:val="4"/>
                                    </w:rPr>
                                  </w:r>
                                  <w:r>
                                    <w:br w:type="page"/>
                                  </w:r>
                                </w:p>
                              </w:tc>
                              <w:tc>
                                <w:tcPr>
                                  <w:tcW w:w="5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808080"/>
                                      <w:sz w:val="18"/>
                                    </w:rPr>
                                  </w:pPr>
                                  <w:r>
                                    <w:rPr>
                                      <w:rFonts w:ascii="sans-serif" w:hAnsi="sans-serif"/>
                                      <w:b w:val="false"/>
                                      <w:color w:val="808080"/>
                                      <w:sz w:val="18"/>
                                    </w:rPr>
                                    <w:t>Enphase Confidential</w:t>
                                  </w:r>
                                </w:p>
                              </w:tc>
                            </w:tr>
                          </w:tbl>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2.    </w:t>
                            </w:r>
                          </w:p>
                          <w:tbl>
                            <w:tblPr>
                              <w:tblW w:w="1709" w:type="dxa"/>
                              <w:jc w:val="left"/>
                              <w:tblInd w:w="0" w:type="dxa"/>
                              <w:tblLayout w:type="fixed"/>
                              <w:tblCellMar>
                                <w:top w:w="28" w:type="dxa"/>
                                <w:left w:w="28" w:type="dxa"/>
                                <w:bottom w:w="28" w:type="dxa"/>
                                <w:right w:w="28" w:type="dxa"/>
                              </w:tblCellMar>
                            </w:tblPr>
                            <w:tblGrid>
                              <w:gridCol w:w="547"/>
                              <w:gridCol w:w="480"/>
                              <w:gridCol w:w="682"/>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25pt;mso-wrap-distance-left:0pt;mso-wrap-distance-right:0pt;mso-wrap-distance-top:0pt;mso-wrap-distance-bottom:0pt;margin-top:0pt;mso-position-vertical:top;mso-position-vertical-relative:text;margin-left:0pt;mso-position-horizontal:left;mso-position-horizontal-relative:text">
                <v:textbox>
                  <w:txbxContent>
                    <w:tbl>
                      <w:tblPr>
                        <w:tblW w:w="2084" w:type="dxa"/>
                        <w:jc w:val="left"/>
                        <w:tblInd w:w="0" w:type="dxa"/>
                        <w:tblLayout w:type="fixed"/>
                        <w:tblCellMar>
                          <w:top w:w="28" w:type="dxa"/>
                          <w:left w:w="28" w:type="dxa"/>
                          <w:bottom w:w="28" w:type="dxa"/>
                          <w:right w:w="28" w:type="dxa"/>
                        </w:tblCellMar>
                      </w:tblPr>
                      <w:tblGrid>
                        <w:gridCol w:w="667"/>
                        <w:gridCol w:w="585"/>
                        <w:gridCol w:w="832"/>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808080"/>
                                <w:sz w:val="18"/>
                              </w:rPr>
                            </w:pPr>
                            <w:r>
                              <w:rPr>
                                <w:rFonts w:ascii="sans-serif" w:hAnsi="sans-serif"/>
                                <w:b w:val="false"/>
                                <w:color w:val="808080"/>
                                <w:sz w:val="18"/>
                              </w:rPr>
                              <w:t>Enphase Confidential</w:t>
                            </w:r>
                          </w:p>
                        </w:tc>
                      </w:tr>
                    </w:tbl>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2.    </w:t>
                      </w:r>
                    </w:p>
                    <w:tbl>
                      <w:tblPr>
                        <w:tblW w:w="1709" w:type="dxa"/>
                        <w:jc w:val="left"/>
                        <w:tblInd w:w="0" w:type="dxa"/>
                        <w:tblLayout w:type="fixed"/>
                        <w:tblCellMar>
                          <w:top w:w="28" w:type="dxa"/>
                          <w:left w:w="28" w:type="dxa"/>
                          <w:bottom w:w="28" w:type="dxa"/>
                          <w:right w:w="28" w:type="dxa"/>
                        </w:tblCellMar>
                      </w:tblPr>
                      <w:tblGrid>
                        <w:gridCol w:w="547"/>
                        <w:gridCol w:w="480"/>
                        <w:gridCol w:w="682"/>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Company’s assets, each as determined under Section 409A(a)(2)(A)(v) of the Code and Treasury Regulations Section 1.409A-3(i)(5) (a “</w:t>
      </w:r>
      <w:r>
        <w:rPr>
          <w:rFonts w:ascii="Times New Roman;serif" w:hAnsi="Times New Roman;serif"/>
          <w:b/>
          <w:i/>
          <w:color w:val="000000"/>
          <w:sz w:val="20"/>
        </w:rPr>
        <w:t>409A Change of Control</w:t>
      </w:r>
      <w:r>
        <w:rPr>
          <w:color w:val="000000"/>
        </w:rPr>
        <w:t>”</w:t>
      </w:r>
      <w:r>
        <w:rPr>
          <w:rFonts w:ascii="Times New Roman;serif" w:hAnsi="Times New Roman;serif"/>
          <w:b w:val="false"/>
          <w:color w:val="000000"/>
          <w:sz w:val="20"/>
        </w:rPr>
        <w:t>). If the terms of your Non-Exempt Award provide that it will be settled upon a termination of employment or termination of Continuous Service, then to the extent it is required for compliance with the requirements of Section 409A, the termination event triggering settlement must also constitute a Separation from Service. However, if at the time the shares would otherwise be issued to you in connection with your Separation from Service, you are subject to the distribution limitations contained in Section 409A applicable to “specified employees,” as defined in Section 409A(a)(2)(B)(i) of the Code, such shares will not be issued before the date that is six (6) months following the date of your Separation from Service, or, if earlier, the date of your death that occurs within such six (6) month period.</w:t>
      </w:r>
    </w:p>
    <w:p>
      <w:pPr>
        <w:pStyle w:val="TextBody"/>
        <w:bidi w:val="0"/>
        <w:spacing w:lineRule="auto" w:line="288" w:before="0" w:after="200"/>
        <w:ind w:left="0" w:right="0" w:firstLine="1440"/>
        <w:jc w:val="left"/>
        <w:rPr/>
      </w:pPr>
      <w:r>
        <w:rPr>
          <w:rFonts w:ascii="Times New Roman;serif" w:hAnsi="Times New Roman;serif"/>
          <w:b/>
          <w:color w:val="000000"/>
          <w:sz w:val="24"/>
        </w:rPr>
        <w:t>f.    </w:t>
      </w:r>
      <w:r>
        <w:rPr>
          <w:rFonts w:ascii="Times New Roman;serif" w:hAnsi="Times New Roman;serif"/>
          <w:b w:val="false"/>
          <w:color w:val="000000"/>
          <w:sz w:val="20"/>
        </w:rPr>
        <w:t>The provisions in this Agreement for delivery of the shares in respect of this Award are intended either to comply with the requirements of Section 409A or to provide a basis for exemption from such requirements so that the issuance of the shares will not trigger the additional tax imposed under Section 409A, and any ambiguities herein will be so interpreted.</w:t>
      </w:r>
    </w:p>
    <w:p>
      <w:pPr>
        <w:pStyle w:val="TextBody"/>
        <w:bidi w:val="0"/>
        <w:spacing w:lineRule="auto" w:line="288" w:before="0" w:after="200"/>
        <w:ind w:left="0" w:right="0" w:firstLine="720"/>
        <w:jc w:val="left"/>
        <w:rPr/>
      </w:pPr>
      <w:r>
        <w:rPr>
          <w:rFonts w:ascii="Times New Roman;serif" w:hAnsi="Times New Roman;serif"/>
          <w:b/>
          <w:color w:val="000000"/>
          <w:sz w:val="24"/>
        </w:rPr>
        <w:t>7.    </w:t>
      </w:r>
      <w:r>
        <w:rPr>
          <w:rFonts w:ascii="Times New Roman;serif" w:hAnsi="Times New Roman;serif"/>
          <w:b/>
          <w:color w:val="000000"/>
          <w:sz w:val="20"/>
        </w:rPr>
        <w:t xml:space="preserve">Dividends. </w:t>
      </w:r>
      <w:r>
        <w:rPr>
          <w:rFonts w:ascii="Times New Roman;serif" w:hAnsi="Times New Roman;serif"/>
          <w:b w:val="false"/>
          <w:color w:val="000000"/>
          <w:sz w:val="20"/>
        </w:rPr>
        <w:t>You will receive no benefit or adjustment to this Award with respect to any cash dividend, stock dividend or other distribution except as provided in the Plan with respect to a Capitalization Adjustment.</w:t>
      </w:r>
    </w:p>
    <w:p>
      <w:pPr>
        <w:pStyle w:val="TextBody"/>
        <w:bidi w:val="0"/>
        <w:spacing w:lineRule="auto" w:line="288" w:before="0" w:after="200"/>
        <w:ind w:left="0" w:right="0" w:firstLine="720"/>
        <w:jc w:val="left"/>
        <w:rPr/>
      </w:pPr>
      <w:r>
        <w:rPr>
          <w:rFonts w:ascii="Times New Roman;serif" w:hAnsi="Times New Roman;serif"/>
          <w:b/>
          <w:color w:val="000000"/>
          <w:sz w:val="24"/>
        </w:rPr>
        <w:t>8.    </w:t>
      </w:r>
      <w:r>
        <w:rPr>
          <w:rFonts w:ascii="Times New Roman;serif" w:hAnsi="Times New Roman;serif"/>
          <w:b/>
          <w:color w:val="000000"/>
          <w:sz w:val="20"/>
        </w:rPr>
        <w:t>Restrictive Legends.</w:t>
      </w:r>
      <w:r>
        <w:rPr>
          <w:color w:val="000000"/>
        </w:rPr>
        <w:t xml:space="preserve"> </w:t>
      </w:r>
      <w:r>
        <w:rPr>
          <w:rFonts w:ascii="Times New Roman;serif" w:hAnsi="Times New Roman;serif"/>
          <w:b w:val="false"/>
          <w:color w:val="000000"/>
          <w:sz w:val="20"/>
        </w:rPr>
        <w:t>The shares of Common Stock issued in respect of this Award will be endorsed with appropriate legends, if any, as determined by the Company.</w:t>
      </w:r>
    </w:p>
    <w:p>
      <w:pPr>
        <w:pStyle w:val="TextBody"/>
        <w:bidi w:val="0"/>
        <w:spacing w:lineRule="auto" w:line="288" w:before="0" w:after="200"/>
        <w:ind w:left="0" w:right="0" w:firstLine="720"/>
        <w:jc w:val="left"/>
        <w:rPr/>
      </w:pPr>
      <w:r>
        <w:rPr>
          <w:rFonts w:ascii="Times New Roman;serif" w:hAnsi="Times New Roman;serif"/>
          <w:b/>
          <w:color w:val="000000"/>
          <w:sz w:val="24"/>
        </w:rPr>
        <w:t>9.    </w:t>
      </w:r>
      <w:r>
        <w:rPr>
          <w:rFonts w:ascii="Times New Roman;serif" w:hAnsi="Times New Roman;serif"/>
          <w:b/>
          <w:color w:val="000000"/>
          <w:sz w:val="20"/>
        </w:rPr>
        <w:t>Award Not a Service Contract.</w:t>
      </w:r>
      <w:r>
        <w:rPr>
          <w:color w:val="000000"/>
        </w:rPr>
        <w:t xml:space="preserve"> </w:t>
      </w:r>
    </w:p>
    <w:p>
      <w:pPr>
        <w:pStyle w:val="TextBody"/>
        <w:bidi w:val="0"/>
        <w:spacing w:lineRule="auto" w:line="288" w:before="0" w:after="200"/>
        <w:ind w:left="0" w:right="0" w:firstLine="1440"/>
        <w:jc w:val="both"/>
        <w:rPr/>
      </w:pPr>
      <w:r>
        <w:rPr>
          <w:rFonts w:ascii="Times New Roman;serif" w:hAnsi="Times New Roman;serif"/>
          <w:b/>
          <w:color w:val="000000"/>
          <w:sz w:val="24"/>
        </w:rPr>
        <w:t>a.    </w:t>
      </w:r>
      <w:r>
        <w:rPr>
          <w:rFonts w:ascii="Times New Roman;serif" w:hAnsi="Times New Roman;serif"/>
          <w:b w:val="false"/>
          <w:color w:val="000000"/>
          <w:sz w:val="20"/>
        </w:rPr>
        <w:t>This Award is not an employment or service contract, and nothing in this Award will be deemed to create in any way whatsoever any obligation on your part to continue in the service of the Company or any Affiliate, or on the part of the Company or any Affiliate to continue such service. In addition, nothing in this Award will obligate the Company or an Affiliate, their respective stockholders, boards of directors, Officers or Employees to continue any relationship that you might have as an Employee, Director or consultant for the Company or an Affiliate.</w:t>
      </w:r>
    </w:p>
    <w:p>
      <w:pPr>
        <w:pStyle w:val="TextBody"/>
        <w:bidi w:val="0"/>
        <w:spacing w:lineRule="auto" w:line="288" w:before="0" w:after="200"/>
        <w:ind w:left="0" w:right="0" w:firstLine="1440"/>
        <w:jc w:val="both"/>
        <w:rPr/>
      </w:pPr>
      <w:r>
        <w:rPr>
          <w:rFonts w:ascii="Times New Roman;serif" w:hAnsi="Times New Roman;serif"/>
          <w:b/>
          <w:color w:val="000000"/>
          <w:sz w:val="24"/>
        </w:rPr>
        <w:t>b.    </w:t>
      </w:r>
      <w:r>
        <w:rPr>
          <w:rFonts w:ascii="Times New Roman;serif" w:hAnsi="Times New Roman;serif"/>
          <w:b w:val="false"/>
          <w:color w:val="000000"/>
          <w:sz w:val="20"/>
        </w:rPr>
        <w:t>By accepting this Award, you acknowledge and agree that the right to continue vesting in this Award pursuant to Section 2 is earned only by continuing as an Employee, Director or Consultant at the will of the Company or an Affiliate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“reorganization”).  You further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this Award.</w:t>
      </w:r>
    </w:p>
    <w:p>
      <w:pPr>
        <w:pStyle w:val="TextBody"/>
        <w:bidi w:val="0"/>
        <w:spacing w:lineRule="auto" w:line="288" w:before="0" w:after="200"/>
        <w:ind w:left="0" w:right="0" w:firstLine="720"/>
        <w:jc w:val="left"/>
        <w:rPr/>
      </w:pPr>
      <w:r>
        <w:rPr>
          <w:rFonts w:ascii="Times New Roman;serif" w:hAnsi="Times New Roman;serif"/>
          <w:b/>
          <w:color w:val="000000"/>
          <w:sz w:val="24"/>
        </w:rPr>
        <w:t>10.    </w:t>
      </w:r>
      <w:r>
        <w:rPr>
          <w:rFonts w:ascii="Times New Roman;serif" w:hAnsi="Times New Roman;serif"/>
          <w:b/>
          <w:color w:val="000000"/>
          <w:sz w:val="20"/>
        </w:rPr>
        <w:t>Tax Withholding Obligations.</w:t>
      </w:r>
    </w:p>
    <w:p>
      <w:pPr>
        <w:pStyle w:val="TextBody"/>
        <w:bidi w:val="0"/>
        <w:spacing w:lineRule="auto" w:line="288" w:before="0" w:after="200"/>
        <w:ind w:left="0" w:right="0" w:firstLine="1440"/>
        <w:jc w:val="left"/>
        <w:rPr/>
      </w:pPr>
      <w:r>
        <w:rPr>
          <w:rFonts w:ascii="Times New Roman;serif" w:hAnsi="Times New Roman;serif"/>
          <w:b/>
          <w:color w:val="000000"/>
          <w:sz w:val="24"/>
        </w:rPr>
        <w:t>a.    </w:t>
      </w:r>
      <w:r>
        <w:rPr>
          <w:rFonts w:ascii="Times New Roman;serif" w:hAnsi="Times New Roman;serif"/>
          <w:b w:val="false"/>
          <w:color w:val="000000"/>
          <w:sz w:val="20"/>
        </w:rPr>
        <w:t>On or before the time you receive a distribution of any shares of Common Stock in respect of this Award, and at any other time as reasonably requested by the Company in accordance with applicable tax laws, you agree to make adequate provision for any sums required to satisfy the federal, state, local and foreign tax withholding obligations of the Company or any Affiliate that arise in connection with this Award (the “</w:t>
      </w:r>
      <w:r>
        <w:rPr>
          <w:rFonts w:ascii="Times New Roman;serif" w:hAnsi="Times New Roman;serif"/>
          <w:b/>
          <w:i/>
          <w:color w:val="000000"/>
          <w:sz w:val="20"/>
        </w:rPr>
        <w:t>Withholding Taxes</w:t>
      </w:r>
      <w:r>
        <w:rPr>
          <w:color w:val="000000"/>
        </w:rPr>
        <w:t>”</w:t>
      </w:r>
      <w:r>
        <w:rPr>
          <w:rFonts w:ascii="Times New Roman;serif" w:hAnsi="Times New Roman;serif"/>
          <w:b w:val="false"/>
          <w:color w:val="000000"/>
          <w:sz w:val="20"/>
        </w:rPr>
        <w:t>). Specifically, the Company or an Affiliate may, in its sole discretion, satisfy all or any portion of the Withholding Taxes relating to this Award by any of the following means or by a combination of such means: (i) withholding from any compensation otherwise payable to you by the Company or an Affiliate; (ii) causing you to tender a cash payment; (iii) permitting you to enter into a “same day sale” commitment with a broker-dealer that is a member of the Financial Industry Regulatory Authority (a “</w:t>
      </w:r>
      <w:r>
        <w:rPr>
          <w:rFonts w:ascii="Times New Roman;serif" w:hAnsi="Times New Roman;serif"/>
          <w:b/>
          <w:i/>
          <w:color w:val="000000"/>
          <w:sz w:val="20"/>
        </w:rPr>
        <w:t>FINRA Dealer</w:t>
      </w:r>
      <w:r>
        <w:rPr>
          <w:color w:val="000000"/>
        </w:rPr>
        <w:t>”</w:t>
      </w:r>
      <w:r>
        <w:rPr>
          <w:rFonts w:ascii="Times New Roman;serif" w:hAnsi="Times New Roman;serif"/>
          <w:b w:val="false"/>
          <w:color w:val="000000"/>
          <w:sz w:val="20"/>
        </w:rPr>
        <w:t xml:space="preserve">) whereby you irrevocably elect to sell a portion of the shares of Common Stock to be issued in connection with this Award to satisfy the Withholding Taxes and whereby the FINRA Dealer irrevocably commits to forward the proceeds </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6375"/>
                <wp:effectExtent l="0" t="0" r="0" b="0"/>
                <wp:wrapNone/>
                <wp:docPr id="39" name="Frame37"/>
                <a:graphic xmlns:a="http://schemas.openxmlformats.org/drawingml/2006/main">
                  <a:graphicData uri="http://schemas.microsoft.com/office/word/2010/wordprocessingShape">
                    <wps:wsp>
                      <wps:cNvSpPr txBox="1"/>
                      <wps:spPr>
                        <a:xfrm>
                          <a:off x="0" y="0"/>
                          <a:ext cx="6480175" cy="1476375"/>
                        </a:xfrm>
                        <a:prstGeom prst="rect"/>
                        <a:solidFill>
                          <a:srgbClr val="FFFFFF"/>
                        </a:solidFill>
                      </wps:spPr>
                      <wps:txbx>
                        <w:txbxContent>
                          <w:tbl>
                            <w:tblPr>
                              <w:tblW w:w="2084" w:type="dxa"/>
                              <w:jc w:val="left"/>
                              <w:tblInd w:w="0" w:type="dxa"/>
                              <w:tblLayout w:type="fixed"/>
                              <w:tblCellMar>
                                <w:top w:w="28" w:type="dxa"/>
                                <w:left w:w="28" w:type="dxa"/>
                                <w:bottom w:w="28" w:type="dxa"/>
                                <w:right w:w="28" w:type="dxa"/>
                              </w:tblCellMar>
                            </w:tblPr>
                            <w:tblGrid>
                              <w:gridCol w:w="667"/>
                              <w:gridCol w:w="585"/>
                              <w:gridCol w:w="832"/>
                            </w:tblGrid>
                            <w:tr>
                              <w:trPr/>
                              <w:tc>
                                <w:tcPr>
                                  <w:tcW w:w="667" w:type="dxa"/>
                                  <w:tcBorders/>
                                  <w:vAlign w:val="center"/>
                                </w:tcPr>
                                <w:p>
                                  <w:pPr>
                                    <w:pStyle w:val="TableContents"/>
                                    <w:bidi w:val="0"/>
                                    <w:spacing w:before="0" w:after="283"/>
                                    <w:jc w:val="left"/>
                                    <w:rPr>
                                      <w:sz w:val="4"/>
                                      <w:szCs w:val="4"/>
                                    </w:rPr>
                                  </w:pPr>
                                  <w:r>
                                    <w:rPr>
                                      <w:sz w:val="4"/>
                                      <w:szCs w:val="4"/>
                                    </w:rPr>
                                  </w:r>
                                  <w:r>
                                    <w:br w:type="page"/>
                                  </w:r>
                                </w:p>
                              </w:tc>
                              <w:tc>
                                <w:tcPr>
                                  <w:tcW w:w="5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808080"/>
                                      <w:sz w:val="18"/>
                                    </w:rPr>
                                  </w:pPr>
                                  <w:r>
                                    <w:rPr>
                                      <w:rFonts w:ascii="sans-serif" w:hAnsi="sans-serif"/>
                                      <w:b w:val="false"/>
                                      <w:color w:val="808080"/>
                                      <w:sz w:val="18"/>
                                    </w:rPr>
                                    <w:t>Enphase Confidential</w:t>
                                  </w:r>
                                </w:p>
                              </w:tc>
                            </w:tr>
                          </w:tbl>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3.    </w:t>
                            </w:r>
                          </w:p>
                          <w:tbl>
                            <w:tblPr>
                              <w:tblW w:w="1709" w:type="dxa"/>
                              <w:jc w:val="left"/>
                              <w:tblInd w:w="0" w:type="dxa"/>
                              <w:tblLayout w:type="fixed"/>
                              <w:tblCellMar>
                                <w:top w:w="28" w:type="dxa"/>
                                <w:left w:w="28" w:type="dxa"/>
                                <w:bottom w:w="28" w:type="dxa"/>
                                <w:right w:w="28" w:type="dxa"/>
                              </w:tblCellMar>
                            </w:tblPr>
                            <w:tblGrid>
                              <w:gridCol w:w="547"/>
                              <w:gridCol w:w="480"/>
                              <w:gridCol w:w="682"/>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25pt;mso-wrap-distance-left:0pt;mso-wrap-distance-right:0pt;mso-wrap-distance-top:0pt;mso-wrap-distance-bottom:0pt;margin-top:0pt;mso-position-vertical:top;mso-position-vertical-relative:text;margin-left:0pt;mso-position-horizontal:left;mso-position-horizontal-relative:text">
                <v:textbox>
                  <w:txbxContent>
                    <w:tbl>
                      <w:tblPr>
                        <w:tblW w:w="2084" w:type="dxa"/>
                        <w:jc w:val="left"/>
                        <w:tblInd w:w="0" w:type="dxa"/>
                        <w:tblLayout w:type="fixed"/>
                        <w:tblCellMar>
                          <w:top w:w="28" w:type="dxa"/>
                          <w:left w:w="28" w:type="dxa"/>
                          <w:bottom w:w="28" w:type="dxa"/>
                          <w:right w:w="28" w:type="dxa"/>
                        </w:tblCellMar>
                      </w:tblPr>
                      <w:tblGrid>
                        <w:gridCol w:w="667"/>
                        <w:gridCol w:w="585"/>
                        <w:gridCol w:w="832"/>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808080"/>
                                <w:sz w:val="18"/>
                              </w:rPr>
                            </w:pPr>
                            <w:r>
                              <w:rPr>
                                <w:rFonts w:ascii="sans-serif" w:hAnsi="sans-serif"/>
                                <w:b w:val="false"/>
                                <w:color w:val="808080"/>
                                <w:sz w:val="18"/>
                              </w:rPr>
                              <w:t>Enphase Confidential</w:t>
                            </w:r>
                          </w:p>
                        </w:tc>
                      </w:tr>
                    </w:tbl>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3.    </w:t>
                      </w:r>
                    </w:p>
                    <w:tbl>
                      <w:tblPr>
                        <w:tblW w:w="1709" w:type="dxa"/>
                        <w:jc w:val="left"/>
                        <w:tblInd w:w="0" w:type="dxa"/>
                        <w:tblLayout w:type="fixed"/>
                        <w:tblCellMar>
                          <w:top w:w="28" w:type="dxa"/>
                          <w:left w:w="28" w:type="dxa"/>
                          <w:bottom w:w="28" w:type="dxa"/>
                          <w:right w:w="28" w:type="dxa"/>
                        </w:tblCellMar>
                      </w:tblPr>
                      <w:tblGrid>
                        <w:gridCol w:w="547"/>
                        <w:gridCol w:w="480"/>
                        <w:gridCol w:w="682"/>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necessary to satisfy the Withholding Taxes directly to the Company and/or its Affiliates; or (iv) withholding shares of Common Stock from the shares of Common Stock issued or otherwise issuable to you in connection with this Award with a Fair Market Value equal to the amount of the Withholding Taxes, but in any case not in excess of the maximum amount of tax that may be required to be withheld by law (or such other amount as may be permitted while still avoiding classification of this Award as a liability for financial accounting purposes).</w:t>
      </w:r>
    </w:p>
    <w:p>
      <w:pPr>
        <w:pStyle w:val="TextBody"/>
        <w:bidi w:val="0"/>
        <w:spacing w:lineRule="auto" w:line="288" w:before="0" w:after="200"/>
        <w:ind w:left="0" w:right="0" w:firstLine="1440"/>
        <w:jc w:val="left"/>
        <w:rPr/>
      </w:pPr>
      <w:r>
        <w:rPr>
          <w:rFonts w:ascii="Times New Roman;serif" w:hAnsi="Times New Roman;serif"/>
          <w:b/>
          <w:color w:val="000000"/>
          <w:sz w:val="24"/>
        </w:rPr>
        <w:t>b.    </w:t>
      </w:r>
      <w:r>
        <w:rPr>
          <w:rFonts w:ascii="Times New Roman;serif" w:hAnsi="Times New Roman;serif"/>
          <w:b w:val="false"/>
          <w:color w:val="000000"/>
          <w:sz w:val="20"/>
        </w:rPr>
        <w:t>Unless the Withholding Taxes of the Company and/or any Affiliate are satisfied, the Company will have no obligation to issue to you any Common Stock.</w:t>
      </w:r>
    </w:p>
    <w:p>
      <w:pPr>
        <w:pStyle w:val="TextBody"/>
        <w:bidi w:val="0"/>
        <w:spacing w:lineRule="auto" w:line="288" w:before="0" w:after="200"/>
        <w:ind w:left="0" w:right="0" w:firstLine="1440"/>
        <w:jc w:val="left"/>
        <w:rPr/>
      </w:pPr>
      <w:r>
        <w:rPr>
          <w:rFonts w:ascii="Times New Roman;serif" w:hAnsi="Times New Roman;serif"/>
          <w:b/>
          <w:color w:val="000000"/>
          <w:sz w:val="24"/>
        </w:rPr>
        <w:t>c.    </w:t>
      </w:r>
      <w:r>
        <w:rPr>
          <w:rFonts w:ascii="Times New Roman;serif" w:hAnsi="Times New Roman;serif"/>
          <w:b w:val="false"/>
          <w:color w:val="000000"/>
          <w:sz w:val="20"/>
        </w:rPr>
        <w:t xml:space="preserve">In the event the Company’s obligation to withhold arises prior to the issuance to you of Common Stock or it is determined after the issuance of Common Stock to you that the amount of the Company’s withholding obligation was greater than the amount withheld by the Company, you agree to indemnify and hold the Company harmless from any failure by the Company to withhold the proper amount. </w:t>
      </w:r>
    </w:p>
    <w:p>
      <w:pPr>
        <w:pStyle w:val="TextBody"/>
        <w:bidi w:val="0"/>
        <w:spacing w:lineRule="auto" w:line="288" w:before="0" w:after="200"/>
        <w:ind w:left="0" w:right="0" w:firstLine="720"/>
        <w:jc w:val="left"/>
        <w:rPr/>
      </w:pPr>
      <w:r>
        <w:rPr>
          <w:rFonts w:ascii="Times New Roman;serif" w:hAnsi="Times New Roman;serif"/>
          <w:b/>
          <w:color w:val="000000"/>
          <w:sz w:val="24"/>
        </w:rPr>
        <w:t>11.    </w:t>
      </w:r>
      <w:r>
        <w:rPr>
          <w:rFonts w:ascii="Times New Roman;serif" w:hAnsi="Times New Roman;serif"/>
          <w:b/>
          <w:color w:val="000000"/>
          <w:sz w:val="20"/>
        </w:rPr>
        <w:t>Unsecured Obligation.</w:t>
      </w:r>
      <w:r>
        <w:rPr>
          <w:color w:val="000000"/>
        </w:rPr>
        <w:t xml:space="preserve"> </w:t>
      </w:r>
      <w:r>
        <w:rPr>
          <w:rFonts w:ascii="Times New Roman;serif" w:hAnsi="Times New Roman;serif"/>
          <w:b w:val="false"/>
          <w:color w:val="000000"/>
          <w:sz w:val="20"/>
        </w:rPr>
        <w:t>This Award is unfunded, and as a holder of vested RSUs, you will be considered an unsecured creditor of the Company with respect to the Company’s obligation, if any, to issue shares of Common Stock or other property pursuant to this Agreement.</w:t>
      </w:r>
    </w:p>
    <w:p>
      <w:pPr>
        <w:pStyle w:val="TextBody"/>
        <w:bidi w:val="0"/>
        <w:spacing w:lineRule="auto" w:line="288" w:before="0" w:after="200"/>
        <w:ind w:left="0" w:right="0" w:firstLine="720"/>
        <w:jc w:val="left"/>
        <w:rPr/>
      </w:pPr>
      <w:r>
        <w:rPr>
          <w:rFonts w:ascii="Times New Roman;serif" w:hAnsi="Times New Roman;serif"/>
          <w:b/>
          <w:color w:val="000000"/>
          <w:sz w:val="24"/>
        </w:rPr>
        <w:t>12.    </w:t>
      </w:r>
      <w:r>
        <w:rPr>
          <w:rFonts w:ascii="Times New Roman;serif" w:hAnsi="Times New Roman;serif"/>
          <w:b/>
          <w:color w:val="000000"/>
          <w:sz w:val="20"/>
        </w:rPr>
        <w:t xml:space="preserve">Stockholder Rights. </w:t>
      </w:r>
      <w:r>
        <w:rPr>
          <w:rFonts w:ascii="Times New Roman;serif" w:hAnsi="Times New Roman;serif"/>
          <w:b w:val="false"/>
          <w:color w:val="000000"/>
          <w:sz w:val="20"/>
        </w:rPr>
        <w:t>You will not have voting or any other rights as a stockholder of the Company with respect to the shares of Common Stock to be issued pursuant to this Award until such shares are issued to you. Upon such issuance, you will obtain full voting and other rights as a stockholder of the Company. Nothing contained in this Agreement, and no action taken pursuant to its provisions, will create or be construed to create a trust of any kind or a fiduciary relationship between you and the Company or any other person.</w:t>
      </w:r>
    </w:p>
    <w:p>
      <w:pPr>
        <w:pStyle w:val="TextBody"/>
        <w:bidi w:val="0"/>
        <w:spacing w:lineRule="auto" w:line="288" w:before="0" w:after="200"/>
        <w:ind w:left="0" w:right="0" w:firstLine="720"/>
        <w:jc w:val="left"/>
        <w:rPr/>
      </w:pPr>
      <w:r>
        <w:rPr>
          <w:rFonts w:ascii="Times New Roman;serif" w:hAnsi="Times New Roman;serif"/>
          <w:b/>
          <w:color w:val="000000"/>
          <w:sz w:val="24"/>
        </w:rPr>
        <w:t>13.    </w:t>
      </w:r>
      <w:r>
        <w:rPr>
          <w:rFonts w:ascii="Times New Roman;serif" w:hAnsi="Times New Roman;serif"/>
          <w:b/>
          <w:color w:val="000000"/>
          <w:sz w:val="20"/>
        </w:rPr>
        <w:t>Other Documents.</w:t>
      </w:r>
      <w:r>
        <w:rPr>
          <w:color w:val="000000"/>
        </w:rPr>
        <w:t xml:space="preserve"> </w:t>
      </w:r>
      <w:r>
        <w:rPr>
          <w:rFonts w:ascii="Times New Roman;serif" w:hAnsi="Times New Roman;serif"/>
          <w:b w:val="false"/>
          <w:color w:val="000000"/>
          <w:sz w:val="20"/>
        </w:rPr>
        <w:t xml:space="preserve">You hereby acknowledge receipt of or the right to receive a document providing the information required by Rule 428(b)(1) promulgated under the Securities Act, which includes the Plan prospectus. In addition, you acknowledge receipt of the Company’s policy permitting certain individuals to sell shares of Common Stock only during certain “window” periods in effect from time to time and the Company’s insider trading policy. </w:t>
      </w:r>
    </w:p>
    <w:p>
      <w:pPr>
        <w:pStyle w:val="TextBody"/>
        <w:bidi w:val="0"/>
        <w:spacing w:lineRule="auto" w:line="288" w:before="0" w:after="200"/>
        <w:ind w:left="0" w:right="0" w:firstLine="720"/>
        <w:jc w:val="left"/>
        <w:rPr/>
      </w:pPr>
      <w:r>
        <w:rPr>
          <w:rFonts w:ascii="Times New Roman;serif" w:hAnsi="Times New Roman;serif"/>
          <w:b/>
          <w:color w:val="000000"/>
          <w:sz w:val="24"/>
        </w:rPr>
        <w:t>14.    </w:t>
      </w:r>
      <w:r>
        <w:rPr>
          <w:rFonts w:ascii="Times New Roman;serif" w:hAnsi="Times New Roman;serif"/>
          <w:b/>
          <w:color w:val="000000"/>
          <w:sz w:val="20"/>
        </w:rPr>
        <w:t>Notices.</w:t>
      </w:r>
      <w:r>
        <w:rPr>
          <w:color w:val="000000"/>
        </w:rPr>
        <w:t xml:space="preserve"> </w:t>
      </w:r>
      <w:r>
        <w:rPr>
          <w:rFonts w:ascii="Times New Roman;serif" w:hAnsi="Times New Roman;serif"/>
          <w:b w:val="false"/>
          <w:color w:val="000000"/>
          <w:sz w:val="20"/>
        </w:rPr>
        <w:t>Any notices provided for in this Agreement or the Plan will be given in writing (including electronically) and 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this Award or participation in the Plan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pStyle w:val="TextBody"/>
        <w:bidi w:val="0"/>
        <w:spacing w:lineRule="auto" w:line="288" w:before="0" w:after="200"/>
        <w:ind w:left="0" w:right="0" w:firstLine="720"/>
        <w:jc w:val="left"/>
        <w:rPr/>
      </w:pPr>
      <w:r>
        <w:rPr>
          <w:rFonts w:ascii="Times New Roman;serif" w:hAnsi="Times New Roman;serif"/>
          <w:b/>
          <w:color w:val="000000"/>
          <w:sz w:val="24"/>
        </w:rPr>
        <w:t>15.    </w:t>
      </w:r>
      <w:r>
        <w:rPr>
          <w:rFonts w:ascii="Times New Roman;serif" w:hAnsi="Times New Roman;serif"/>
          <w:b/>
          <w:color w:val="000000"/>
          <w:sz w:val="20"/>
        </w:rPr>
        <w:t>Governing Plan Document.</w:t>
      </w:r>
      <w:r>
        <w:rPr>
          <w:color w:val="000000"/>
        </w:rPr>
        <w:t xml:space="preserve"> </w:t>
      </w:r>
      <w:r>
        <w:rPr>
          <w:rFonts w:ascii="Times New Roman;serif" w:hAnsi="Times New Roman;serif"/>
          <w:b w:val="false"/>
          <w:color w:val="000000"/>
          <w:sz w:val="20"/>
        </w:rPr>
        <w:t>This Award is subject to all the provisions of the Plan, the provisions of which are hereby made a part of this Award, and is further subject to all interpretations, amendments, rules and regulations which may from time to time be promulgated and adopted pursuant to the Plan. Except as otherwise expressly provided in the Grant Notice or this Agreement, in the event of any conflict between the terms in the Grant Notice or this Agreement and the terms of the Plan, the terms of the Plan will control.</w:t>
      </w:r>
    </w:p>
    <w:p>
      <w:pPr>
        <w:pStyle w:val="TextBody"/>
        <w:bidi w:val="0"/>
        <w:spacing w:lineRule="auto" w:line="288" w:before="0" w:after="200"/>
        <w:ind w:left="0" w:right="0" w:firstLine="720"/>
        <w:jc w:val="left"/>
        <w:rPr/>
      </w:pPr>
      <w:r>
        <w:rPr>
          <w:rFonts w:ascii="Times New Roman;serif" w:hAnsi="Times New Roman;serif"/>
          <w:b/>
          <w:color w:val="000000"/>
          <w:sz w:val="24"/>
        </w:rPr>
        <w:t>16.    </w:t>
      </w:r>
      <w:r>
        <w:rPr>
          <w:rFonts w:ascii="Times New Roman;serif" w:hAnsi="Times New Roman;serif"/>
          <w:b/>
          <w:color w:val="000000"/>
          <w:sz w:val="20"/>
        </w:rPr>
        <w:t>Severability.</w:t>
      </w:r>
      <w:r>
        <w:rPr>
          <w:color w:val="000000"/>
        </w:rPr>
        <w:t xml:space="preserve"> </w:t>
      </w:r>
      <w:r>
        <w:rPr>
          <w:rFonts w:ascii="Times New Roman;serif" w:hAnsi="Times New Roman;serif"/>
          <w:b w:val="false"/>
          <w:color w:val="000000"/>
          <w:sz w:val="20"/>
        </w:rPr>
        <w:t>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bidi w:val="0"/>
        <w:spacing w:lineRule="auto" w:line="288" w:before="0" w:after="200"/>
        <w:ind w:left="0" w:right="0" w:firstLine="720"/>
        <w:jc w:val="left"/>
        <w:rPr/>
      </w:pPr>
      <w:r>
        <w:rPr>
          <w:rFonts w:ascii="Times New Roman;serif" w:hAnsi="Times New Roman;serif"/>
          <w:b/>
          <w:color w:val="000000"/>
          <w:sz w:val="24"/>
        </w:rPr>
        <w:t>17.    </w:t>
      </w:r>
      <w:r>
        <w:rPr>
          <w:rFonts w:ascii="Times New Roman;serif" w:hAnsi="Times New Roman;serif"/>
          <w:b/>
          <w:color w:val="000000"/>
          <w:sz w:val="20"/>
        </w:rPr>
        <w:t>Effect on Other Employee Benefit Plans.</w:t>
      </w:r>
      <w:r>
        <w:rPr>
          <w:color w:val="000000"/>
        </w:rPr>
        <w:t xml:space="preserve"> </w:t>
      </w:r>
      <w:r>
        <w:rPr>
          <w:rFonts w:ascii="Times New Roman;serif" w:hAnsi="Times New Roman;serif"/>
          <w:b w:val="false"/>
          <w:color w:val="000000"/>
          <w:sz w:val="20"/>
        </w:rPr>
        <w:t xml:space="preserve">The value of this Award will not be included as compensation, earnings, salaries, or other similar terms used when calculating your benefits under any employee </w:t>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6375"/>
                <wp:effectExtent l="0" t="0" r="0" b="0"/>
                <wp:wrapNone/>
                <wp:docPr id="40" name="Frame38"/>
                <a:graphic xmlns:a="http://schemas.openxmlformats.org/drawingml/2006/main">
                  <a:graphicData uri="http://schemas.microsoft.com/office/word/2010/wordprocessingShape">
                    <wps:wsp>
                      <wps:cNvSpPr txBox="1"/>
                      <wps:spPr>
                        <a:xfrm>
                          <a:off x="0" y="0"/>
                          <a:ext cx="6480175" cy="1476375"/>
                        </a:xfrm>
                        <a:prstGeom prst="rect"/>
                        <a:solidFill>
                          <a:srgbClr val="FFFFFF"/>
                        </a:solidFill>
                      </wps:spPr>
                      <wps:txbx>
                        <w:txbxContent>
                          <w:tbl>
                            <w:tblPr>
                              <w:tblW w:w="2084" w:type="dxa"/>
                              <w:jc w:val="left"/>
                              <w:tblInd w:w="0" w:type="dxa"/>
                              <w:tblLayout w:type="fixed"/>
                              <w:tblCellMar>
                                <w:top w:w="28" w:type="dxa"/>
                                <w:left w:w="28" w:type="dxa"/>
                                <w:bottom w:w="28" w:type="dxa"/>
                                <w:right w:w="28" w:type="dxa"/>
                              </w:tblCellMar>
                            </w:tblPr>
                            <w:tblGrid>
                              <w:gridCol w:w="667"/>
                              <w:gridCol w:w="585"/>
                              <w:gridCol w:w="832"/>
                            </w:tblGrid>
                            <w:tr>
                              <w:trPr/>
                              <w:tc>
                                <w:tcPr>
                                  <w:tcW w:w="667" w:type="dxa"/>
                                  <w:tcBorders/>
                                  <w:vAlign w:val="center"/>
                                </w:tcPr>
                                <w:p>
                                  <w:pPr>
                                    <w:pStyle w:val="TableContents"/>
                                    <w:bidi w:val="0"/>
                                    <w:spacing w:before="0" w:after="283"/>
                                    <w:jc w:val="left"/>
                                    <w:rPr>
                                      <w:sz w:val="4"/>
                                      <w:szCs w:val="4"/>
                                    </w:rPr>
                                  </w:pPr>
                                  <w:r>
                                    <w:rPr>
                                      <w:sz w:val="4"/>
                                      <w:szCs w:val="4"/>
                                    </w:rPr>
                                  </w:r>
                                  <w:r>
                                    <w:br w:type="page"/>
                                  </w:r>
                                </w:p>
                              </w:tc>
                              <w:tc>
                                <w:tcPr>
                                  <w:tcW w:w="5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808080"/>
                                      <w:sz w:val="18"/>
                                    </w:rPr>
                                  </w:pPr>
                                  <w:r>
                                    <w:rPr>
                                      <w:rFonts w:ascii="sans-serif" w:hAnsi="sans-serif"/>
                                      <w:b w:val="false"/>
                                      <w:color w:val="808080"/>
                                      <w:sz w:val="18"/>
                                    </w:rPr>
                                    <w:t>Enphase Confidential</w:t>
                                  </w:r>
                                </w:p>
                              </w:tc>
                            </w:tr>
                          </w:tbl>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4.    </w:t>
                            </w:r>
                          </w:p>
                          <w:tbl>
                            <w:tblPr>
                              <w:tblW w:w="1709" w:type="dxa"/>
                              <w:jc w:val="left"/>
                              <w:tblInd w:w="0" w:type="dxa"/>
                              <w:tblLayout w:type="fixed"/>
                              <w:tblCellMar>
                                <w:top w:w="28" w:type="dxa"/>
                                <w:left w:w="28" w:type="dxa"/>
                                <w:bottom w:w="28" w:type="dxa"/>
                                <w:right w:w="28" w:type="dxa"/>
                              </w:tblCellMar>
                            </w:tblPr>
                            <w:tblGrid>
                              <w:gridCol w:w="547"/>
                              <w:gridCol w:w="480"/>
                              <w:gridCol w:w="682"/>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25pt;mso-wrap-distance-left:0pt;mso-wrap-distance-right:0pt;mso-wrap-distance-top:0pt;mso-wrap-distance-bottom:0pt;margin-top:0pt;mso-position-vertical:top;mso-position-vertical-relative:text;margin-left:0pt;mso-position-horizontal:left;mso-position-horizontal-relative:text">
                <v:textbox>
                  <w:txbxContent>
                    <w:tbl>
                      <w:tblPr>
                        <w:tblW w:w="2084" w:type="dxa"/>
                        <w:jc w:val="left"/>
                        <w:tblInd w:w="0" w:type="dxa"/>
                        <w:tblLayout w:type="fixed"/>
                        <w:tblCellMar>
                          <w:top w:w="28" w:type="dxa"/>
                          <w:left w:w="28" w:type="dxa"/>
                          <w:bottom w:w="28" w:type="dxa"/>
                          <w:right w:w="28" w:type="dxa"/>
                        </w:tblCellMar>
                      </w:tblPr>
                      <w:tblGrid>
                        <w:gridCol w:w="667"/>
                        <w:gridCol w:w="585"/>
                        <w:gridCol w:w="832"/>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808080"/>
                                <w:sz w:val="18"/>
                              </w:rPr>
                            </w:pPr>
                            <w:r>
                              <w:rPr>
                                <w:rFonts w:ascii="sans-serif" w:hAnsi="sans-serif"/>
                                <w:b w:val="false"/>
                                <w:color w:val="808080"/>
                                <w:sz w:val="18"/>
                              </w:rPr>
                              <w:t>Enphase Confidential</w:t>
                            </w:r>
                          </w:p>
                        </w:tc>
                      </w:tr>
                    </w:tbl>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4.    </w:t>
                      </w:r>
                    </w:p>
                    <w:tbl>
                      <w:tblPr>
                        <w:tblW w:w="1709" w:type="dxa"/>
                        <w:jc w:val="left"/>
                        <w:tblInd w:w="0" w:type="dxa"/>
                        <w:tblLayout w:type="fixed"/>
                        <w:tblCellMar>
                          <w:top w:w="28" w:type="dxa"/>
                          <w:left w:w="28" w:type="dxa"/>
                          <w:bottom w:w="28" w:type="dxa"/>
                          <w:right w:w="28" w:type="dxa"/>
                        </w:tblCellMar>
                      </w:tblPr>
                      <w:tblGrid>
                        <w:gridCol w:w="547"/>
                        <w:gridCol w:w="480"/>
                        <w:gridCol w:w="682"/>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benefit plan sponsored by the Company or any Affiliate, except as such plan otherwise expressly provides. The Company expressly reserves its rights to amend, modify, or terminate any of the Company’s or any Affiliate’s employee benefit plans.</w:t>
      </w:r>
    </w:p>
    <w:p>
      <w:pPr>
        <w:pStyle w:val="TextBody"/>
        <w:bidi w:val="0"/>
        <w:spacing w:lineRule="auto" w:line="288" w:before="0" w:after="200"/>
        <w:ind w:left="0" w:right="0" w:firstLine="720"/>
        <w:jc w:val="left"/>
        <w:rPr/>
      </w:pPr>
      <w:r>
        <w:rPr>
          <w:rFonts w:ascii="Times New Roman;serif" w:hAnsi="Times New Roman;serif"/>
          <w:b/>
          <w:color w:val="000000"/>
          <w:sz w:val="24"/>
        </w:rPr>
        <w:t>18.    </w:t>
      </w:r>
      <w:r>
        <w:rPr>
          <w:rFonts w:ascii="Times New Roman;serif" w:hAnsi="Times New Roman;serif"/>
          <w:b/>
          <w:color w:val="000000"/>
          <w:sz w:val="20"/>
        </w:rPr>
        <w:t>Choice of Law.</w:t>
      </w:r>
      <w:r>
        <w:rPr>
          <w:color w:val="000000"/>
        </w:rPr>
        <w:t xml:space="preserve"> </w:t>
      </w:r>
      <w:r>
        <w:rPr>
          <w:rFonts w:ascii="Times New Roman;serif" w:hAnsi="Times New Roman;serif"/>
          <w:b w:val="false"/>
          <w:color w:val="000000"/>
          <w:sz w:val="20"/>
        </w:rPr>
        <w:t>The interpretation, performance and enforcement of this Agreement will be governed by the laws of the State of Delaware without regard to such state’s conflicts of laws rules.</w:t>
      </w:r>
    </w:p>
    <w:p>
      <w:pPr>
        <w:pStyle w:val="TextBody"/>
        <w:bidi w:val="0"/>
        <w:spacing w:lineRule="auto" w:line="288" w:before="0" w:after="200"/>
        <w:ind w:left="0" w:right="0" w:firstLine="720"/>
        <w:jc w:val="left"/>
        <w:rPr/>
      </w:pPr>
      <w:r>
        <w:rPr>
          <w:rFonts w:ascii="Times New Roman;serif" w:hAnsi="Times New Roman;serif"/>
          <w:b/>
          <w:color w:val="000000"/>
          <w:sz w:val="24"/>
        </w:rPr>
        <w:t>19.    </w:t>
      </w:r>
      <w:r>
        <w:rPr>
          <w:rFonts w:ascii="Times New Roman;serif" w:hAnsi="Times New Roman;serif"/>
          <w:b/>
          <w:color w:val="000000"/>
          <w:sz w:val="20"/>
        </w:rPr>
        <w:t>Amendment.</w:t>
      </w:r>
      <w:r>
        <w:rPr>
          <w:color w:val="000000"/>
        </w:rPr>
        <w:t xml:space="preserve"> </w:t>
      </w:r>
      <w:r>
        <w:rPr>
          <w:rFonts w:ascii="Times New Roman;serif" w:hAnsi="Times New Roman;serif"/>
          <w:b w:val="false"/>
          <w:color w:val="000000"/>
          <w:sz w:val="20"/>
        </w:rPr>
        <w:t xml:space="preserve">Any amendment to this Agreement must be in writing, signed by a duly authorized representative of the Company, and is subject to Section 2(b)(viii) of the Plan; </w:t>
      </w:r>
      <w:r>
        <w:rPr>
          <w:rFonts w:ascii="Times New Roman;serif" w:hAnsi="Times New Roman;serif"/>
          <w:b w:val="false"/>
          <w:i/>
          <w:color w:val="000000"/>
          <w:sz w:val="20"/>
        </w:rPr>
        <w:t>provided, however</w:t>
      </w:r>
      <w:r>
        <w:rPr>
          <w:rFonts w:ascii="Times New Roman;serif" w:hAnsi="Times New Roman;serif"/>
          <w:b w:val="false"/>
          <w:color w:val="000000"/>
          <w:sz w:val="20"/>
        </w:rPr>
        <w:t>, that notwithstanding anything in the Plan to the contrary, the Board reserves the right to amend this Agreement in any way it may deem necessary or advisable to carry out the purpose of the grant as a result of any change in applicable laws or regulations or any future law, regulation, interpretation, ruling, or judicial decision.</w:t>
      </w:r>
    </w:p>
    <w:p>
      <w:pPr>
        <w:pStyle w:val="TextBody"/>
        <w:bidi w:val="0"/>
        <w:spacing w:lineRule="auto" w:line="288" w:before="0" w:after="200"/>
        <w:ind w:left="0" w:right="0" w:firstLine="720"/>
        <w:jc w:val="left"/>
        <w:rPr/>
      </w:pPr>
      <w:r>
        <w:rPr>
          <w:rFonts w:ascii="Times New Roman;serif" w:hAnsi="Times New Roman;serif"/>
          <w:b/>
          <w:color w:val="000000"/>
          <w:sz w:val="24"/>
        </w:rPr>
        <w:t>20.    </w:t>
      </w:r>
      <w:r>
        <w:rPr>
          <w:rFonts w:ascii="Times New Roman;serif" w:hAnsi="Times New Roman;serif"/>
          <w:b/>
          <w:color w:val="000000"/>
          <w:sz w:val="20"/>
        </w:rPr>
        <w:t>Tax Consequences.</w:t>
      </w:r>
      <w:r>
        <w:rPr>
          <w:color w:val="000000"/>
        </w:rPr>
        <w:t xml:space="preserve"> </w:t>
      </w:r>
      <w:r>
        <w:rPr>
          <w:rFonts w:ascii="Times New Roman;serif" w:hAnsi="Times New Roman;serif"/>
          <w:b w:val="false"/>
          <w:color w:val="000000"/>
          <w:sz w:val="20"/>
        </w:rPr>
        <w:t>The Company has no duty or obligation to minimize the tax consequences to you of this Award and will not be liable to you for any adverse tax consequences to you arising in connection with this Award. You are hereby advised to consult with your own personal tax, financial and/or legal advisors regarding the tax consequences of this Award and by accepting this Award, you have agreed that you have done so or knowingly and voluntarily declined to do so.</w:t>
      </w:r>
    </w:p>
    <w:p>
      <w:pPr>
        <w:pStyle w:val="TextBody"/>
        <w:bidi w:val="0"/>
        <w:spacing w:lineRule="auto" w:line="288" w:before="0" w:after="200"/>
        <w:ind w:left="0" w:right="0" w:firstLine="720"/>
        <w:jc w:val="left"/>
        <w:rPr/>
      </w:pPr>
      <w:r>
        <w:rPr>
          <w:rFonts w:ascii="Times New Roman;serif" w:hAnsi="Times New Roman;serif"/>
          <w:b/>
          <w:color w:val="000000"/>
          <w:sz w:val="24"/>
        </w:rPr>
        <w:t>21.    </w:t>
      </w:r>
      <w:r>
        <w:rPr>
          <w:rFonts w:ascii="Times New Roman;serif" w:hAnsi="Times New Roman;serif"/>
          <w:b/>
          <w:color w:val="000000"/>
          <w:sz w:val="20"/>
        </w:rPr>
        <w:t>Miscellaneous.</w:t>
      </w:r>
    </w:p>
    <w:p>
      <w:pPr>
        <w:pStyle w:val="TextBody"/>
        <w:bidi w:val="0"/>
        <w:spacing w:lineRule="auto" w:line="288" w:before="0" w:after="200"/>
        <w:ind w:left="0" w:right="0" w:firstLine="1440"/>
        <w:jc w:val="left"/>
        <w:rPr/>
      </w:pPr>
      <w:r>
        <w:rPr>
          <w:rFonts w:ascii="Times New Roman;serif" w:hAnsi="Times New Roman;serif"/>
          <w:b/>
          <w:color w:val="000000"/>
          <w:sz w:val="24"/>
        </w:rPr>
        <w:t>a.    </w:t>
      </w:r>
      <w:r>
        <w:rPr>
          <w:rFonts w:ascii="Times New Roman;serif" w:hAnsi="Times New Roman;serif"/>
          <w:b w:val="false"/>
          <w:color w:val="000000"/>
          <w:sz w:val="20"/>
        </w:rPr>
        <w:t xml:space="preserve">The rights and obligations of the Company under this Award will be transferable to any one or more persons or entities, and all covenants and agreements hereunder will inure to the benefit of, and be enforceable by, the Company’s successors and assigns. </w:t>
      </w:r>
    </w:p>
    <w:p>
      <w:pPr>
        <w:pStyle w:val="TextBody"/>
        <w:bidi w:val="0"/>
        <w:spacing w:lineRule="auto" w:line="288" w:before="0" w:after="200"/>
        <w:ind w:left="0" w:right="0" w:firstLine="1440"/>
        <w:jc w:val="left"/>
        <w:rPr/>
      </w:pPr>
      <w:r>
        <w:rPr>
          <w:rFonts w:ascii="Times New Roman;serif" w:hAnsi="Times New Roman;serif"/>
          <w:b/>
          <w:color w:val="000000"/>
          <w:sz w:val="24"/>
        </w:rPr>
        <w:t>b.    </w:t>
      </w:r>
      <w:r>
        <w:rPr>
          <w:rFonts w:ascii="Times New Roman;serif" w:hAnsi="Times New Roman;serif"/>
          <w:b w:val="false"/>
          <w:color w:val="000000"/>
          <w:sz w:val="20"/>
        </w:rPr>
        <w:t>You agree upon request to execute any further documents or instruments necessary or desirable in the sole determination of the Company to carry out the purposes or intent of this Award.</w:t>
      </w:r>
    </w:p>
    <w:p>
      <w:pPr>
        <w:pStyle w:val="TextBody"/>
        <w:bidi w:val="0"/>
        <w:spacing w:lineRule="auto" w:line="288" w:before="0" w:after="200"/>
        <w:ind w:left="0" w:right="0" w:firstLine="1440"/>
        <w:jc w:val="left"/>
        <w:rPr/>
      </w:pPr>
      <w:r>
        <w:rPr>
          <w:rFonts w:ascii="Times New Roman;serif" w:hAnsi="Times New Roman;serif"/>
          <w:b/>
          <w:color w:val="000000"/>
          <w:sz w:val="24"/>
        </w:rPr>
        <w:t>c.    </w:t>
      </w:r>
      <w:r>
        <w:rPr>
          <w:rFonts w:ascii="Times New Roman;serif" w:hAnsi="Times New Roman;serif"/>
          <w:b w:val="false"/>
          <w:color w:val="000000"/>
          <w:sz w:val="20"/>
        </w:rPr>
        <w:t>You acknowledge and agree that you have reviewed this Award in its entirety, have had an opportunity to obtain the advice of counsel prior to executing and accepting this Award, and fully understand all provisions of this Award.</w:t>
      </w:r>
    </w:p>
    <w:p>
      <w:pPr>
        <w:pStyle w:val="TextBody"/>
        <w:bidi w:val="0"/>
        <w:spacing w:lineRule="auto" w:line="288" w:before="0" w:after="200"/>
        <w:ind w:left="0" w:right="0" w:firstLine="1440"/>
        <w:jc w:val="left"/>
        <w:rPr/>
      </w:pPr>
      <w:r>
        <w:rPr>
          <w:rFonts w:ascii="Times New Roman;serif" w:hAnsi="Times New Roman;serif"/>
          <w:b/>
          <w:color w:val="000000"/>
          <w:sz w:val="24"/>
        </w:rPr>
        <w:t>d.    </w:t>
      </w:r>
      <w:r>
        <w:rPr>
          <w:rFonts w:ascii="Times New Roman;serif" w:hAnsi="Times New Roman;serif"/>
          <w:b w:val="false"/>
          <w:color w:val="000000"/>
          <w:sz w:val="20"/>
        </w:rPr>
        <w:t>This Agreement will be subject to all applicable laws, rules, and regulations, and to such approvals by any governmental agencies or national securities exchanges as may be required.</w:t>
      </w:r>
    </w:p>
    <w:p>
      <w:pPr>
        <w:pStyle w:val="TextBody"/>
        <w:bidi w:val="0"/>
        <w:spacing w:lineRule="auto" w:line="288" w:before="0" w:after="200"/>
        <w:ind w:left="0" w:right="0" w:firstLine="1440"/>
        <w:jc w:val="left"/>
        <w:rPr/>
      </w:pPr>
      <w:r>
        <w:rPr>
          <w:rFonts w:ascii="Times New Roman;serif" w:hAnsi="Times New Roman;serif"/>
          <w:b/>
          <w:color w:val="000000"/>
          <w:sz w:val="24"/>
        </w:rPr>
        <w:t>e.    </w:t>
      </w:r>
      <w:r>
        <w:rPr>
          <w:rFonts w:ascii="Times New Roman;serif" w:hAnsi="Times New Roman;serif"/>
          <w:b w:val="false"/>
          <w:color w:val="000000"/>
          <w:sz w:val="20"/>
        </w:rPr>
        <w:t>All obligations of the Company under the Plan and this Agreement will be binding on any successor to the Company, whether the existence of such successor is the result of a direct or indirect purchase, merger, consolidation, or otherwise, of all or substantially all of the business and/or assets of the Company.</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Restricted Stock Unit Award Agreement will be deemed to be accepted by you upon your acceptance of the Restricted Stock Unit Award Grant Notice to which it is attached.</w:t>
      </w:r>
    </w:p>
    <w:p>
      <w:pPr>
        <w:pStyle w:val="TextBody"/>
        <w:bidi w:val="0"/>
        <w:spacing w:before="0" w:after="200"/>
        <w:ind w:left="0" w:right="0" w:firstLine="720"/>
        <w:jc w:val="left"/>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6375"/>
                <wp:effectExtent l="0" t="0" r="0" b="0"/>
                <wp:wrapNone/>
                <wp:docPr id="41" name="Frame39"/>
                <a:graphic xmlns:a="http://schemas.openxmlformats.org/drawingml/2006/main">
                  <a:graphicData uri="http://schemas.microsoft.com/office/word/2010/wordprocessingShape">
                    <wps:wsp>
                      <wps:cNvSpPr txBox="1"/>
                      <wps:spPr>
                        <a:xfrm>
                          <a:off x="0" y="0"/>
                          <a:ext cx="6480175" cy="1476375"/>
                        </a:xfrm>
                        <a:prstGeom prst="rect"/>
                        <a:solidFill>
                          <a:srgbClr val="FFFFFF"/>
                        </a:solidFill>
                      </wps:spPr>
                      <wps:txbx>
                        <w:txbxContent>
                          <w:tbl>
                            <w:tblPr>
                              <w:tblW w:w="2084" w:type="dxa"/>
                              <w:jc w:val="left"/>
                              <w:tblInd w:w="0" w:type="dxa"/>
                              <w:tblLayout w:type="fixed"/>
                              <w:tblCellMar>
                                <w:top w:w="28" w:type="dxa"/>
                                <w:left w:w="28" w:type="dxa"/>
                                <w:bottom w:w="28" w:type="dxa"/>
                                <w:right w:w="28" w:type="dxa"/>
                              </w:tblCellMar>
                            </w:tblPr>
                            <w:tblGrid>
                              <w:gridCol w:w="667"/>
                              <w:gridCol w:w="585"/>
                              <w:gridCol w:w="832"/>
                            </w:tblGrid>
                            <w:tr>
                              <w:trPr/>
                              <w:tc>
                                <w:tcPr>
                                  <w:tcW w:w="667" w:type="dxa"/>
                                  <w:tcBorders/>
                                  <w:vAlign w:val="center"/>
                                </w:tcPr>
                                <w:p>
                                  <w:pPr>
                                    <w:pStyle w:val="TableContents"/>
                                    <w:bidi w:val="0"/>
                                    <w:spacing w:before="0" w:after="283"/>
                                    <w:jc w:val="left"/>
                                    <w:rPr>
                                      <w:sz w:val="4"/>
                                      <w:szCs w:val="4"/>
                                    </w:rPr>
                                  </w:pPr>
                                  <w:r>
                                    <w:rPr>
                                      <w:sz w:val="4"/>
                                      <w:szCs w:val="4"/>
                                    </w:rPr>
                                  </w:r>
                                  <w:r>
                                    <w:br w:type="page"/>
                                  </w:r>
                                </w:p>
                              </w:tc>
                              <w:tc>
                                <w:tcPr>
                                  <w:tcW w:w="5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808080"/>
                                      <w:sz w:val="18"/>
                                    </w:rPr>
                                  </w:pPr>
                                  <w:r>
                                    <w:rPr>
                                      <w:rFonts w:ascii="sans-serif" w:hAnsi="sans-serif"/>
                                      <w:b w:val="false"/>
                                      <w:color w:val="808080"/>
                                      <w:sz w:val="18"/>
                                    </w:rPr>
                                    <w:t>Enphase Confidential</w:t>
                                  </w:r>
                                </w:p>
                              </w:tc>
                            </w:tr>
                          </w:tbl>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5.    </w:t>
                            </w:r>
                          </w:p>
                          <w:tbl>
                            <w:tblPr>
                              <w:tblW w:w="1709" w:type="dxa"/>
                              <w:jc w:val="left"/>
                              <w:tblInd w:w="0" w:type="dxa"/>
                              <w:tblLayout w:type="fixed"/>
                              <w:tblCellMar>
                                <w:top w:w="28" w:type="dxa"/>
                                <w:left w:w="28" w:type="dxa"/>
                                <w:bottom w:w="28" w:type="dxa"/>
                                <w:right w:w="28" w:type="dxa"/>
                              </w:tblCellMar>
                            </w:tblPr>
                            <w:tblGrid>
                              <w:gridCol w:w="547"/>
                              <w:gridCol w:w="480"/>
                              <w:gridCol w:w="682"/>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25pt;mso-wrap-distance-left:0pt;mso-wrap-distance-right:0pt;mso-wrap-distance-top:0pt;mso-wrap-distance-bottom:0pt;margin-top:0pt;mso-position-vertical:top;mso-position-vertical-relative:text;margin-left:0pt;mso-position-horizontal:left;mso-position-horizontal-relative:text">
                <v:textbox>
                  <w:txbxContent>
                    <w:tbl>
                      <w:tblPr>
                        <w:tblW w:w="2084" w:type="dxa"/>
                        <w:jc w:val="left"/>
                        <w:tblInd w:w="0" w:type="dxa"/>
                        <w:tblLayout w:type="fixed"/>
                        <w:tblCellMar>
                          <w:top w:w="28" w:type="dxa"/>
                          <w:left w:w="28" w:type="dxa"/>
                          <w:bottom w:w="28" w:type="dxa"/>
                          <w:right w:w="28" w:type="dxa"/>
                        </w:tblCellMar>
                      </w:tblPr>
                      <w:tblGrid>
                        <w:gridCol w:w="667"/>
                        <w:gridCol w:w="585"/>
                        <w:gridCol w:w="832"/>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808080"/>
                                <w:sz w:val="18"/>
                              </w:rPr>
                            </w:pPr>
                            <w:r>
                              <w:rPr>
                                <w:rFonts w:ascii="sans-serif" w:hAnsi="sans-serif"/>
                                <w:b w:val="false"/>
                                <w:color w:val="808080"/>
                                <w:sz w:val="18"/>
                              </w:rPr>
                              <w:t>Enphase Confidential</w:t>
                            </w:r>
                          </w:p>
                        </w:tc>
                      </w:tr>
                    </w:tbl>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5.    </w:t>
                      </w:r>
                    </w:p>
                    <w:tbl>
                      <w:tblPr>
                        <w:tblW w:w="1709" w:type="dxa"/>
                        <w:jc w:val="left"/>
                        <w:tblInd w:w="0" w:type="dxa"/>
                        <w:tblLayout w:type="fixed"/>
                        <w:tblCellMar>
                          <w:top w:w="28" w:type="dxa"/>
                          <w:left w:w="28" w:type="dxa"/>
                          <w:bottom w:w="28" w:type="dxa"/>
                          <w:right w:w="28" w:type="dxa"/>
                        </w:tblCellMar>
                      </w:tblPr>
                      <w:tblGrid>
                        <w:gridCol w:w="547"/>
                        <w:gridCol w:w="480"/>
                        <w:gridCol w:w="682"/>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2021 EIP (May 13, 2026)</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20318</Words>
  <Characters>103708</Characters>
  <CharactersWithSpaces>124390</CharactersWithSpaces>
  <Paragraphs>451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