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3502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350266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FORNAGE MARTIN</w:t>
        </w:r>
      </w:hyperlink>
    </w:p>
    <w:p>
      <w:pPr>
        <w:spacing w:after="0" w:line="219" w:lineRule="exact"/>
        <w:rPr>
          <w:sz w:val="24"/>
          <w:szCs w:val="24"/>
          <w:color w:val="auto"/>
        </w:r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60" w:type="dxa"/>
            <w:vAlign w:val="bottom"/>
          </w:tcPr>
          <w:p>
            <w:pPr>
              <w:spacing w:after="0"/>
              <w:rPr>
                <w:sz w:val="20"/>
                <w:szCs w:val="20"/>
                <w:color w:val="auto"/>
              </w:rPr>
            </w:pPr>
            <w:r>
              <w:rPr>
                <w:rFonts w:ascii="Arial" w:cs="Arial" w:eastAsia="Arial" w:hAnsi="Arial"/>
                <w:sz w:val="9"/>
                <w:szCs w:val="9"/>
                <w:color w:val="auto"/>
              </w:rPr>
              <w:t>(Last)</w:t>
            </w:r>
          </w:p>
        </w:tc>
        <w:tc>
          <w:tcPr>
            <w:tcW w:w="1000" w:type="dxa"/>
            <w:vAlign w:val="bottom"/>
          </w:tcPr>
          <w:p>
            <w:pPr>
              <w:ind w:left="240"/>
              <w:spacing w:after="0"/>
              <w:rPr>
                <w:sz w:val="20"/>
                <w:szCs w:val="20"/>
                <w:color w:val="auto"/>
              </w:rPr>
            </w:pPr>
            <w:r>
              <w:rPr>
                <w:rFonts w:ascii="Arial" w:cs="Arial" w:eastAsia="Arial" w:hAnsi="Arial"/>
                <w:sz w:val="9"/>
                <w:szCs w:val="9"/>
                <w:color w:val="auto"/>
              </w:rPr>
              <w:t>(First)</w:t>
            </w:r>
          </w:p>
        </w:tc>
        <w:tc>
          <w:tcPr>
            <w:tcW w:w="1420" w:type="dxa"/>
            <w:vAlign w:val="bottom"/>
          </w:tcPr>
          <w:p>
            <w:pPr>
              <w:ind w:left="34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860" w:type="dxa"/>
            <w:vAlign w:val="bottom"/>
            <w:gridSpan w:val="2"/>
          </w:tcPr>
          <w:p>
            <w:pPr>
              <w:spacing w:after="0"/>
              <w:rPr>
                <w:sz w:val="20"/>
                <w:szCs w:val="20"/>
                <w:color w:val="auto"/>
              </w:rPr>
            </w:pPr>
            <w:r>
              <w:rPr>
                <w:rFonts w:ascii="Arial" w:cs="Arial" w:eastAsia="Arial" w:hAnsi="Arial"/>
                <w:sz w:val="12"/>
                <w:szCs w:val="12"/>
                <w:color w:val="0000FF"/>
              </w:rPr>
              <w:t>C/O ENPHASE ENERGY, INC.</w:t>
            </w:r>
          </w:p>
        </w:tc>
        <w:tc>
          <w:tcPr>
            <w:tcW w:w="142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Arial" w:cs="Arial" w:eastAsia="Arial" w:hAnsi="Arial"/>
                <w:sz w:val="12"/>
                <w:szCs w:val="12"/>
                <w:color w:val="0000FF"/>
              </w:rPr>
              <w:t>201 1ST STREET, SUITE 100</w:t>
            </w:r>
          </w:p>
        </w:tc>
        <w:tc>
          <w:tcPr>
            <w:tcW w:w="142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r>
      <w:tr>
        <w:trPr>
          <w:trHeight w:val="177"/>
        </w:trPr>
        <w:tc>
          <w:tcPr>
            <w:tcW w:w="900" w:type="dxa"/>
            <w:vAlign w:val="bottom"/>
            <w:gridSpan w:val="2"/>
          </w:tcPr>
          <w:p>
            <w:pPr>
              <w:spacing w:after="0"/>
              <w:rPr>
                <w:sz w:val="20"/>
                <w:szCs w:val="20"/>
                <w:color w:val="auto"/>
              </w:rPr>
            </w:pPr>
            <w:r>
              <w:rPr>
                <w:rFonts w:ascii="Arial" w:cs="Arial" w:eastAsia="Arial" w:hAnsi="Arial"/>
                <w:sz w:val="9"/>
                <w:szCs w:val="9"/>
                <w:color w:val="auto"/>
              </w:rPr>
              <w:t>(Street)</w:t>
            </w: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2"/>
                <w:szCs w:val="12"/>
                <w:color w:val="0000FF"/>
              </w:rPr>
              <w:t>PETALUMA</w:t>
            </w:r>
          </w:p>
        </w:tc>
        <w:tc>
          <w:tcPr>
            <w:tcW w:w="1000" w:type="dxa"/>
            <w:vAlign w:val="bottom"/>
          </w:tcPr>
          <w:p>
            <w:pPr>
              <w:ind w:left="240"/>
              <w:spacing w:after="0"/>
              <w:rPr>
                <w:sz w:val="20"/>
                <w:szCs w:val="20"/>
                <w:color w:val="auto"/>
              </w:rPr>
            </w:pPr>
            <w:r>
              <w:rPr>
                <w:rFonts w:ascii="Arial" w:cs="Arial" w:eastAsia="Arial" w:hAnsi="Arial"/>
                <w:sz w:val="12"/>
                <w:szCs w:val="12"/>
                <w:color w:val="0000FF"/>
              </w:rPr>
              <w:t>CA</w:t>
            </w:r>
          </w:p>
        </w:tc>
        <w:tc>
          <w:tcPr>
            <w:tcW w:w="1420" w:type="dxa"/>
            <w:vAlign w:val="bottom"/>
          </w:tcPr>
          <w:p>
            <w:pPr>
              <w:ind w:left="340"/>
              <w:spacing w:after="0"/>
              <w:rPr>
                <w:sz w:val="20"/>
                <w:szCs w:val="20"/>
                <w:color w:val="auto"/>
              </w:rPr>
            </w:pPr>
            <w:r>
              <w:rPr>
                <w:rFonts w:ascii="Arial" w:cs="Arial" w:eastAsia="Arial" w:hAnsi="Arial"/>
                <w:sz w:val="12"/>
                <w:szCs w:val="12"/>
                <w:color w:val="0000FF"/>
              </w:rPr>
              <w:t>94952</w:t>
            </w:r>
          </w:p>
        </w:tc>
      </w:tr>
    </w:tbl>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03/29/2012</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140" w:type="dxa"/>
            <w:vAlign w:val="bottom"/>
            <w:gridSpan w:val="2"/>
          </w:tcPr>
          <w:p>
            <w:pPr>
              <w:ind w:left="40"/>
              <w:spacing w:after="0"/>
              <w:rPr>
                <w:sz w:val="20"/>
                <w:szCs w:val="20"/>
                <w:color w:val="auto"/>
              </w:rPr>
            </w:pPr>
            <w:r>
              <w:rPr>
                <w:rFonts w:ascii="Arial" w:cs="Arial" w:eastAsia="Arial" w:hAnsi="Arial"/>
                <w:sz w:val="9"/>
                <w:szCs w:val="9"/>
                <w:color w:val="auto"/>
              </w:rPr>
              <w:t>3.</w:t>
            </w:r>
          </w:p>
        </w:tc>
        <w:tc>
          <w:tcPr>
            <w:tcW w:w="1960" w:type="dxa"/>
            <w:vAlign w:val="bottom"/>
            <w:gridSpan w:val="3"/>
          </w:tcPr>
          <w:p>
            <w:pPr>
              <w:spacing w:after="0"/>
              <w:rPr>
                <w:sz w:val="20"/>
                <w:szCs w:val="20"/>
                <w:color w:val="auto"/>
              </w:rPr>
            </w:pPr>
            <w:r>
              <w:rPr>
                <w:rFonts w:ascii="Arial" w:cs="Arial" w:eastAsia="Arial" w:hAnsi="Arial"/>
                <w:sz w:val="9"/>
                <w:szCs w:val="9"/>
                <w:color w:val="auto"/>
              </w:rPr>
              <w:t xml:space="preserve">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00" w:type="dxa"/>
            <w:vAlign w:val="bottom"/>
            <w:gridSpan w:val="5"/>
          </w:tcPr>
          <w:p>
            <w:pPr>
              <w:ind w:left="40"/>
              <w:spacing w:after="0" w:line="149" w:lineRule="exact"/>
              <w:rPr>
                <w:rFonts w:ascii="Arial" w:cs="Arial" w:eastAsia="Arial" w:hAnsi="Arial"/>
                <w:sz w:val="14"/>
                <w:szCs w:val="14"/>
                <w:color w:val="0000EE"/>
              </w:rPr>
            </w:pPr>
            <w:hyperlink r:id="rId12">
              <w:r>
                <w:rPr>
                  <w:rFonts w:ascii="Arial" w:cs="Arial" w:eastAsia="Arial" w:hAnsi="Arial"/>
                  <w:sz w:val="14"/>
                  <w:szCs w:val="14"/>
                  <w:color w:val="0000EE"/>
                </w:rPr>
                <w:t xml:space="preserve">Enphase Energy,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ENPH</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2C2C2C"/>
            </w:tcBorders>
          </w:tcPr>
          <w:p>
            <w:pPr>
              <w:spacing w:after="0"/>
              <w:rPr>
                <w:sz w:val="23"/>
                <w:szCs w:val="23"/>
                <w:color w:val="auto"/>
              </w:rPr>
            </w:pPr>
          </w:p>
        </w:tc>
        <w:tc>
          <w:tcPr>
            <w:tcW w:w="100" w:type="dxa"/>
            <w:vAlign w:val="bottom"/>
            <w:tcBorders>
              <w:top w:val="single" w:sz="8" w:color="0000EE"/>
              <w:bottom w:val="single" w:sz="8" w:color="2C2C2C"/>
            </w:tcBorders>
          </w:tcPr>
          <w:p>
            <w:pPr>
              <w:spacing w:after="0"/>
              <w:rPr>
                <w:sz w:val="23"/>
                <w:szCs w:val="23"/>
                <w:color w:val="auto"/>
              </w:rPr>
            </w:pPr>
          </w:p>
        </w:tc>
        <w:tc>
          <w:tcPr>
            <w:tcW w:w="340" w:type="dxa"/>
            <w:vAlign w:val="bottom"/>
            <w:tcBorders>
              <w:top w:val="single" w:sz="8" w:color="0000EE"/>
              <w:bottom w:val="single" w:sz="8" w:color="2C2C2C"/>
            </w:tcBorders>
          </w:tcPr>
          <w:p>
            <w:pPr>
              <w:spacing w:after="0"/>
              <w:rPr>
                <w:sz w:val="23"/>
                <w:szCs w:val="23"/>
                <w:color w:val="auto"/>
              </w:rPr>
            </w:pPr>
          </w:p>
        </w:tc>
        <w:tc>
          <w:tcPr>
            <w:tcW w:w="780" w:type="dxa"/>
            <w:vAlign w:val="bottom"/>
            <w:tcBorders>
              <w:top w:val="single" w:sz="8" w:color="0000EE"/>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3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248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140" w:type="dxa"/>
            <w:vAlign w:val="bottom"/>
            <w:gridSpan w:val="2"/>
          </w:tcPr>
          <w:p>
            <w:pPr>
              <w:ind w:left="40"/>
              <w:spacing w:after="0"/>
              <w:rPr>
                <w:sz w:val="20"/>
                <w:szCs w:val="20"/>
                <w:color w:val="auto"/>
              </w:rPr>
            </w:pPr>
            <w:r>
              <w:rPr>
                <w:rFonts w:ascii="Arial" w:cs="Arial" w:eastAsia="Arial" w:hAnsi="Arial"/>
                <w:sz w:val="9"/>
                <w:szCs w:val="9"/>
                <w:color w:val="auto"/>
              </w:rPr>
              <w:t>4.</w:t>
            </w:r>
          </w:p>
        </w:tc>
        <w:tc>
          <w:tcPr>
            <w:tcW w:w="1960" w:type="dxa"/>
            <w:vAlign w:val="bottom"/>
            <w:gridSpan w:val="3"/>
          </w:tcPr>
          <w:p>
            <w:pPr>
              <w:spacing w:after="0"/>
              <w:rPr>
                <w:sz w:val="20"/>
                <w:szCs w:val="20"/>
                <w:color w:val="auto"/>
              </w:rPr>
            </w:pPr>
            <w:r>
              <w:rPr>
                <w:rFonts w:ascii="Arial" w:cs="Arial" w:eastAsia="Arial" w:hAnsi="Arial"/>
                <w:sz w:val="9"/>
                <w:szCs w:val="9"/>
                <w:color w:val="auto"/>
              </w:rPr>
              <w:t>Relationship of Reporting Person(s) to Issuer</w:t>
            </w:r>
          </w:p>
        </w:tc>
        <w:tc>
          <w:tcPr>
            <w:tcW w:w="134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5.</w:t>
            </w:r>
          </w:p>
        </w:tc>
        <w:tc>
          <w:tcPr>
            <w:tcW w:w="2760" w:type="dxa"/>
            <w:vAlign w:val="bottom"/>
            <w:gridSpan w:val="2"/>
          </w:tcPr>
          <w:p>
            <w:pPr>
              <w:jc w:val="center"/>
              <w:ind w:right="495"/>
              <w:spacing w:after="0"/>
              <w:rPr>
                <w:sz w:val="20"/>
                <w:szCs w:val="20"/>
                <w:color w:val="auto"/>
              </w:rPr>
            </w:pPr>
            <w:r>
              <w:rPr>
                <w:rFonts w:ascii="Arial" w:cs="Arial" w:eastAsia="Arial" w:hAnsi="Arial"/>
                <w:sz w:val="9"/>
                <w:szCs w:val="9"/>
                <w:color w:val="auto"/>
                <w:w w:val="99"/>
              </w:rPr>
              <w:t>If Amendment, Date of Original Filed (Month/Day/Year)</w:t>
            </w:r>
          </w:p>
        </w:tc>
        <w:tc>
          <w:tcPr>
            <w:tcW w:w="0" w:type="dxa"/>
            <w:vAlign w:val="bottom"/>
          </w:tcPr>
          <w:p>
            <w:pPr>
              <w:spacing w:after="0"/>
              <w:rPr>
                <w:sz w:val="1"/>
                <w:szCs w:val="1"/>
                <w:color w:val="auto"/>
              </w:rPr>
            </w:pPr>
          </w:p>
        </w:tc>
      </w:tr>
      <w:tr>
        <w:trPr>
          <w:trHeight w:val="108"/>
        </w:trPr>
        <w:tc>
          <w:tcPr>
            <w:tcW w:w="2100" w:type="dxa"/>
            <w:vAlign w:val="bottom"/>
            <w:gridSpan w:val="5"/>
          </w:tcPr>
          <w:p>
            <w:pPr>
              <w:ind w:left="40"/>
              <w:spacing w:after="0"/>
              <w:rPr>
                <w:sz w:val="20"/>
                <w:szCs w:val="20"/>
                <w:color w:val="auto"/>
              </w:rPr>
            </w:pPr>
            <w:r>
              <w:rPr>
                <w:rFonts w:ascii="Arial" w:cs="Arial" w:eastAsia="Arial" w:hAnsi="Arial"/>
                <w:sz w:val="9"/>
                <w:szCs w:val="9"/>
                <w:color w:val="auto"/>
              </w:rPr>
              <w:t>(Check all applicable)</w:t>
            </w: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20" w:type="dxa"/>
            <w:vAlign w:val="bottom"/>
            <w:gridSpan w:val="2"/>
          </w:tcPr>
          <w:p>
            <w:pPr>
              <w:ind w:left="100"/>
              <w:spacing w:after="0" w:line="80" w:lineRule="exact"/>
              <w:rPr>
                <w:sz w:val="20"/>
                <w:szCs w:val="20"/>
                <w:color w:val="auto"/>
              </w:rPr>
            </w:pPr>
            <w:r>
              <w:rPr>
                <w:rFonts w:ascii="Arial" w:cs="Arial" w:eastAsia="Arial" w:hAnsi="Arial"/>
                <w:sz w:val="9"/>
                <w:szCs w:val="9"/>
                <w:color w:val="auto"/>
              </w:rPr>
              <w:t>Director</w:t>
            </w:r>
          </w:p>
        </w:tc>
        <w:tc>
          <w:tcPr>
            <w:tcW w:w="1340" w:type="dxa"/>
            <w:vAlign w:val="bottom"/>
          </w:tcPr>
          <w:p>
            <w:pPr>
              <w:ind w:left="140"/>
              <w:spacing w:after="0" w:line="80" w:lineRule="exact"/>
              <w:rPr>
                <w:sz w:val="20"/>
                <w:szCs w:val="20"/>
                <w:color w:val="auto"/>
              </w:rPr>
            </w:pPr>
            <w:r>
              <w:rPr>
                <w:rFonts w:ascii="Arial" w:cs="Arial" w:eastAsia="Arial" w:hAnsi="Arial"/>
                <w:sz w:val="9"/>
                <w:szCs w:val="9"/>
                <w:color w:val="auto"/>
              </w:rPr>
              <w:t>10% Owner</w:t>
            </w: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ind w:left="140"/>
              <w:spacing w:after="0"/>
              <w:rPr>
                <w:sz w:val="20"/>
                <w:szCs w:val="20"/>
                <w:color w:val="auto"/>
              </w:rPr>
            </w:pPr>
            <w:r>
              <w:rPr>
                <w:rFonts w:ascii="Arial" w:cs="Arial" w:eastAsia="Arial" w:hAnsi="Arial"/>
                <w:sz w:val="12"/>
                <w:szCs w:val="12"/>
                <w:color w:val="0000FF"/>
              </w:rPr>
              <w:t>X</w:t>
            </w:r>
          </w:p>
        </w:tc>
        <w:tc>
          <w:tcPr>
            <w:tcW w:w="1620" w:type="dxa"/>
            <w:vAlign w:val="bottom"/>
            <w:gridSpan w:val="2"/>
          </w:tcPr>
          <w:p>
            <w:pPr>
              <w:ind w:left="100"/>
              <w:spacing w:after="0"/>
              <w:rPr>
                <w:sz w:val="20"/>
                <w:szCs w:val="20"/>
                <w:color w:val="auto"/>
              </w:rPr>
            </w:pPr>
            <w:r>
              <w:rPr>
                <w:rFonts w:ascii="Arial" w:cs="Arial" w:eastAsia="Arial" w:hAnsi="Arial"/>
                <w:sz w:val="9"/>
                <w:szCs w:val="9"/>
                <w:color w:val="auto"/>
              </w:rPr>
              <w:t>Officer (give title below)</w:t>
            </w:r>
          </w:p>
        </w:tc>
        <w:tc>
          <w:tcPr>
            <w:tcW w:w="1340" w:type="dxa"/>
            <w:vAlign w:val="bottom"/>
          </w:tcPr>
          <w:p>
            <w:pPr>
              <w:ind w:left="140"/>
              <w:spacing w:after="0"/>
              <w:rPr>
                <w:sz w:val="20"/>
                <w:szCs w:val="20"/>
                <w:color w:val="auto"/>
              </w:rPr>
            </w:pPr>
            <w:r>
              <w:rPr>
                <w:rFonts w:ascii="Arial" w:cs="Arial" w:eastAsia="Arial" w:hAnsi="Arial"/>
                <w:sz w:val="9"/>
                <w:szCs w:val="9"/>
                <w:color w:val="auto"/>
              </w:rPr>
              <w:t>Other (specify below)</w:t>
            </w:r>
          </w:p>
        </w:tc>
        <w:tc>
          <w:tcPr>
            <w:tcW w:w="120" w:type="dxa"/>
            <w:vAlign w:val="bottom"/>
          </w:tcPr>
          <w:p>
            <w:pPr>
              <w:jc w:val="right"/>
              <w:spacing w:after="0"/>
              <w:rPr>
                <w:sz w:val="20"/>
                <w:szCs w:val="20"/>
                <w:color w:val="auto"/>
              </w:rPr>
            </w:pPr>
            <w:r>
              <w:rPr>
                <w:rFonts w:ascii="Arial" w:cs="Arial" w:eastAsia="Arial" w:hAnsi="Arial"/>
                <w:sz w:val="9"/>
                <w:szCs w:val="9"/>
                <w:color w:val="auto"/>
              </w:rPr>
              <w:t>6.</w:t>
            </w:r>
          </w:p>
        </w:tc>
        <w:tc>
          <w:tcPr>
            <w:tcW w:w="2760" w:type="dxa"/>
            <w:vAlign w:val="bottom"/>
            <w:gridSpan w:val="2"/>
          </w:tcPr>
          <w:p>
            <w:pPr>
              <w:jc w:val="center"/>
              <w:ind w:right="475"/>
              <w:spacing w:after="0"/>
              <w:rPr>
                <w:sz w:val="20"/>
                <w:szCs w:val="20"/>
                <w:color w:val="auto"/>
              </w:rPr>
            </w:pPr>
            <w:r>
              <w:rPr>
                <w:rFonts w:ascii="Arial" w:cs="Arial" w:eastAsia="Arial" w:hAnsi="Arial"/>
                <w:sz w:val="9"/>
                <w:szCs w:val="9"/>
                <w:color w:val="auto"/>
              </w:rPr>
              <w:t>Individual or Joint/Group Filing (Check Applicable Line)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gridSpan w:val="3"/>
            <w:vMerge w:val="restart"/>
          </w:tcPr>
          <w:p>
            <w:pPr>
              <w:ind w:left="640"/>
              <w:spacing w:after="0"/>
              <w:rPr>
                <w:sz w:val="20"/>
                <w:szCs w:val="20"/>
                <w:color w:val="auto"/>
              </w:rPr>
            </w:pPr>
            <w:r>
              <w:rPr>
                <w:rFonts w:ascii="Arial" w:cs="Arial" w:eastAsia="Arial" w:hAnsi="Arial"/>
                <w:sz w:val="12"/>
                <w:szCs w:val="12"/>
                <w:color w:val="0000FF"/>
              </w:rPr>
              <w:t>Chief Technology Officer</w:t>
            </w:r>
          </w:p>
        </w:tc>
        <w:tc>
          <w:tcPr>
            <w:tcW w:w="120" w:type="dxa"/>
            <w:vAlign w:val="bottom"/>
          </w:tcPr>
          <w:p>
            <w:pPr>
              <w:spacing w:after="0"/>
              <w:rPr>
                <w:sz w:val="12"/>
                <w:szCs w:val="12"/>
                <w:color w:val="auto"/>
              </w:rPr>
            </w:pPr>
          </w:p>
        </w:tc>
        <w:tc>
          <w:tcPr>
            <w:tcW w:w="280" w:type="dxa"/>
            <w:vAlign w:val="bottom"/>
          </w:tcPr>
          <w:p>
            <w:pPr>
              <w:ind w:left="100"/>
              <w:spacing w:after="0"/>
              <w:rPr>
                <w:sz w:val="20"/>
                <w:szCs w:val="20"/>
                <w:color w:val="auto"/>
              </w:rPr>
            </w:pPr>
            <w:r>
              <w:rPr>
                <w:rFonts w:ascii="Arial" w:cs="Arial" w:eastAsia="Arial" w:hAnsi="Arial"/>
                <w:sz w:val="12"/>
                <w:szCs w:val="12"/>
                <w:color w:val="0000FF"/>
              </w:rPr>
              <w:t>X</w:t>
            </w:r>
          </w:p>
        </w:tc>
        <w:tc>
          <w:tcPr>
            <w:tcW w:w="2480" w:type="dxa"/>
            <w:vAlign w:val="bottom"/>
          </w:tcPr>
          <w:p>
            <w:pPr>
              <w:jc w:val="center"/>
              <w:ind w:right="795"/>
              <w:spacing w:after="0"/>
              <w:rPr>
                <w:sz w:val="20"/>
                <w:szCs w:val="20"/>
                <w:color w:val="auto"/>
              </w:rPr>
            </w:pPr>
            <w:r>
              <w:rPr>
                <w:rFonts w:ascii="Arial" w:cs="Arial" w:eastAsia="Arial" w:hAnsi="Arial"/>
                <w:sz w:val="9"/>
                <w:szCs w:val="9"/>
                <w:color w:val="auto"/>
                <w:w w:val="99"/>
              </w:rPr>
              <w:t>Form filed by One Reporting Person</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9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80" w:type="dxa"/>
            <w:vAlign w:val="bottom"/>
            <w:vMerge w:val="restart"/>
          </w:tcPr>
          <w:p>
            <w:pPr>
              <w:ind w:left="100"/>
              <w:spacing w:after="0"/>
              <w:rPr>
                <w:sz w:val="20"/>
                <w:szCs w:val="20"/>
                <w:color w:val="auto"/>
              </w:rPr>
            </w:pPr>
            <w:r>
              <w:rPr>
                <w:rFonts w:ascii="Arial" w:cs="Arial" w:eastAsia="Arial" w:hAnsi="Arial"/>
                <w:sz w:val="9"/>
                <w:szCs w:val="9"/>
                <w:color w:val="auto"/>
              </w:rPr>
              <w:t>Form filed by More than One Reporting Person</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34" w:lineRule="exact"/>
        <w:rPr>
          <w:sz w:val="24"/>
          <w:szCs w:val="24"/>
          <w:color w:val="auto"/>
        </w:rPr>
      </w:pPr>
    </w:p>
    <w:p>
      <w:pPr>
        <w:sectPr>
          <w:pgSz w:w="11900" w:h="16838" w:orient="portrait"/>
          <w:cols w:equalWidth="0" w:num="3">
            <w:col w:w="3360" w:space="118"/>
            <w:col w:w="1482" w:space="180"/>
            <w:col w:w="6340"/>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Common Stock</w:t>
            </w:r>
          </w:p>
        </w:tc>
        <w:tc>
          <w:tcPr>
            <w:tcW w:w="6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jc w:val="center"/>
              <w:ind w:right="747"/>
              <w:spacing w:after="0"/>
              <w:rPr>
                <w:sz w:val="20"/>
                <w:szCs w:val="20"/>
                <w:color w:val="auto"/>
              </w:rPr>
            </w:pPr>
            <w:r>
              <w:rPr>
                <w:rFonts w:ascii="Arial" w:cs="Arial" w:eastAsia="Arial" w:hAnsi="Arial"/>
                <w:sz w:val="12"/>
                <w:szCs w:val="12"/>
                <w:color w:val="0000FF"/>
              </w:rPr>
              <w:t>385,462</w:t>
            </w:r>
            <w:r>
              <w:rPr>
                <w:rFonts w:ascii="Arial" w:cs="Arial" w:eastAsia="Arial" w:hAnsi="Arial"/>
                <w:sz w:val="15"/>
                <w:szCs w:val="15"/>
                <w:color w:val="008000"/>
                <w:vertAlign w:val="superscript"/>
              </w:rPr>
              <w:t>(1)</w:t>
            </w:r>
          </w:p>
        </w:tc>
        <w:tc>
          <w:tcPr>
            <w:tcW w:w="860" w:type="dxa"/>
            <w:vAlign w:val="bottom"/>
            <w:tcBorders>
              <w:bottom w:val="single" w:sz="8" w:color="2C2C2C"/>
            </w:tcBorders>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1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Common Stock</w:t>
            </w:r>
          </w:p>
        </w:tc>
        <w:tc>
          <w:tcPr>
            <w:tcW w:w="6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jc w:val="right"/>
              <w:ind w:right="807"/>
              <w:spacing w:after="0"/>
              <w:rPr>
                <w:sz w:val="20"/>
                <w:szCs w:val="20"/>
                <w:color w:val="auto"/>
              </w:rPr>
            </w:pPr>
            <w:r>
              <w:rPr>
                <w:rFonts w:ascii="Arial" w:cs="Arial" w:eastAsia="Arial" w:hAnsi="Arial"/>
                <w:sz w:val="12"/>
                <w:szCs w:val="12"/>
                <w:color w:val="0000FF"/>
              </w:rPr>
              <w:t>110,132</w:t>
            </w:r>
          </w:p>
        </w:tc>
        <w:tc>
          <w:tcPr>
            <w:tcW w:w="860" w:type="dxa"/>
            <w:vAlign w:val="bottom"/>
            <w:tcBorders>
              <w:bottom w:val="single" w:sz="8" w:color="2C2C2C"/>
            </w:tcBorders>
          </w:tcPr>
          <w:p>
            <w:pPr>
              <w:ind w:left="640"/>
              <w:spacing w:after="0"/>
              <w:rPr>
                <w:sz w:val="20"/>
                <w:szCs w:val="20"/>
                <w:color w:val="auto"/>
              </w:rPr>
            </w:pPr>
            <w:r>
              <w:rPr>
                <w:rFonts w:ascii="Arial" w:cs="Arial" w:eastAsia="Arial" w:hAnsi="Arial"/>
                <w:sz w:val="12"/>
                <w:szCs w:val="12"/>
                <w:color w:val="0000FF"/>
              </w:rPr>
              <w:t>I</w:t>
            </w:r>
          </w:p>
        </w:tc>
        <w:tc>
          <w:tcPr>
            <w:tcW w:w="1700" w:type="dxa"/>
            <w:vAlign w:val="bottom"/>
            <w:tcBorders>
              <w:bottom w:val="single" w:sz="8" w:color="2C2C2C"/>
            </w:tcBorders>
            <w:gridSpan w:val="2"/>
          </w:tcPr>
          <w:p>
            <w:pPr>
              <w:ind w:left="480"/>
              <w:spacing w:after="0"/>
              <w:rPr>
                <w:sz w:val="20"/>
                <w:szCs w:val="20"/>
                <w:color w:val="auto"/>
              </w:rPr>
            </w:pPr>
            <w:r>
              <w:rPr>
                <w:rFonts w:ascii="Arial" w:cs="Arial" w:eastAsia="Arial" w:hAnsi="Arial"/>
                <w:sz w:val="12"/>
                <w:szCs w:val="12"/>
                <w:color w:val="0000FF"/>
              </w:rPr>
              <w:t>See Footnote</w:t>
            </w:r>
            <w:r>
              <w:rPr>
                <w:rFonts w:ascii="Arial" w:cs="Arial" w:eastAsia="Arial" w:hAnsi="Arial"/>
                <w:sz w:val="15"/>
                <w:szCs w:val="15"/>
                <w:color w:val="008000"/>
                <w:vertAlign w:val="superscript"/>
              </w:rPr>
              <w:t>(2)</w:t>
            </w:r>
          </w:p>
        </w:tc>
        <w:tc>
          <w:tcPr>
            <w:tcW w:w="1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4"/>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Series A Convertible Preferred Stock</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(4)</w:t>
            </w:r>
          </w:p>
        </w:tc>
        <w:tc>
          <w:tcPr>
            <w:tcW w:w="2140" w:type="dxa"/>
            <w:vAlign w:val="bottom"/>
            <w:tcBorders>
              <w:bottom w:val="single" w:sz="8" w:color="2C2C2C"/>
            </w:tcBorders>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Borders>
              <w:bottom w:val="single" w:sz="8" w:color="2C2C2C"/>
            </w:tcBorders>
          </w:tcPr>
          <w:p>
            <w:pPr>
              <w:jc w:val="center"/>
              <w:ind w:left="107"/>
              <w:spacing w:after="0"/>
              <w:rPr>
                <w:sz w:val="20"/>
                <w:szCs w:val="20"/>
                <w:color w:val="auto"/>
              </w:rPr>
            </w:pPr>
            <w:r>
              <w:rPr>
                <w:rFonts w:ascii="Arial" w:cs="Arial" w:eastAsia="Arial" w:hAnsi="Arial"/>
                <w:sz w:val="12"/>
                <w:szCs w:val="12"/>
                <w:color w:val="0000FF"/>
                <w:w w:val="85"/>
              </w:rPr>
              <w:t>10,324</w:t>
            </w:r>
            <w:r>
              <w:rPr>
                <w:rFonts w:ascii="Arial" w:cs="Arial" w:eastAsia="Arial" w:hAnsi="Arial"/>
                <w:sz w:val="15"/>
                <w:szCs w:val="15"/>
                <w:color w:val="008000"/>
                <w:w w:val="85"/>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91"/>
              </w:rPr>
              <w:t>(3)(5)</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Series B Convertible Preferred Stock</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(4)</w:t>
            </w:r>
          </w:p>
        </w:tc>
        <w:tc>
          <w:tcPr>
            <w:tcW w:w="2140" w:type="dxa"/>
            <w:vAlign w:val="bottom"/>
            <w:tcBorders>
              <w:bottom w:val="single" w:sz="8" w:color="2C2C2C"/>
            </w:tcBorders>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Borders>
              <w:bottom w:val="single" w:sz="8" w:color="2C2C2C"/>
            </w:tcBorders>
          </w:tcPr>
          <w:p>
            <w:pPr>
              <w:jc w:val="center"/>
              <w:ind w:left="107"/>
              <w:spacing w:after="0"/>
              <w:rPr>
                <w:sz w:val="20"/>
                <w:szCs w:val="20"/>
                <w:color w:val="auto"/>
              </w:rPr>
            </w:pPr>
            <w:r>
              <w:rPr>
                <w:rFonts w:ascii="Arial" w:cs="Arial" w:eastAsia="Arial" w:hAnsi="Arial"/>
                <w:sz w:val="12"/>
                <w:szCs w:val="12"/>
                <w:color w:val="0000FF"/>
                <w:w w:val="80"/>
              </w:rPr>
              <w:t>3,324</w:t>
            </w:r>
            <w:r>
              <w:rPr>
                <w:rFonts w:ascii="Arial" w:cs="Arial" w:eastAsia="Arial" w:hAnsi="Arial"/>
                <w:sz w:val="15"/>
                <w:szCs w:val="15"/>
                <w:color w:val="008000"/>
                <w:w w:val="8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91"/>
              </w:rPr>
              <w:t>(3)(6)</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Series D Convertible Preferred Stock</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(4)</w:t>
            </w:r>
          </w:p>
        </w:tc>
        <w:tc>
          <w:tcPr>
            <w:tcW w:w="2140" w:type="dxa"/>
            <w:vAlign w:val="bottom"/>
            <w:tcBorders>
              <w:bottom w:val="single" w:sz="8" w:color="2C2C2C"/>
            </w:tcBorders>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Borders>
              <w:bottom w:val="single" w:sz="8" w:color="2C2C2C"/>
            </w:tcBorders>
          </w:tcPr>
          <w:p>
            <w:pPr>
              <w:jc w:val="center"/>
              <w:ind w:left="107"/>
              <w:spacing w:after="0"/>
              <w:rPr>
                <w:sz w:val="20"/>
                <w:szCs w:val="20"/>
                <w:color w:val="auto"/>
              </w:rPr>
            </w:pPr>
            <w:r>
              <w:rPr>
                <w:rFonts w:ascii="Arial" w:cs="Arial" w:eastAsia="Arial" w:hAnsi="Arial"/>
                <w:sz w:val="12"/>
                <w:szCs w:val="12"/>
                <w:color w:val="0000FF"/>
                <w:w w:val="85"/>
              </w:rPr>
              <w:t>46,864</w:t>
            </w:r>
            <w:r>
              <w:rPr>
                <w:rFonts w:ascii="Arial" w:cs="Arial" w:eastAsia="Arial" w:hAnsi="Arial"/>
                <w:sz w:val="15"/>
                <w:szCs w:val="15"/>
                <w:color w:val="008000"/>
                <w:w w:val="85"/>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91"/>
              </w:rPr>
              <w:t>(3)(7)</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Series E Convertible Preferred Stock</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(4)</w:t>
            </w:r>
          </w:p>
        </w:tc>
        <w:tc>
          <w:tcPr>
            <w:tcW w:w="2140" w:type="dxa"/>
            <w:vAlign w:val="bottom"/>
            <w:tcBorders>
              <w:bottom w:val="single" w:sz="8" w:color="2C2C2C"/>
            </w:tcBorders>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Borders>
              <w:bottom w:val="single" w:sz="8" w:color="2C2C2C"/>
            </w:tcBorders>
          </w:tcPr>
          <w:p>
            <w:pPr>
              <w:jc w:val="center"/>
              <w:ind w:left="107"/>
              <w:spacing w:after="0"/>
              <w:rPr>
                <w:sz w:val="20"/>
                <w:szCs w:val="20"/>
                <w:color w:val="auto"/>
              </w:rPr>
            </w:pPr>
            <w:r>
              <w:rPr>
                <w:rFonts w:ascii="Arial" w:cs="Arial" w:eastAsia="Arial" w:hAnsi="Arial"/>
                <w:sz w:val="12"/>
                <w:szCs w:val="12"/>
                <w:color w:val="0000FF"/>
                <w:w w:val="80"/>
              </w:rPr>
              <w:t>1,619</w:t>
            </w:r>
            <w:r>
              <w:rPr>
                <w:rFonts w:ascii="Arial" w:cs="Arial" w:eastAsia="Arial" w:hAnsi="Arial"/>
                <w:sz w:val="15"/>
                <w:szCs w:val="15"/>
                <w:color w:val="008000"/>
                <w:w w:val="8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91"/>
              </w:rPr>
              <w:t>(3)(8)</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Stock Option (Right to Buy)</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(9)</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9"/>
                <w:szCs w:val="9"/>
                <w:color w:val="0000FF"/>
                <w:w w:val="88"/>
              </w:rPr>
              <w:t>07/15/2019</w:t>
            </w:r>
          </w:p>
        </w:tc>
        <w:tc>
          <w:tcPr>
            <w:tcW w:w="2140" w:type="dxa"/>
            <w:vAlign w:val="bottom"/>
            <w:tcBorders>
              <w:bottom w:val="single" w:sz="8" w:color="2C2C2C"/>
            </w:tcBorders>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Borders>
              <w:bottom w:val="single" w:sz="8" w:color="2C2C2C"/>
            </w:tcBorders>
          </w:tcPr>
          <w:p>
            <w:pPr>
              <w:jc w:val="center"/>
              <w:ind w:left="107"/>
              <w:spacing w:after="0"/>
              <w:rPr>
                <w:sz w:val="20"/>
                <w:szCs w:val="20"/>
                <w:color w:val="auto"/>
              </w:rPr>
            </w:pPr>
            <w:r>
              <w:rPr>
                <w:rFonts w:ascii="Arial" w:cs="Arial" w:eastAsia="Arial" w:hAnsi="Arial"/>
                <w:sz w:val="12"/>
                <w:szCs w:val="12"/>
                <w:color w:val="0000FF"/>
                <w:w w:val="82"/>
              </w:rPr>
              <w:t>1,142,678</w:t>
            </w:r>
            <w:r>
              <w:rPr>
                <w:rFonts w:ascii="Arial" w:cs="Arial" w:eastAsia="Arial" w:hAnsi="Arial"/>
                <w:sz w:val="15"/>
                <w:szCs w:val="15"/>
                <w:color w:val="008000"/>
                <w:w w:val="82"/>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81"/>
              </w:rPr>
              <w:t>0.2211</w:t>
            </w:r>
            <w:r>
              <w:rPr>
                <w:rFonts w:ascii="Arial" w:cs="Arial" w:eastAsia="Arial" w:hAnsi="Arial"/>
                <w:sz w:val="15"/>
                <w:szCs w:val="15"/>
                <w:color w:val="008000"/>
                <w:w w:val="81"/>
                <w:vertAlign w:val="superscript"/>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Stock Option (Right to Buy)</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4"/>
              </w:rPr>
              <w:t>(10)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9"/>
                <w:szCs w:val="9"/>
                <w:color w:val="0000FF"/>
                <w:w w:val="88"/>
              </w:rPr>
              <w:t>07/14/2020</w:t>
            </w:r>
          </w:p>
        </w:tc>
        <w:tc>
          <w:tcPr>
            <w:tcW w:w="2140" w:type="dxa"/>
            <w:vAlign w:val="bottom"/>
            <w:tcBorders>
              <w:bottom w:val="single" w:sz="8" w:color="2C2C2C"/>
            </w:tcBorders>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Borders>
              <w:bottom w:val="single" w:sz="8" w:color="2C2C2C"/>
            </w:tcBorders>
          </w:tcPr>
          <w:p>
            <w:pPr>
              <w:jc w:val="center"/>
              <w:ind w:left="107"/>
              <w:spacing w:after="0"/>
              <w:rPr>
                <w:sz w:val="20"/>
                <w:szCs w:val="20"/>
                <w:color w:val="auto"/>
              </w:rPr>
            </w:pPr>
            <w:r>
              <w:rPr>
                <w:rFonts w:ascii="Arial" w:cs="Arial" w:eastAsia="Arial" w:hAnsi="Arial"/>
                <w:sz w:val="12"/>
                <w:szCs w:val="12"/>
                <w:color w:val="0000FF"/>
                <w:w w:val="82"/>
              </w:rPr>
              <w:t>523,701</w:t>
            </w:r>
            <w:r>
              <w:rPr>
                <w:rFonts w:ascii="Arial" w:cs="Arial" w:eastAsia="Arial" w:hAnsi="Arial"/>
                <w:sz w:val="15"/>
                <w:szCs w:val="15"/>
                <w:color w:val="008000"/>
                <w:w w:val="82"/>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85"/>
              </w:rPr>
              <w:t>1.3266</w:t>
            </w:r>
            <w:r>
              <w:rPr>
                <w:rFonts w:ascii="Arial" w:cs="Arial" w:eastAsia="Arial" w:hAnsi="Arial"/>
                <w:sz w:val="15"/>
                <w:szCs w:val="15"/>
                <w:color w:val="008000"/>
                <w:w w:val="85"/>
                <w:vertAlign w:val="superscript"/>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Reflects a 1-for-9.08 reverse stock split of the Company's issued and outstanding securities effective March 23, 2012.</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Shares held by The Martin Fornage Grantor Retained Annuity Trust.</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Immediately convertible into shares of the Issuer's common stock.</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shares have no expiration date.</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shares will automatically convert into 12,657 shares of the Issuer's common stock immediately prior to the closing of the Issuer's initial public offering.</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shares will automatically convert into 6,309 shares of the Issuer's common stock immediately prior to the closing of the Issuer's initial public offering.</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shares will automatically convert into 46,864 shares of the Issuer's common stock immediately prior to the closing of the Issuer's initial public offering.</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shares will automatically convert into 1,619 shares of the Issuer's common stock immediately prior to the closing of the Issuer's initial public offering.</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shares subject to the stock option vest over a four-year period commencing April 24, 2009, with 1/48th of the shares vesting on a monthly basis.</w:t>
      </w:r>
    </w:p>
    <w:p>
      <w:pPr>
        <w:spacing w:after="0" w:line="31" w:lineRule="exact"/>
        <w:rPr>
          <w:rFonts w:ascii="Arial" w:cs="Arial" w:eastAsia="Arial" w:hAnsi="Arial"/>
          <w:sz w:val="9"/>
          <w:szCs w:val="9"/>
          <w:color w:val="008000"/>
        </w:rPr>
      </w:pPr>
    </w:p>
    <w:p>
      <w:pPr>
        <w:ind w:left="160" w:hanging="141"/>
        <w:spacing w:after="0"/>
        <w:tabs>
          <w:tab w:leader="none" w:pos="16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shares subject to the stock option vest over a four-year period commencing May 21, 2010, with 1/48th of the shares vesting on a monthly basis.</w:t>
      </w:r>
    </w:p>
    <w:p>
      <w:pPr>
        <w:spacing w:after="0" w:line="36" w:lineRule="exact"/>
        <w:rPr>
          <w:sz w:val="24"/>
          <w:szCs w:val="24"/>
          <w:color w:val="auto"/>
        </w:rPr>
      </w:pPr>
    </w:p>
    <w:tbl>
      <w:tblPr>
        <w:tblLayout w:type="fixed"/>
        <w:tblInd w:w="6900" w:type="dxa"/>
        <w:tblCellMar>
          <w:top w:w="0" w:type="dxa"/>
          <w:left w:w="0" w:type="dxa"/>
          <w:bottom w:w="0" w:type="dxa"/>
          <w:right w:w="0" w:type="dxa"/>
        </w:tblCellMar>
      </w:tblPr>
      <w:tr>
        <w:trPr>
          <w:trHeight w:val="138"/>
        </w:trPr>
        <w:tc>
          <w:tcPr>
            <w:tcW w:w="176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91"/>
              </w:rPr>
              <w:t>/s/ Taylor Browning, Attorney-in-fact</w:t>
            </w:r>
          </w:p>
        </w:tc>
        <w:tc>
          <w:tcPr>
            <w:tcW w:w="52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03/29/2012</w:t>
            </w: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4"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Sanjeev Kumar, Taylor Browning or Bert Garcia, or either of them si</w:t>
      </w:r>
    </w:p>
    <w:p>
      <w:pPr>
        <w:spacing w:after="0" w:line="10" w:lineRule="exact"/>
        <w:rPr>
          <w:sz w:val="20"/>
          <w:szCs w:val="20"/>
          <w:color w:val="auto"/>
        </w:rPr>
      </w:pPr>
    </w:p>
    <w:p>
      <w:pPr>
        <w:ind w:left="568" w:hanging="568"/>
        <w:spacing w:after="0"/>
        <w:tabs>
          <w:tab w:leader="none" w:pos="56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w:t>
      </w:r>
    </w:p>
    <w:p>
      <w:pPr>
        <w:spacing w:after="0" w:line="10" w:lineRule="exact"/>
        <w:rPr>
          <w:rFonts w:ascii="Courier New" w:cs="Courier New" w:eastAsia="Courier New" w:hAnsi="Courier New"/>
          <w:sz w:val="11"/>
          <w:szCs w:val="11"/>
          <w:color w:val="auto"/>
        </w:rPr>
      </w:pPr>
    </w:p>
    <w:p>
      <w:pPr>
        <w:ind w:left="568" w:hanging="568"/>
        <w:spacing w:after="0"/>
        <w:tabs>
          <w:tab w:leader="none" w:pos="56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director and/or more than 10% stockholder of Enphase Energy, Inc.</w:t>
      </w:r>
    </w:p>
    <w:p>
      <w:pPr>
        <w:spacing w:after="0" w:line="10" w:lineRule="exact"/>
        <w:rPr>
          <w:rFonts w:ascii="Courier New" w:cs="Courier New" w:eastAsia="Courier New" w:hAnsi="Courier New"/>
          <w:sz w:val="11"/>
          <w:szCs w:val="11"/>
          <w:color w:val="auto"/>
        </w:rPr>
      </w:pPr>
    </w:p>
    <w:p>
      <w:pPr>
        <w:ind w:left="1128" w:hanging="1128"/>
        <w:spacing w:after="0"/>
        <w:tabs>
          <w:tab w:leader="none" w:pos="112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w:t>
      </w:r>
    </w:p>
    <w:p>
      <w:pPr>
        <w:spacing w:after="0" w:line="10" w:lineRule="exact"/>
        <w:rPr>
          <w:rFonts w:ascii="Courier New" w:cs="Courier New" w:eastAsia="Courier New" w:hAnsi="Courier New"/>
          <w:sz w:val="11"/>
          <w:szCs w:val="11"/>
          <w:color w:val="auto"/>
        </w:rPr>
      </w:pPr>
    </w:p>
    <w:p>
      <w:pPr>
        <w:jc w:val="both"/>
        <w:ind w:left="568" w:hanging="568"/>
        <w:spacing w:after="0" w:line="260" w:lineRule="auto"/>
        <w:tabs>
          <w:tab w:leader="none" w:pos="56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 The undersigned hereby grants to each such attorney-in-fact full power and authority to do and perform any and every act and thing whatsoever requisite, nec This Power of Attorney shall remain in full force and effect until the undersigned is no longer required to file Forms 3, 4, and 5 with respect to the under</w:t>
      </w:r>
    </w:p>
    <w:p>
      <w:pPr>
        <w:ind w:left="568"/>
        <w:spacing w:after="0" w:line="232" w:lineRule="auto"/>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28th day of February, 2012.</w:t>
      </w:r>
    </w:p>
    <w:p>
      <w:pPr>
        <w:ind w:left="8"/>
        <w:spacing w:after="0"/>
        <w:rPr>
          <w:sz w:val="20"/>
          <w:szCs w:val="20"/>
          <w:color w:val="auto"/>
        </w:rPr>
      </w:pPr>
      <w:r>
        <w:rPr>
          <w:rFonts w:ascii="Courier New" w:cs="Courier New" w:eastAsia="Courier New" w:hAnsi="Courier New"/>
          <w:sz w:val="12"/>
          <w:szCs w:val="12"/>
          <w:color w:val="auto"/>
        </w:rPr>
        <w:t>/s/ Martin Fornage</w:t>
      </w:r>
    </w:p>
    <w:p>
      <w:pPr>
        <w:ind w:left="8"/>
        <w:spacing w:after="0" w:line="237" w:lineRule="auto"/>
        <w:rPr>
          <w:sz w:val="20"/>
          <w:szCs w:val="20"/>
          <w:color w:val="auto"/>
        </w:rPr>
      </w:pPr>
      <w:r>
        <w:rPr>
          <w:rFonts w:ascii="Courier New" w:cs="Courier New" w:eastAsia="Courier New" w:hAnsi="Courier New"/>
          <w:sz w:val="12"/>
          <w:szCs w:val="12"/>
          <w:color w:val="auto"/>
        </w:rPr>
        <w:t>Martin Fornage</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43708" TargetMode="External"/><Relationship Id="rId12" Type="http://schemas.openxmlformats.org/officeDocument/2006/relationships/hyperlink" Target="http://www.sec.gov/cgi-bin/browse-edgar?action=getcompany&amp;CIK=0001463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2019-12-17T16:00:27Z</dcterms:created>
  <dcterms:modified xsi:type="dcterms:W3CDTF">2019-12-17T16:00:27Z</dcterms:modified>
</cp:coreProperties>
</file>