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31, 2026</w:t>
      </w:r>
    </w:p>
    <w:p>
      <w:pPr>
        <w:spacing w:after="0" w:line="3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98425</wp:posOffset>
            </wp:positionV>
            <wp:extent cx="22288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ENPHASE ENERGY,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ind w:right="1179"/>
              <w:spacing w:after="0"/>
              <w:rPr>
                <w:sz w:val="20"/>
                <w:szCs w:val="20"/>
                <w:color w:val="auto"/>
              </w:rPr>
            </w:pPr>
            <w:r>
              <w:rPr>
                <w:rFonts w:ascii="Times New Roman" w:cs="Times New Roman" w:eastAsia="Times New Roman" w:hAnsi="Times New Roman"/>
                <w:sz w:val="18"/>
                <w:szCs w:val="18"/>
                <w:b w:val="1"/>
                <w:bCs w:val="1"/>
                <w:color w:val="auto"/>
              </w:rPr>
              <w:t>001-35480</w:t>
            </w:r>
          </w:p>
        </w:tc>
        <w:tc>
          <w:tcPr>
            <w:tcW w:w="700" w:type="dxa"/>
            <w:vAlign w:val="bottom"/>
          </w:tcPr>
          <w:p>
            <w:pPr>
              <w:spacing w:after="0"/>
              <w:rPr>
                <w:sz w:val="20"/>
                <w:szCs w:val="20"/>
                <w:color w:val="auto"/>
              </w:rPr>
            </w:pPr>
          </w:p>
        </w:tc>
        <w:tc>
          <w:tcPr>
            <w:tcW w:w="330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20-4645388</w:t>
            </w:r>
          </w:p>
        </w:tc>
      </w:tr>
      <w:tr>
        <w:trPr>
          <w:trHeight w:val="182"/>
        </w:trPr>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720" w:type="dxa"/>
            <w:vAlign w:val="bottom"/>
          </w:tcPr>
          <w:p>
            <w:pPr>
              <w:spacing w:after="0"/>
              <w:rPr>
                <w:sz w:val="15"/>
                <w:szCs w:val="15"/>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70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47281 Bayside Parkway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Fremont, CA 94538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(707) 774-7000</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 Applicable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231F20"/>
        </w:rPr>
        <w:t>(Former name or former address, if changed since last report.)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jc w:val="center"/>
              <w:ind w:right="100"/>
              <w:spacing w:after="0"/>
              <w:rPr>
                <w:sz w:val="20"/>
                <w:szCs w:val="20"/>
                <w:color w:val="auto"/>
              </w:rPr>
            </w:pPr>
            <w:r>
              <w:rPr>
                <w:rFonts w:ascii="Arial" w:cs="Arial" w:eastAsia="Arial" w:hAnsi="Arial"/>
                <w:sz w:val="13"/>
                <w:szCs w:val="13"/>
                <w:color w:val="auto"/>
              </w:rPr>
              <w:t>Title of each class</w:t>
            </w:r>
          </w:p>
        </w:tc>
        <w:tc>
          <w:tcPr>
            <w:tcW w:w="2280" w:type="dxa"/>
            <w:vAlign w:val="bottom"/>
            <w:gridSpan w:val="2"/>
          </w:tcPr>
          <w:p>
            <w:pPr>
              <w:jc w:val="center"/>
              <w:ind w:right="140"/>
              <w:spacing w:after="0"/>
              <w:rPr>
                <w:sz w:val="20"/>
                <w:szCs w:val="20"/>
                <w:color w:val="auto"/>
              </w:rPr>
            </w:pPr>
            <w:r>
              <w:rPr>
                <w:rFonts w:ascii="Arial" w:cs="Arial" w:eastAsia="Arial" w:hAnsi="Arial"/>
                <w:sz w:val="13"/>
                <w:szCs w:val="13"/>
                <w:color w:val="auto"/>
              </w:rPr>
              <w:t>Trading Symbol(s)</w:t>
            </w:r>
          </w:p>
        </w:tc>
        <w:tc>
          <w:tcPr>
            <w:tcW w:w="4420" w:type="dxa"/>
            <w:vAlign w:val="bottom"/>
          </w:tcPr>
          <w:p>
            <w:pPr>
              <w:jc w:val="center"/>
              <w:spacing w:after="0"/>
              <w:rPr>
                <w:sz w:val="20"/>
                <w:szCs w:val="20"/>
                <w:color w:val="auto"/>
              </w:rPr>
            </w:pPr>
            <w:r>
              <w:rPr>
                <w:rFonts w:ascii="Arial" w:cs="Arial" w:eastAsia="Arial" w:hAnsi="Arial"/>
                <w:sz w:val="13"/>
                <w:szCs w:val="13"/>
                <w:color w:val="auto"/>
              </w:rPr>
              <w:t>Name of each exchange on which registered</w:t>
            </w:r>
          </w:p>
        </w:tc>
      </w:tr>
      <w:tr>
        <w:trPr>
          <w:trHeight w:val="186"/>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Common Stock, $0.00001 par value per share</w:t>
            </w:r>
          </w:p>
        </w:tc>
        <w:tc>
          <w:tcPr>
            <w:tcW w:w="120" w:type="dxa"/>
            <w:vAlign w:val="bottom"/>
          </w:tcPr>
          <w:p>
            <w:pPr>
              <w:spacing w:after="0"/>
              <w:rPr>
                <w:sz w:val="16"/>
                <w:szCs w:val="16"/>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ENPH</w:t>
            </w:r>
          </w:p>
        </w:tc>
        <w:tc>
          <w:tcPr>
            <w:tcW w:w="120" w:type="dxa"/>
            <w:vAlign w:val="bottom"/>
          </w:tcPr>
          <w:p>
            <w:pPr>
              <w:spacing w:after="0"/>
              <w:rPr>
                <w:sz w:val="16"/>
                <w:szCs w:val="16"/>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Nasdaq Global Market</w:t>
            </w:r>
          </w:p>
        </w:tc>
      </w:tr>
    </w:tbl>
    <w:p>
      <w:pPr>
        <w:spacing w:after="0" w:line="200" w:lineRule="exact"/>
        <w:rPr>
          <w:sz w:val="24"/>
          <w:szCs w:val="24"/>
          <w:color w:val="auto"/>
        </w:rPr>
      </w:pPr>
    </w:p>
    <w:p>
      <w:pPr>
        <w:spacing w:after="0" w:line="221"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5"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related to the expectations of Enphase Energy, Inc. (the “Company”) of its GAAP gross margin for the first quarter of 2026 as compared to its prior guidance, as set forth under Item 8.01 of this Current Report on Form 8-K, is incorporated herein by reference.</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the Form 8-K shall not be deemed “filed” for purposes of Section 18 of the Securities Exchange Act of 1934, as amended (the “Exchange Act”), or subject to the liabilities of that Section or Sections 11 and 12(a)(2) of the Securities Act of 1933, as amended (the “Securities Act”), and shall not be incorporated by reference in any registration statement or other document filed under the Securities Act or the Exchange Act, whether made before or after the date hereof, regardless of any general incorporation language in such filings, except as shall be expressly set forth by specific reference in such a filing.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On March 31, 2026 (the “Effective Date”), the Company entered into a Tax Credit Transfer Agreement (the “Agreement”) with a leading financial institution (the “Purchaser”).</w:t>
      </w:r>
    </w:p>
    <w:p>
      <w:pPr>
        <w:spacing w:after="0" w:line="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Agreement, the Company agreed to sell to the Purchaser $235,000,000 of advanced manufacturing production tax credits (“Tax Credits”) generated by the production of certain eligible components in the United States and the sale of such components to third parties during calendar year 2025 (the “Eligible Transaction”) pursuant to Section 45X of the Internal Revenue Code of 1986, as amended. Pursuant to the Agreement, the purchase price for such Tax Credits was $218,550,000, payable in a single installment on the Effective Date. The Effective Date was subject to customary conditions precedent, including absence of default and the accuracy of representations and warranties of the Company. The Agreement contains customary covenants, indemnification, and termination provisions for comparable tax credits sale agreements.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Credits were sold at 93% of face value, resulting in a discount of approximately $16.5 million. The Company also incurred approximately $2.5 million in transaction-related fees. Because these amounts relate to Tax Credits generated in the prior fiscal year and do not reflect the Company’s ongoing operating performance, the Company expects to exclude them from its non-GAAP financial measures for the first quarter of 2026. By including these amounts in its GAAP financial measures, the Company expects its GAAP gross margin for the first quarter of 2026 to be reduced by approximately 6.7 percentage points compared to the Company's prior guidance.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Form 8-K contains forward-looking statements, including, but not limited to, statements related to its expectations about non-GAAP and GAAP financial measures, including gross margin in the first quarter of 2026.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in addition to other risks described in more detail in its most recently filed Annual Report on Form 10-K and other documents on file with the SEC from time to time and available on the SEC’s website at www.sec.gov. The Company undertakes no duty or obligation to update any forward-looking statements contained in this Form 8-K as a result of new information, future events or changes in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20"/>
        <w:spacing w:after="0"/>
        <w:tabs>
          <w:tab w:leader="none" w:pos="5520" w:val="left"/>
        </w:tabs>
        <w:rPr>
          <w:sz w:val="20"/>
          <w:szCs w:val="20"/>
          <w:color w:val="auto"/>
        </w:rPr>
      </w:pPr>
      <w:r>
        <w:rPr>
          <w:rFonts w:ascii="Times New Roman" w:cs="Times New Roman" w:eastAsia="Times New Roman" w:hAnsi="Times New Roman"/>
          <w:sz w:val="18"/>
          <w:szCs w:val="18"/>
          <w:color w:val="auto"/>
        </w:rPr>
        <w:t>By: April 6, 2026</w:t>
      </w:r>
      <w:r>
        <w:rPr>
          <w:sz w:val="20"/>
          <w:szCs w:val="20"/>
          <w:color w:val="auto"/>
        </w:rPr>
        <w:tab/>
      </w:r>
      <w:r>
        <w:rPr>
          <w:rFonts w:ascii="Times New Roman" w:cs="Times New Roman" w:eastAsia="Times New Roman" w:hAnsi="Times New Roman"/>
          <w:sz w:val="17"/>
          <w:szCs w:val="17"/>
          <w:color w:val="auto"/>
        </w:rPr>
        <w:t>ENPHASE ENERGY, INC.</w:t>
      </w:r>
    </w:p>
    <w:p>
      <w:pPr>
        <w:spacing w:after="0" w:line="27" w:lineRule="exact"/>
        <w:rPr>
          <w:sz w:val="20"/>
          <w:szCs w:val="20"/>
          <w:color w:val="auto"/>
        </w:rPr>
      </w:pPr>
    </w:p>
    <w:p>
      <w:pPr>
        <w:ind w:left="554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Mandy Yang</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0760"/>
      </w:cols>
      <w:pgMar w:left="320" w:top="1409"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2026-04-06T15:05:32Z</dcterms:created>
  <dcterms:modified xsi:type="dcterms:W3CDTF">2026-04-06T15:05:32Z</dcterms:modified>
</cp:coreProperties>
</file>