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Washington, D.C. 20549</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________________________________________________</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July 28, 2026 </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________________________________________________</w:t>
      </w:r>
    </w:p>
    <w:p>
      <w:pPr>
        <w:pStyle w:val="TextBody"/>
        <w:bidi w:val="0"/>
        <w:spacing w:before="0" w:after="180"/>
        <w:jc w:val="center"/>
        <w:rPr/>
      </w:pPr>
      <w:r>
        <w:rPr/>
        <w:drawing>
          <wp:inline distT="0" distB="0" distL="0" distR="0">
            <wp:extent cx="2476500"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76500" cy="4286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ENPHASE ENERGY, INC.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________________________________________________</w:t>
      </w:r>
    </w:p>
    <w:tbl>
      <w:tblPr>
        <w:tblW w:w="8047" w:type="dxa"/>
        <w:jc w:val="left"/>
        <w:tblInd w:w="0" w:type="dxa"/>
        <w:tblLayout w:type="fixed"/>
        <w:tblCellMar>
          <w:top w:w="28" w:type="dxa"/>
          <w:left w:w="28" w:type="dxa"/>
          <w:bottom w:w="28" w:type="dxa"/>
          <w:right w:w="28" w:type="dxa"/>
        </w:tblCellMar>
      </w:tblPr>
      <w:tblGrid>
        <w:gridCol w:w="1148"/>
        <w:gridCol w:w="1008"/>
        <w:gridCol w:w="1023"/>
        <w:gridCol w:w="109"/>
        <w:gridCol w:w="109"/>
        <w:gridCol w:w="109"/>
        <w:gridCol w:w="558"/>
        <w:gridCol w:w="558"/>
        <w:gridCol w:w="564"/>
        <w:gridCol w:w="109"/>
        <w:gridCol w:w="109"/>
        <w:gridCol w:w="109"/>
        <w:gridCol w:w="740"/>
        <w:gridCol w:w="740"/>
        <w:gridCol w:w="1054"/>
      </w:tblGrid>
      <w:tr>
        <w:trPr/>
        <w:tc>
          <w:tcPr>
            <w:tcW w:w="114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001-35480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20-4645388</w:t>
            </w:r>
          </w:p>
        </w:tc>
      </w:tr>
      <w:tr>
        <w:trPr/>
        <w:tc>
          <w:tcPr>
            <w:tcW w:w="31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 File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47281 Bayside Parkway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Fremont, CA 94538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including zip code)</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 xml:space="preserve">(707) 774-7000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lineRule="auto" w:line="417" w:before="0" w:after="0"/>
        <w:jc w:val="center"/>
        <w:rPr>
          <w:rFonts w:ascii="Times New Roman;serif" w:hAnsi="Times New Roman;serif"/>
          <w:b/>
          <w:color w:val="231F20"/>
          <w:sz w:val="20"/>
        </w:rPr>
      </w:pPr>
      <w:r>
        <w:rPr>
          <w:rFonts w:ascii="Times New Roman;serif" w:hAnsi="Times New Roman;serif"/>
          <w:b/>
          <w:color w:val="231F20"/>
          <w:sz w:val="20"/>
        </w:rPr>
        <w:t>Not Applicable</w:t>
      </w:r>
    </w:p>
    <w:p>
      <w:pPr>
        <w:pStyle w:val="TextBody"/>
        <w:bidi w:val="0"/>
        <w:spacing w:lineRule="auto" w:line="288" w:before="0" w:after="0"/>
        <w:jc w:val="center"/>
        <w:rPr>
          <w:rFonts w:ascii="Times New Roman;serif" w:hAnsi="Times New Roman;serif"/>
          <w:b w:val="false"/>
          <w:color w:val="231F20"/>
          <w:sz w:val="16"/>
        </w:rPr>
      </w:pPr>
      <w:r>
        <w:rPr>
          <w:rFonts w:ascii="Times New Roman;serif" w:hAnsi="Times New Roman;serif"/>
          <w:b w:val="false"/>
          <w:color w:val="231F20"/>
          <w:sz w:val="16"/>
        </w:rPr>
        <w:t>(Former name or former address,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lineRule="auto" w:line="288" w:before="60" w:after="60"/>
        <w:jc w:val="left"/>
        <w:rPr/>
      </w:pPr>
      <w:r>
        <w:rPr>
          <w:color w:val="000000"/>
        </w:rPr>
        <w:t xml:space="preserve">☐ </w:t>
      </w:r>
      <w:r>
        <w:rPr>
          <w:rFonts w:ascii="Times New Roman;serif" w:hAnsi="Times New Roman;serif"/>
          <w:b w:val="false"/>
          <w:color w:val="000000"/>
          <w:sz w:val="18"/>
        </w:rPr>
        <w:t>Written communications pursuant to Rule 425 under the Securities Act (17 CFR 230.425)</w:t>
      </w:r>
    </w:p>
    <w:p>
      <w:pPr>
        <w:pStyle w:val="TextBody"/>
        <w:bidi w:val="0"/>
        <w:spacing w:lineRule="auto" w:line="288" w:before="60" w:after="60"/>
        <w:jc w:val="left"/>
        <w:rPr/>
      </w:pPr>
      <w:r>
        <w:rPr>
          <w:color w:val="000000"/>
        </w:rPr>
        <w:t xml:space="preserve">☐ </w:t>
      </w:r>
      <w:r>
        <w:rPr>
          <w:rFonts w:ascii="Times New Roman;serif" w:hAnsi="Times New Roman;serif"/>
          <w:b w:val="false"/>
          <w:color w:val="000000"/>
          <w:sz w:val="18"/>
        </w:rPr>
        <w:t>Soliciting material pursuant to Rule 14a-12 under the Exchange Act (17 CFR 240.14a-12)</w:t>
      </w:r>
    </w:p>
    <w:p>
      <w:pPr>
        <w:pStyle w:val="TextBody"/>
        <w:bidi w:val="0"/>
        <w:spacing w:lineRule="auto" w:line="288" w:before="60" w:after="60"/>
        <w:jc w:val="left"/>
        <w:rPr/>
      </w:pPr>
      <w:r>
        <w:rPr>
          <w:color w:val="000000"/>
        </w:rPr>
        <w:t xml:space="preserve">☐ </w:t>
      </w:r>
      <w:r>
        <w:rPr>
          <w:rFonts w:ascii="Times New Roman;serif" w:hAnsi="Times New Roman;serif"/>
          <w:b w:val="false"/>
          <w:color w:val="000000"/>
          <w:sz w:val="18"/>
        </w:rPr>
        <w:t>Pre-commencement communications pursuant to Rule 14d-2(b) under the Exchange Act (17 CFR 240.14d-2(b))</w:t>
      </w:r>
    </w:p>
    <w:p>
      <w:pPr>
        <w:pStyle w:val="TextBody"/>
        <w:bidi w:val="0"/>
        <w:spacing w:lineRule="auto" w:line="288" w:before="60" w:after="60"/>
        <w:jc w:val="left"/>
        <w:rPr/>
      </w:pPr>
      <w:r>
        <w:rPr>
          <w:color w:val="000000"/>
        </w:rPr>
        <w:t xml:space="preserve">☐ </w:t>
      </w:r>
      <w:r>
        <w:rPr>
          <w:rFonts w:ascii="Times New Roman;serif" w:hAnsi="Times New Roman;serif"/>
          <w:b w:val="false"/>
          <w:color w:val="000000"/>
          <w:sz w:val="18"/>
        </w:rPr>
        <w:t>Pre-commencement communications pursuant to Rule 13e-4(c) under the Exchange Act (17 CFR 240.13e-4(c))</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917" w:type="dxa"/>
        <w:jc w:val="left"/>
        <w:tblInd w:w="0" w:type="dxa"/>
        <w:tblLayout w:type="fixed"/>
        <w:tblCellMar>
          <w:top w:w="28" w:type="dxa"/>
          <w:left w:w="28" w:type="dxa"/>
          <w:bottom w:w="28" w:type="dxa"/>
          <w:right w:w="28" w:type="dxa"/>
        </w:tblCellMar>
      </w:tblPr>
      <w:tblGrid>
        <w:gridCol w:w="1310"/>
        <w:gridCol w:w="1144"/>
        <w:gridCol w:w="1160"/>
        <w:gridCol w:w="109"/>
        <w:gridCol w:w="109"/>
        <w:gridCol w:w="109"/>
        <w:gridCol w:w="474"/>
        <w:gridCol w:w="474"/>
        <w:gridCol w:w="476"/>
        <w:gridCol w:w="109"/>
        <w:gridCol w:w="109"/>
        <w:gridCol w:w="109"/>
        <w:gridCol w:w="945"/>
        <w:gridCol w:w="945"/>
        <w:gridCol w:w="1335"/>
      </w:tblGrid>
      <w:tr>
        <w:trPr/>
        <w:tc>
          <w:tcPr>
            <w:tcW w:w="1310"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6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$0.00001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ENPH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Nasdaq Global Market</w:t>
            </w:r>
          </w:p>
        </w:tc>
      </w:tr>
    </w:tbl>
    <w:p>
      <w:pPr>
        <w:pStyle w:val="TextBody"/>
        <w:bidi w:val="0"/>
        <w:spacing w:lineRule="auto" w:line="288" w:before="120" w:after="6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120" w:after="60"/>
        <w:jc w:val="left"/>
        <w:rPr/>
      </w:pPr>
      <w:r>
        <w:rPr>
          <w:rFonts w:ascii="Times New Roman;serif" w:hAnsi="Times New Roman;serif"/>
          <w:b w:val="false"/>
          <w:color w:val="000000"/>
          <w:sz w:val="18"/>
        </w:rPr>
        <w:t xml:space="preserve">Emerging growth company </w:t>
      </w:r>
      <w:r>
        <w:rPr>
          <w:color w:val="000000"/>
        </w:rPr>
        <w:t xml:space="preserve">☐ </w:t>
      </w:r>
    </w:p>
    <w:p>
      <w:pPr>
        <w:pStyle w:val="TextBody"/>
        <w:bidi w:val="0"/>
        <w:spacing w:lineRule="auto" w:line="288" w:before="120" w:after="60"/>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2.02. Results of Operations and Financial Condition.</w:t>
      </w:r>
    </w:p>
    <w:p>
      <w:pPr>
        <w:pStyle w:val="TextBody"/>
        <w:bidi w:val="0"/>
        <w:spacing w:lineRule="auto" w:line="288" w:before="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On July 28, 2026, Enphase Energy, Inc. (the “Company”) issued a press release announcing the Company’s financial results for the second quarter ended June 30, 2026. A copy of the press release is furnished as Exhibit 99.1 to this report. Information on the Company’s website is not, and will not be deemed, a part of this report or incorporated into this or any other filings that the Company makes with the Securities and Exchange Commission.</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information in Item 2.02 of this Form 8-K and Exhibit 99.1 attached hereto shall not be deemed “filed” for purposes of Section 18 of the Securities Exchange Act of 1934, as amended (the “Exchange Act”), or subject to the liabilities of that Section or Sections 11 and 12(a)(2) of the Securities Act of 1933, as amended (the “Securities Act”), and shall not be incorporated by reference in any registration statement or other document filed under the Securities Act or the Exchange Act, whether made before or after the date hereof, regardless of any general incorporation language in such filings, except as shall be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lineRule="auto" w:line="288" w:before="120" w:after="283"/>
        <w:ind w:left="0" w:right="0" w:hanging="360"/>
        <w:jc w:val="left"/>
        <w:rPr/>
      </w:pPr>
      <w:r>
        <w:rPr>
          <w:rFonts w:ascii="Times New Roman;serif" w:hAnsi="Times New Roman;serif"/>
          <w:b w:val="false"/>
          <w:color w:val="000000"/>
          <w:sz w:val="22"/>
        </w:rPr>
        <w:t>(d)</w:t>
      </w:r>
      <w:r>
        <w:rPr>
          <w:rFonts w:ascii="Times New Roman;serif" w:hAnsi="Times New Roman;serif"/>
          <w:b/>
          <w:color w:val="000000"/>
          <w:sz w:val="22"/>
        </w:rPr>
        <w:t>Exhibits.</w:t>
      </w:r>
      <w:r>
        <w:rPr>
          <w:color w:val="000000"/>
        </w:rPr>
        <w:t> </w:t>
      </w:r>
    </w:p>
    <w:tbl>
      <w:tblPr>
        <w:tblW w:w="10205" w:type="dxa"/>
        <w:jc w:val="left"/>
        <w:tblInd w:w="0" w:type="dxa"/>
        <w:tblLayout w:type="fixed"/>
        <w:tblCellMar>
          <w:top w:w="28" w:type="dxa"/>
          <w:left w:w="28" w:type="dxa"/>
          <w:bottom w:w="28" w:type="dxa"/>
          <w:right w:w="28" w:type="dxa"/>
        </w:tblCellMar>
      </w:tblPr>
      <w:tblGrid>
        <w:gridCol w:w="469"/>
        <w:gridCol w:w="413"/>
        <w:gridCol w:w="415"/>
        <w:gridCol w:w="109"/>
        <w:gridCol w:w="109"/>
        <w:gridCol w:w="109"/>
        <w:gridCol w:w="2510"/>
        <w:gridCol w:w="2508"/>
        <w:gridCol w:w="3563"/>
      </w:tblGrid>
      <w:tr>
        <w:trPr/>
        <w:tc>
          <w:tcPr>
            <w:tcW w:w="46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c>
          <w:tcPr>
            <w:tcW w:w="3563" w:type="dxa"/>
            <w:tcBorders/>
            <w:vAlign w:val="center"/>
          </w:tcPr>
          <w:p>
            <w:pPr>
              <w:pStyle w:val="TableContents"/>
              <w:bidi w:val="0"/>
              <w:spacing w:before="0" w:after="283"/>
              <w:jc w:val="left"/>
              <w:rPr>
                <w:sz w:val="4"/>
                <w:szCs w:val="4"/>
              </w:rPr>
            </w:pPr>
            <w:r>
              <w:rPr>
                <w:sz w:val="4"/>
                <w:szCs w:val="4"/>
              </w:rPr>
            </w:r>
          </w:p>
        </w:tc>
      </w:tr>
      <w:tr>
        <w:trPr/>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w:t>
            </w:r>
          </w:p>
        </w:tc>
      </w:tr>
      <w:tr>
        <w:trPr/>
        <w:tc>
          <w:tcPr>
            <w:tcW w:w="12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hyperlink w:anchor="a2026q2exx991pressrelease.htm">
              <w:r>
                <w:rPr>
                  <w:rStyle w:val="InternetLink"/>
                  <w:rFonts w:ascii="Times New Roman;serif" w:hAnsi="Times New Roman;serif"/>
                  <w:b w:val="false"/>
                  <w:color w:val="0000FF"/>
                  <w:sz w:val="20"/>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a2026q2exx991pressrelease.htm">
              <w:r>
                <w:rPr>
                  <w:rStyle w:val="InternetLink"/>
                  <w:rFonts w:ascii="Times New Roman;serif" w:hAnsi="Times New Roman;serif"/>
                  <w:b w:val="false"/>
                  <w:color w:val="0000FF"/>
                  <w:sz w:val="20"/>
                </w:rPr>
                <w:t>Press release dated July 28, 2026, entitled “Enphase Energy Reports Financial Results for the Second Quarter of 2026"</w:t>
              </w:r>
            </w:hyperlink>
          </w:p>
        </w:tc>
      </w:tr>
      <w:tr>
        <w:trPr/>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1" w:type="dxa"/>
            <w:gridSpan w:val="3"/>
            <w:tcBorders/>
            <w:vAlign w:val="center"/>
          </w:tcPr>
          <w:p>
            <w:pPr>
              <w:pStyle w:val="TableContents"/>
              <w:bidi w:val="0"/>
              <w:spacing w:before="0" w:after="283"/>
              <w:jc w:val="left"/>
              <w:rPr>
                <w:sz w:val="4"/>
                <w:szCs w:val="4"/>
              </w:rPr>
            </w:pPr>
            <w:r>
              <w:rPr>
                <w:sz w:val="4"/>
                <w:szCs w:val="4"/>
              </w:rPr>
            </w:r>
          </w:p>
        </w:tc>
      </w:tr>
      <w:tr>
        <w:trPr/>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3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323"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356"/>
        <w:gridCol w:w="356"/>
        <w:gridCol w:w="356"/>
        <w:gridCol w:w="1301"/>
        <w:gridCol w:w="1301"/>
        <w:gridCol w:w="188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28, 2026</w:t>
            </w:r>
          </w:p>
        </w:tc>
        <w:tc>
          <w:tcPr>
            <w:tcW w:w="555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ENPHASE ENERGY,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Mandy Yang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Mandy Yang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and Chief Financial Officer </w:t>
              <w:br/>
              <w:t>(Principal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120" w:after="120"/>
        <w:jc w:val="left"/>
        <w:rPr/>
      </w:pPr>
      <w:r>
        <w:rPr/>
        <w:drawing>
          <wp:inline distT="0" distB="0" distL="0" distR="0">
            <wp:extent cx="1543050" cy="2667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543050" cy="266700"/>
                    </a:xfrm>
                    <a:prstGeom prst="rect">
                      <a:avLst/>
                    </a:prstGeom>
                  </pic:spPr>
                </pic:pic>
              </a:graphicData>
            </a:graphic>
          </wp:inline>
        </w:drawing>
      </w:r>
    </w:p>
    <w:p>
      <w:pPr>
        <w:pStyle w:val="TextBody"/>
        <w:bidi w:val="0"/>
        <w:spacing w:lineRule="auto" w:line="288" w:before="120" w:after="120"/>
        <w:jc w:val="center"/>
        <w:rPr>
          <w:rFonts w:ascii="Times New Roman;serif" w:hAnsi="Times New Roman;serif"/>
          <w:b/>
          <w:color w:val="000000"/>
          <w:sz w:val="24"/>
        </w:rPr>
      </w:pPr>
      <w:r>
        <w:rPr>
          <w:rFonts w:ascii="Times New Roman;serif" w:hAnsi="Times New Roman;serif"/>
          <w:b/>
          <w:color w:val="000000"/>
          <w:sz w:val="24"/>
        </w:rPr>
        <w:t>Enphase Energy Reports Financial Results for the Second Quarter of 2026</w:t>
      </w:r>
    </w:p>
    <w:p>
      <w:pPr>
        <w:pStyle w:val="TextBody"/>
        <w:bidi w:val="0"/>
        <w:spacing w:lineRule="auto" w:line="288" w:before="120" w:after="120"/>
        <w:jc w:val="both"/>
        <w:rPr/>
      </w:pPr>
      <w:r>
        <w:rPr>
          <w:rFonts w:ascii="Times New Roman;serif" w:hAnsi="Times New Roman;serif"/>
          <w:b/>
          <w:color w:val="000000"/>
          <w:sz w:val="22"/>
        </w:rPr>
        <w:t xml:space="preserve">FREMONT, Calif., July 28, 2026 </w:t>
      </w:r>
      <w:r>
        <w:rPr>
          <w:rFonts w:ascii="Times New Roman;serif" w:hAnsi="Times New Roman;serif"/>
          <w:b w:val="false"/>
          <w:color w:val="000000"/>
          <w:sz w:val="22"/>
        </w:rPr>
        <w:t>- Enphase Energy, Inc. (NASDAQ: ENPH), a global energy technology company, announced today financial results for the second quarter of 2026, which included the summary below from its President and CEO, Badri Kothandaraman.</w:t>
      </w:r>
    </w:p>
    <w:p>
      <w:pPr>
        <w:pStyle w:val="TextBody"/>
        <w:bidi w:val="0"/>
        <w:spacing w:lineRule="auto" w:line="288" w:before="120" w:after="120"/>
        <w:jc w:val="both"/>
        <w:rPr/>
      </w:pPr>
      <w:r>
        <w:rPr>
          <w:rFonts w:ascii="Times New Roman;serif" w:hAnsi="Times New Roman;serif"/>
          <w:b w:val="false"/>
          <w:color w:val="000000"/>
          <w:sz w:val="22"/>
        </w:rPr>
        <w:t>We reported quarterly revenue of $291.9 million in the second quarter of 2026 and shipped approximately 1.59 million IQ</w:t>
      </w:r>
      <w:r>
        <w:rPr>
          <w:rFonts w:ascii="Times New Roman;serif" w:hAnsi="Times New Roman;serif"/>
          <w:b w:val="false"/>
          <w:color w:val="000000"/>
          <w:sz w:val="14"/>
        </w:rPr>
        <w:t xml:space="preserve">® </w:t>
      </w:r>
      <w:r>
        <w:rPr>
          <w:rFonts w:ascii="Times New Roman;serif" w:hAnsi="Times New Roman;serif"/>
          <w:b w:val="false"/>
          <w:color w:val="000000"/>
          <w:sz w:val="22"/>
        </w:rPr>
        <w:t>Microinverters, or 725.2 megawatts DC, and 113.8 megawatt hours (MWh) of IQ</w:t>
      </w:r>
      <w:r>
        <w:rPr>
          <w:rFonts w:ascii="Times New Roman;serif" w:hAnsi="Times New Roman;serif"/>
          <w:b w:val="false"/>
          <w:color w:val="000000"/>
          <w:sz w:val="14"/>
        </w:rPr>
        <w:t xml:space="preserve">® </w:t>
      </w:r>
      <w:r>
        <w:rPr>
          <w:rFonts w:ascii="Times New Roman;serif" w:hAnsi="Times New Roman;serif"/>
          <w:b w:val="false"/>
          <w:color w:val="000000"/>
          <w:sz w:val="22"/>
        </w:rPr>
        <w:t>Batteries.</w:t>
      </w:r>
    </w:p>
    <w:p>
      <w:pPr>
        <w:pStyle w:val="TextBody"/>
        <w:bidi w:val="0"/>
        <w:spacing w:lineRule="auto" w:line="288" w:before="60" w:after="60"/>
        <w:jc w:val="left"/>
        <w:rPr>
          <w:rFonts w:ascii="Times New Roman;serif" w:hAnsi="Times New Roman;serif"/>
          <w:b w:val="false"/>
          <w:color w:val="000000"/>
          <w:sz w:val="22"/>
        </w:rPr>
      </w:pPr>
      <w:r>
        <w:rPr>
          <w:rFonts w:ascii="Times New Roman;serif" w:hAnsi="Times New Roman;serif"/>
          <w:b w:val="false"/>
          <w:color w:val="000000"/>
          <w:sz w:val="22"/>
        </w:rPr>
        <w:t>Highlights for the second quarter of 2026 are listed below:</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Strong progress on development of IQ</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2"/>
        </w:rPr>
        <w:t>SST; achieved key technical milestones and deepened customer engagement with potential</w:t>
      </w:r>
      <w:r>
        <w:rPr>
          <w:color w:val="000000"/>
        </w:rPr>
        <w:t xml:space="preserve"> </w:t>
      </w:r>
      <w:r>
        <w:rPr>
          <w:rFonts w:ascii="Times New Roman;serif" w:hAnsi="Times New Roman;serif"/>
          <w:b w:val="false"/>
          <w:color w:val="000000"/>
          <w:sz w:val="22"/>
        </w:rPr>
        <w:t>multi-gigawatt opportunities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2"/>
        </w:rPr>
        <w:t>Revenue of $291.9 million</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2"/>
        </w:rPr>
        <w:t>GAAP gross margin of 60.0%; non-GAAP gross margin of 46.8%</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2"/>
        </w:rPr>
        <w:t>GAAP operating income of $51.5 million; non-GAAP operating income of $56.7 million</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2"/>
        </w:rPr>
        <w:t>GAAP net income of $36.1 million; non-GAAP net income of $61.5 million</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2"/>
        </w:rPr>
        <w:t>GAAP diluted earnings per share of $0.27; non-GAAP diluted earnings per share of $0.46</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2"/>
        </w:rPr>
        <w:t>Free cash flow of $25.9 million; ending cash, cash equivalents and marketable securities of $937.7 million</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2"/>
        </w:rPr>
        <w:t>Shipped 1.58 million microinverters and battery inverters from Texas and South Carolina facilities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2"/>
        </w:rPr>
        <w:t>Executed agreements year-to-date with third-party owners totaling approximately $1.08 billion: $202.4 million under the 5% ITC Safe Harbor and $878.6 million under the Physical Work Test</w:t>
      </w:r>
    </w:p>
    <w:p>
      <w:pPr>
        <w:pStyle w:val="TextBody"/>
        <w:bidi w:val="0"/>
        <w:spacing w:lineRule="auto" w:line="288" w:before="60" w:after="120"/>
        <w:jc w:val="both"/>
        <w:rPr>
          <w:rFonts w:ascii="Times New Roman;serif" w:hAnsi="Times New Roman;serif"/>
          <w:b w:val="false"/>
          <w:color w:val="000000"/>
          <w:sz w:val="22"/>
        </w:rPr>
      </w:pPr>
      <w:r>
        <w:rPr>
          <w:rFonts w:ascii="Times New Roman;serif" w:hAnsi="Times New Roman;serif"/>
          <w:b w:val="false"/>
          <w:color w:val="000000"/>
          <w:sz w:val="22"/>
        </w:rPr>
        <w:t>Our revenue and earnings for the second quarter of 2026 are provided below, compared with the prior quarter:</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(In thousands, except per share and percentage data)</w:t>
      </w:r>
    </w:p>
    <w:tbl>
      <w:tblPr>
        <w:tblW w:w="10459" w:type="dxa"/>
        <w:jc w:val="left"/>
        <w:tblInd w:w="0" w:type="dxa"/>
        <w:tblLayout w:type="fixed"/>
        <w:tblCellMar>
          <w:top w:w="28" w:type="dxa"/>
          <w:left w:w="28" w:type="dxa"/>
          <w:bottom w:w="28" w:type="dxa"/>
          <w:right w:w="28" w:type="dxa"/>
        </w:tblCellMar>
      </w:tblPr>
      <w:tblGrid>
        <w:gridCol w:w="394"/>
        <w:gridCol w:w="268"/>
        <w:gridCol w:w="269"/>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316"/>
      </w:tblGrid>
      <w:tr>
        <w:trPr/>
        <w:tc>
          <w:tcPr>
            <w:tcW w:w="39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Non-GAAP</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Q2 2025</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291,854 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282,900 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363,153 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291,854 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282,900 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363,153 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77,781 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98,613 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89,869 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EPS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Total revenue for the second quarter of 2026 was $291.9 million, compared to $282.9 million in the first quarter of 2026. Second-quarter revenue included $84.3 million of safe harbor revenue, compared to $34.5 million in the first quarter. Revenue in the United States decreased approximately 3%, while revenue in Europe increased approximately 35%.</w:t>
      </w:r>
    </w:p>
    <w:p>
      <w:pPr>
        <w:pStyle w:val="TextBody"/>
        <w:bidi w:val="0"/>
        <w:spacing w:lineRule="auto" w:line="268" w:before="120" w:after="120"/>
        <w:jc w:val="both"/>
        <w:rPr>
          <w:rFonts w:ascii="Times New Roman;serif" w:hAnsi="Times New Roman;serif"/>
          <w:b w:val="false"/>
          <w:color w:val="000000"/>
          <w:sz w:val="22"/>
        </w:rPr>
      </w:pPr>
      <w:r>
        <w:rPr>
          <w:rFonts w:ascii="Times New Roman;serif" w:hAnsi="Times New Roman;serif"/>
          <w:b w:val="false"/>
          <w:color w:val="000000"/>
          <w:sz w:val="22"/>
        </w:rPr>
        <w:t>Non-GAAP gross margin was 46.8% in the second quarter, up from 43.9% in the first quarter. Reciprocal tariffs reduced gross margin by approximately 2.0 percentage points, down from approximately 4.3 percentage points in the first quarter.</w:t>
      </w:r>
    </w:p>
    <w:p>
      <w:pPr>
        <w:pStyle w:val="TextBody"/>
        <w:bidi w:val="0"/>
        <w:spacing w:lineRule="auto" w:line="268" w:before="120" w:after="120"/>
        <w:jc w:val="both"/>
        <w:rPr>
          <w:rFonts w:ascii="Times New Roman;serif" w:hAnsi="Times New Roman;serif"/>
          <w:b w:val="false"/>
          <w:color w:val="000000"/>
          <w:sz w:val="22"/>
        </w:rPr>
      </w:pPr>
      <w:r>
        <w:rPr>
          <w:rFonts w:ascii="Times New Roman;serif" w:hAnsi="Times New Roman;serif"/>
          <w:b w:val="false"/>
          <w:color w:val="000000"/>
          <w:sz w:val="22"/>
        </w:rPr>
        <w:t>Non-GAAP operating expenses were $79.8 million in the second quarter, compared to $77.0 million in the first quarter, primarily due to increased investment in R&amp;D. Non-GAAP operating income increased to $56.7 million, compared to $47.3 million in the first quarter.</w:t>
      </w:r>
    </w:p>
    <w:p>
      <w:pPr>
        <w:pStyle w:val="TextBody"/>
        <w:bidi w:val="0"/>
        <w:spacing w:before="120" w:after="12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We exited the second quarter of 2026 with $937.7 million in cash, cash equivalents and marketable securities, and generated $40.3 million in cash flow from operations. Capital expenditures were $14.4 million, compared to $19.9 million in the first quarter.</w:t>
      </w:r>
    </w:p>
    <w:p>
      <w:pPr>
        <w:pStyle w:val="TextBody"/>
        <w:bidi w:val="0"/>
        <w:spacing w:lineRule="auto" w:line="268" w:before="120" w:after="120"/>
        <w:jc w:val="both"/>
        <w:rPr>
          <w:rFonts w:ascii="Times New Roman;serif" w:hAnsi="Times New Roman;serif"/>
          <w:b w:val="false"/>
          <w:color w:val="000000"/>
          <w:sz w:val="22"/>
        </w:rPr>
      </w:pPr>
      <w:r>
        <w:rPr>
          <w:rFonts w:ascii="Times New Roman;serif" w:hAnsi="Times New Roman;serif"/>
          <w:b w:val="false"/>
          <w:color w:val="000000"/>
          <w:sz w:val="22"/>
        </w:rPr>
        <w:t>During the second quarter, we received approximately $41.0 million in refunds from U.S. Customs and Border Protection (CBP), followed by an additional $11.0 million after quarter end. The full $52.0 million impacted second-quarter GAAP results. Of this amount, $45.4 million was recognized as an increase to GAAP gross profit, improving GAAP gross margin by 15.6 percentage points; $1.6 million was recognized as GAAP interest income; and $5.0 million was capitalized as inventory as of June 30, 2026.</w:t>
      </w:r>
    </w:p>
    <w:p>
      <w:pPr>
        <w:pStyle w:val="TextBody"/>
        <w:bidi w:val="0"/>
        <w:spacing w:lineRule="auto" w:line="268" w:before="120" w:after="120"/>
        <w:jc w:val="both"/>
        <w:rPr>
          <w:rFonts w:ascii="Times New Roman;serif" w:hAnsi="Times New Roman;serif"/>
          <w:b w:val="false"/>
          <w:color w:val="000000"/>
          <w:sz w:val="22"/>
        </w:rPr>
      </w:pPr>
      <w:r>
        <w:rPr>
          <w:rFonts w:ascii="Times New Roman;serif" w:hAnsi="Times New Roman;serif"/>
          <w:b w:val="false"/>
          <w:color w:val="000000"/>
          <w:sz w:val="22"/>
        </w:rPr>
        <w:t>We shipped 113.8 MWh of IQ Batteries in the second quarter, compared to 103.1 MWh in the first quarter. More than 25,000 installers worldwide are now certified to install IQ Batteries, up from more than 24,000 in the first quarter.</w:t>
      </w:r>
    </w:p>
    <w:p>
      <w:pPr>
        <w:pStyle w:val="TextBody"/>
        <w:bidi w:val="0"/>
        <w:spacing w:lineRule="auto" w:line="268" w:before="0" w:after="0"/>
        <w:jc w:val="both"/>
        <w:rPr/>
      </w:pPr>
      <w:r>
        <w:rPr>
          <w:rFonts w:ascii="Times New Roman;serif" w:hAnsi="Times New Roman;serif"/>
          <w:b w:val="false"/>
          <w:color w:val="000000"/>
          <w:sz w:val="22"/>
        </w:rPr>
        <w:t>During the second quarter, we accelerated development of the IQ</w:t>
      </w:r>
      <w:r>
        <w:rPr>
          <w:rFonts w:ascii="Times New Roman;serif" w:hAnsi="Times New Roman;serif"/>
          <w:b w:val="false"/>
          <w:color w:val="000000"/>
          <w:sz w:val="14"/>
        </w:rPr>
        <w:t>®</w:t>
      </w:r>
      <w:r>
        <w:rPr>
          <w:color w:val="000000"/>
        </w:rPr>
        <w:t xml:space="preserve"> </w:t>
      </w:r>
      <w:r>
        <w:rPr>
          <w:rFonts w:ascii="Times New Roman;serif" w:hAnsi="Times New Roman;serif"/>
          <w:b w:val="false"/>
          <w:color w:val="000000"/>
          <w:sz w:val="22"/>
        </w:rPr>
        <w:t>Solid-State Transformer (IQ SST) for next-generation AI data centers. We are actively engaged with customers and ecosystem partners, with a few opportunities advancing to the RFI and RFP stages and representing a potential multi-gigawatt pipeline. We achieved important milestones across the IQ SST power module, medium-voltage transformer, and system-control architecture, including a 15-module series stack operating at 4.16 kV AC with droop control, and remain on track for a full-system demonstration later this year.</w:t>
      </w:r>
    </w:p>
    <w:p>
      <w:pPr>
        <w:pStyle w:val="TextBody"/>
        <w:bidi w:val="0"/>
        <w:spacing w:lineRule="auto" w:line="288" w:before="120" w:after="120"/>
        <w:jc w:val="both"/>
        <w:rPr/>
      </w:pPr>
      <w:r>
        <w:rPr>
          <w:rFonts w:ascii="Times New Roman;serif" w:hAnsi="Times New Roman;serif"/>
          <w:b w:val="false"/>
          <w:color w:val="000000"/>
          <w:sz w:val="22"/>
        </w:rPr>
        <w:t>We expanded our commercial portfolio during the second quarter. In the United States, we began shipping our IQ9S-3P</w:t>
      </w:r>
      <w:r>
        <w:rPr>
          <w:color w:val="000000"/>
        </w:rPr>
        <w:t xml:space="preserve">™ </w:t>
      </w:r>
      <w:r>
        <w:rPr>
          <w:rFonts w:ascii="Times New Roman;serif" w:hAnsi="Times New Roman;serif"/>
          <w:b w:val="false"/>
          <w:color w:val="000000"/>
          <w:sz w:val="22"/>
        </w:rPr>
        <w:t>Commercial Microinverter, a GaN-based 548 W microinverter designed for 480 V three-phase systems. Together with the IQ9N-3P™ Commercial Microinverter, the IQ9S-3P broadens our offering for the U.S. commercial solar market.</w:t>
      </w:r>
    </w:p>
    <w:p>
      <w:pPr>
        <w:pStyle w:val="TextBody"/>
        <w:bidi w:val="0"/>
        <w:spacing w:lineRule="auto" w:line="288" w:before="120" w:after="120"/>
        <w:jc w:val="both"/>
        <w:rPr/>
      </w:pPr>
      <w:r>
        <w:rPr>
          <w:rFonts w:ascii="Times New Roman;serif" w:hAnsi="Times New Roman;serif"/>
          <w:b w:val="false"/>
          <w:color w:val="000000"/>
          <w:sz w:val="22"/>
        </w:rPr>
        <w:t>We also launched our IQ9N</w:t>
      </w:r>
      <w:r>
        <w:rPr>
          <w:color w:val="000000"/>
        </w:rPr>
        <w:t xml:space="preserve">™ </w:t>
      </w:r>
      <w:r>
        <w:rPr>
          <w:rFonts w:ascii="Times New Roman;serif" w:hAnsi="Times New Roman;serif"/>
          <w:b w:val="false"/>
          <w:color w:val="000000"/>
          <w:sz w:val="22"/>
        </w:rPr>
        <w:t>Residential Microinverter in the United States and key European markets in June 2026, followed by Australia and New Zealand in July. Built with advanced GaN technology, the IQ9N is designed to pair with today’s high-power residential solar modules and help maximize energy harvest and system performance.</w:t>
      </w:r>
    </w:p>
    <w:p>
      <w:pPr>
        <w:pStyle w:val="TextBody"/>
        <w:bidi w:val="0"/>
        <w:spacing w:lineRule="auto" w:line="288" w:before="120" w:after="120"/>
        <w:jc w:val="both"/>
        <w:rPr/>
      </w:pPr>
      <w:r>
        <w:rPr>
          <w:rFonts w:ascii="Times New Roman;serif" w:hAnsi="Times New Roman;serif"/>
          <w:b w:val="false"/>
          <w:color w:val="000000"/>
          <w:sz w:val="22"/>
        </w:rPr>
        <w:t>At Intersolar Europe in June 2026, we showcased our upcoming IQ</w:t>
      </w:r>
      <w:r>
        <w:rPr>
          <w:rFonts w:ascii="Times New Roman;serif" w:hAnsi="Times New Roman;serif"/>
          <w:b w:val="false"/>
          <w:color w:val="000000"/>
          <w:sz w:val="14"/>
        </w:rPr>
        <w:t>®</w:t>
      </w:r>
      <w:r>
        <w:rPr>
          <w:color w:val="000000"/>
        </w:rPr>
        <w:t xml:space="preserve"> </w:t>
      </w:r>
      <w:r>
        <w:rPr>
          <w:rFonts w:ascii="Times New Roman;serif" w:hAnsi="Times New Roman;serif"/>
          <w:b w:val="false"/>
          <w:color w:val="000000"/>
          <w:sz w:val="22"/>
        </w:rPr>
        <w:t>Battery G5. This AC-coupled battery is designed to provide higher energy density and flexible capacity through stackable 5 kWh modules that can scale up to 30 kWh. It uses 100 Ah prismatic cells and is expected to deliver approximately 50% higher energy density than the fourth-generation IQ</w:t>
      </w:r>
      <w:r>
        <w:rPr>
          <w:rFonts w:ascii="Times New Roman;serif" w:hAnsi="Times New Roman;serif"/>
          <w:b w:val="false"/>
          <w:color w:val="000000"/>
          <w:sz w:val="14"/>
        </w:rPr>
        <w:t>®</w:t>
      </w:r>
      <w:r>
        <w:rPr>
          <w:color w:val="000000"/>
        </w:rPr>
        <w:t xml:space="preserve"> </w:t>
      </w:r>
      <w:r>
        <w:rPr>
          <w:rFonts w:ascii="Times New Roman;serif" w:hAnsi="Times New Roman;serif"/>
          <w:b w:val="false"/>
          <w:color w:val="000000"/>
          <w:sz w:val="22"/>
        </w:rPr>
        <w:t>Battery 10C, while reducing cost by approximately 40%.</w:t>
      </w:r>
    </w:p>
    <w:p>
      <w:pPr>
        <w:pStyle w:val="TextBody"/>
        <w:bidi w:val="0"/>
        <w:spacing w:lineRule="auto" w:line="288" w:before="120" w:after="120"/>
        <w:jc w:val="both"/>
        <w:rPr/>
      </w:pPr>
      <w:r>
        <w:rPr>
          <w:rFonts w:ascii="Times New Roman;serif" w:hAnsi="Times New Roman;serif"/>
          <w:b w:val="false"/>
          <w:color w:val="000000"/>
          <w:sz w:val="22"/>
        </w:rPr>
        <w:t>We also showcased our IQ</w:t>
      </w:r>
      <w:r>
        <w:rPr>
          <w:rFonts w:ascii="Times New Roman;serif" w:hAnsi="Times New Roman;serif"/>
          <w:b w:val="false"/>
          <w:color w:val="000000"/>
          <w:sz w:val="14"/>
        </w:rPr>
        <w:t xml:space="preserve">® </w:t>
      </w:r>
      <w:r>
        <w:rPr>
          <w:rFonts w:ascii="Times New Roman;serif" w:hAnsi="Times New Roman;serif"/>
          <w:b w:val="false"/>
          <w:color w:val="000000"/>
          <w:sz w:val="22"/>
        </w:rPr>
        <w:t>Bidirectional EV Charger at Intersolar Europe. Built on our GaN power platform and designed to support modern 800 V DC electric vehicle architectures, the charger is engineered to move power efficiently and bidirectionally between the grid-facing AC system and the vehicle. We are collaborating with several leading global automotive manufacturers to support the adoption of this product.</w:t>
      </w:r>
    </w:p>
    <w:p>
      <w:pPr>
        <w:pStyle w:val="TextBody"/>
        <w:bidi w:val="0"/>
        <w:spacing w:lineRule="auto" w:line="268" w:before="120" w:after="120"/>
        <w:jc w:val="both"/>
        <w:rPr>
          <w:rFonts w:ascii="Times New Roman;serif" w:hAnsi="Times New Roman;serif"/>
          <w:b/>
          <w:color w:val="000000"/>
          <w:sz w:val="22"/>
        </w:rPr>
      </w:pPr>
      <w:r>
        <w:rPr>
          <w:rFonts w:ascii="Times New Roman;serif" w:hAnsi="Times New Roman;serif"/>
          <w:b/>
          <w:color w:val="000000"/>
          <w:sz w:val="22"/>
        </w:rPr>
        <w:t>BUSINESS HIGHLIGHTS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 xml:space="preserve">On July 27, 2026, Enphase Energy announced the publication of a new technical white paper titled "The Enphase Kestrel ASIC: A Purpose-Built Platform for Intelligent Power Conversion."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On July 21, 2026, Enphase Energy announced that homeowners across Europe with existing second-generation Enphase IQ Batteries can now enjoy home backup when they add an IQ</w:t>
      </w:r>
      <w:r>
        <w:rPr>
          <w:rFonts w:ascii="Times New Roman;serif" w:hAnsi="Times New Roman;serif"/>
          <w:b w:val="false"/>
          <w:color w:val="000000"/>
          <w:sz w:val="14"/>
        </w:rPr>
        <w:t>®</w:t>
      </w:r>
      <w:r>
        <w:rPr>
          <w:color w:val="000000"/>
        </w:rPr>
        <w:t xml:space="preserve"> </w:t>
      </w:r>
      <w:r>
        <w:rPr>
          <w:rFonts w:ascii="Times New Roman;serif" w:hAnsi="Times New Roman;serif"/>
          <w:b w:val="false"/>
          <w:color w:val="000000"/>
          <w:sz w:val="22"/>
        </w:rPr>
        <w:t xml:space="preserve">System Controller and expand their energy storage while keeping the batteries they already own.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On July 16, 2026, Enphase Energy highlighted the safety and reliability of its IQ</w:t>
      </w:r>
      <w:r>
        <w:rPr>
          <w:rFonts w:ascii="Times New Roman;serif" w:hAnsi="Times New Roman;serif"/>
          <w:b w:val="false"/>
          <w:color w:val="000000"/>
          <w:sz w:val="14"/>
        </w:rPr>
        <w:t>®</w:t>
      </w:r>
      <w:r>
        <w:rPr>
          <w:color w:val="000000"/>
        </w:rPr>
        <w:t xml:space="preserve"> </w:t>
      </w:r>
      <w:r>
        <w:rPr>
          <w:rFonts w:ascii="Times New Roman;serif" w:hAnsi="Times New Roman;serif"/>
          <w:b w:val="false"/>
          <w:color w:val="000000"/>
          <w:sz w:val="22"/>
        </w:rPr>
        <w:t>EV Charger 2 across Europe’s diverse climates.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On July 13, June 23, and June 11, 2026, Enphase Energy announced the launch of the new IQ9N Microinverter for residential solar systems in Australia and New Zealand, the United States, and key European markets, respectively.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On July 9, 2026, Enphase Energy announced that it opened pre-orders for the 20th anniversary limited edition IQ</w:t>
      </w:r>
      <w:r>
        <w:rPr>
          <w:rFonts w:ascii="Times New Roman;serif" w:hAnsi="Times New Roman;serif"/>
          <w:b w:val="false"/>
          <w:color w:val="000000"/>
          <w:sz w:val="14"/>
        </w:rPr>
        <w:t>®</w:t>
      </w:r>
      <w:r>
        <w:rPr>
          <w:color w:val="000000"/>
        </w:rPr>
        <w:t xml:space="preserve"> </w:t>
      </w:r>
      <w:r>
        <w:rPr>
          <w:rFonts w:ascii="Times New Roman;serif" w:hAnsi="Times New Roman;serif"/>
          <w:b w:val="false"/>
          <w:color w:val="000000"/>
          <w:sz w:val="22"/>
        </w:rPr>
        <w:t>PowerPack 1500, a smart, portable power station designed to provide reliable power at home, at work, and outdoors.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On July 8, 2026, Enphase Energy announced it opened pre-orders for a smart thermostat with live solar, battery, and home power display.</w:t>
      </w:r>
    </w:p>
    <w:p>
      <w:pPr>
        <w:pStyle w:val="TextBody"/>
        <w:bidi w:val="0"/>
        <w:spacing w:lineRule="auto" w:line="288"/>
        <w:ind w:left="0" w:right="0" w:hanging="360"/>
        <w:jc w:val="both"/>
        <w:rPr/>
      </w:pPr>
      <w:r>
        <w:rPr>
          <w:color w:val="000000"/>
        </w:rPr>
        <w:t>•</w:t>
      </w:r>
      <w:r>
        <w:rPr>
          <w:rFonts w:ascii="Times New Roman;serif" w:hAnsi="Times New Roman;serif"/>
          <w:b w:val="false"/>
          <w:color w:val="000000"/>
          <w:sz w:val="22"/>
        </w:rPr>
        <w:t>On June 30, 2026, Enphase Energy announced that it has joined the Open Compute Project Foundation as a Platinum member to help advance open standards for next-generation AI data center power infrastructure.</w:t>
      </w:r>
    </w:p>
    <w:p>
      <w:pPr>
        <w:pStyle w:val="TextBody"/>
        <w:bidi w:val="0"/>
        <w:spacing w:before="120" w:after="12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 xml:space="preserve">On June 18, 2026, Enphase Energy announced that it began production shipments of its IQ9S-3P Commercial Microinverter, the company's most powerful microinverter currently available across the United States.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On June 17, 2026, Enphase Energy announced plans to showcase the IQ Battery G5, IQ9N Microinverter, IQ Bidirectional EV Charger, and IQ</w:t>
      </w:r>
      <w:r>
        <w:rPr>
          <w:rFonts w:ascii="Times New Roman;serif" w:hAnsi="Times New Roman;serif"/>
          <w:b w:val="false"/>
          <w:color w:val="000000"/>
          <w:sz w:val="14"/>
        </w:rPr>
        <w:t>®</w:t>
      </w:r>
      <w:r>
        <w:rPr>
          <w:color w:val="000000"/>
        </w:rPr>
        <w:t xml:space="preserve"> </w:t>
      </w:r>
      <w:r>
        <w:rPr>
          <w:rFonts w:ascii="Times New Roman;serif" w:hAnsi="Times New Roman;serif"/>
          <w:b w:val="false"/>
          <w:color w:val="000000"/>
          <w:sz w:val="22"/>
        </w:rPr>
        <w:t>Energy Management platform at Intersolar Europe in Munich, Germany.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On May 21, 2026, Enphase Energy announced it published a technical white paper on its adoption of gallium nitride (GaN) bi-directional switch technology for next-generation distributed power electronics for AI data centers.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On May 18, 2026, Enphase Energy announced the launch of its PowerMatch</w:t>
      </w:r>
      <w:r>
        <w:rPr>
          <w:color w:val="000000"/>
        </w:rPr>
        <w:t xml:space="preserve">™ </w:t>
      </w:r>
      <w:r>
        <w:rPr>
          <w:rFonts w:ascii="Times New Roman;serif" w:hAnsi="Times New Roman;serif"/>
          <w:b w:val="false"/>
          <w:color w:val="000000"/>
          <w:sz w:val="22"/>
        </w:rPr>
        <w:t>battery software technology across North America and selected countries in Central America and the Caribbean.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On May 7, 2026, Enphase Energy announced a new safe harbor agreement with a U.S. solar and battery financing company offering leases and PPAs to homeowners and businesses.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On May 4, 2026, Enphase Energy announced it published a technical white paper titled “IQ Solid-State Transformer: Intelligent Power for AI.”</w:t>
      </w:r>
    </w:p>
    <w:p>
      <w:pPr>
        <w:pStyle w:val="TextBody"/>
        <w:bidi w:val="0"/>
        <w:spacing w:lineRule="auto" w:line="288" w:before="120" w:after="120"/>
        <w:jc w:val="both"/>
        <w:rPr>
          <w:rFonts w:ascii="Times New Roman;serif" w:hAnsi="Times New Roman;serif"/>
          <w:b/>
          <w:color w:val="000000"/>
          <w:sz w:val="22"/>
        </w:rPr>
      </w:pPr>
      <w:r>
        <w:rPr>
          <w:rFonts w:ascii="Times New Roman;serif" w:hAnsi="Times New Roman;serif"/>
          <w:b/>
          <w:color w:val="000000"/>
          <w:sz w:val="22"/>
        </w:rPr>
        <w:t>THIRD QUARTER 2026 FINANCIAL OUTLOOK</w:t>
      </w:r>
    </w:p>
    <w:p>
      <w:pPr>
        <w:pStyle w:val="TextBody"/>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For the third quarter of 2026, Enphase Energy estimates both GAAP and non-GAAP financial results as follows: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Revenue to be within a range of $290.0 million to $320.0 million, which includes shipments of 130 to 150 MWh of IQ Batteries. This outlook includes approximately $75.0 million of safe harbor shipments.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GAAP gross margin to be within a range of 42.0% to 45.0%, including approximately 2 percentage points of reciprocal tariff impact.</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Non-GAAP gross margin to be within a range of 44.0% to 47.0%, including approximately 2 percentage points of reciprocal tariff impact. Non-GAAP gross margin excludes stock-based compensation expense and acquisition related amortization.</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GAAP operating expenses to be within a range of $120.0 million to $124.0 million.</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Non-GAAP operating expenses to be within a range of $76.0 million to $80.0 million, excluding $44.0 million estimated for stock-based compensation expense, acquisition related amortization, and restructuring and asset impairment charges.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2"/>
        </w:rPr>
      </w:pPr>
      <w:r>
        <w:rPr>
          <w:rFonts w:ascii="Times New Roman;serif" w:hAnsi="Times New Roman;serif"/>
          <w:b/>
          <w:color w:val="000000"/>
          <w:sz w:val="22"/>
        </w:rPr>
        <w:t>Follow Enphase Online</w:t>
      </w:r>
    </w:p>
    <w:p>
      <w:pPr>
        <w:pStyle w:val="TextBody"/>
        <w:bidi w:val="0"/>
        <w:spacing w:lineRule="auto" w:line="288" w:before="120" w:after="120"/>
        <w:jc w:val="both"/>
        <w:rPr/>
      </w:pPr>
      <w:r>
        <w:rPr>
          <w:color w:val="000000"/>
        </w:rPr>
        <w:t>•</w:t>
      </w:r>
      <w:r>
        <w:rPr>
          <w:rFonts w:ascii="Times New Roman;serif" w:hAnsi="Times New Roman;serif"/>
          <w:b w:val="false"/>
          <w:color w:val="000000"/>
          <w:sz w:val="22"/>
        </w:rPr>
        <w:t>Read the Enphase</w:t>
      </w:r>
      <w:r>
        <w:rPr>
          <w:color w:val="00497F"/>
        </w:rPr>
        <w:t xml:space="preserve"> </w:t>
      </w:r>
      <w:r>
        <w:rPr>
          <w:rFonts w:ascii="Times New Roman;serif" w:hAnsi="Times New Roman;serif"/>
          <w:b w:val="false"/>
          <w:color w:val="00497F"/>
          <w:sz w:val="22"/>
          <w:u w:val="single"/>
        </w:rPr>
        <w:t>blog</w:t>
      </w:r>
      <w:r>
        <w:rPr>
          <w:rFonts w:ascii="Times New Roman;serif" w:hAnsi="Times New Roman;serif"/>
          <w:b w:val="false"/>
          <w:color w:val="000000"/>
          <w:sz w:val="22"/>
        </w:rPr>
        <w:t>.</w:t>
      </w:r>
    </w:p>
    <w:p>
      <w:pPr>
        <w:pStyle w:val="TextBody"/>
        <w:bidi w:val="0"/>
        <w:spacing w:lineRule="auto" w:line="288" w:before="120" w:after="120"/>
        <w:jc w:val="both"/>
        <w:rPr/>
      </w:pPr>
      <w:r>
        <w:rPr>
          <w:color w:val="000000"/>
        </w:rPr>
        <w:t>•</w:t>
      </w:r>
      <w:r>
        <w:rPr>
          <w:rFonts w:ascii="Times New Roman;serif" w:hAnsi="Times New Roman;serif"/>
          <w:b w:val="false"/>
          <w:color w:val="000000"/>
          <w:sz w:val="22"/>
        </w:rPr>
        <w:t xml:space="preserve">Follow @Enphase on </w:t>
      </w:r>
      <w:r>
        <w:rPr>
          <w:rFonts w:ascii="Times New Roman;serif" w:hAnsi="Times New Roman;serif"/>
          <w:b w:val="false"/>
          <w:color w:val="00497F"/>
          <w:sz w:val="22"/>
          <w:u w:val="single"/>
        </w:rPr>
        <w:t>X</w:t>
      </w:r>
      <w:r>
        <w:rPr>
          <w:rFonts w:ascii="Times New Roman;serif" w:hAnsi="Times New Roman;serif"/>
          <w:b w:val="false"/>
          <w:color w:val="000000"/>
          <w:sz w:val="22"/>
        </w:rPr>
        <w:t>.</w:t>
      </w:r>
    </w:p>
    <w:p>
      <w:pPr>
        <w:pStyle w:val="TextBody"/>
        <w:bidi w:val="0"/>
        <w:spacing w:lineRule="auto" w:line="288" w:before="120" w:after="120"/>
        <w:jc w:val="both"/>
        <w:rPr/>
      </w:pPr>
      <w:r>
        <w:rPr>
          <w:color w:val="000000"/>
        </w:rPr>
        <w:t>•</w:t>
      </w:r>
      <w:r>
        <w:rPr>
          <w:rFonts w:ascii="Times New Roman;serif" w:hAnsi="Times New Roman;serif"/>
          <w:b w:val="false"/>
          <w:color w:val="000000"/>
          <w:sz w:val="22"/>
        </w:rPr>
        <w:t xml:space="preserve">Visit us on </w:t>
      </w:r>
      <w:r>
        <w:rPr>
          <w:rFonts w:ascii="Times New Roman;serif" w:hAnsi="Times New Roman;serif"/>
          <w:b w:val="false"/>
          <w:color w:val="00497F"/>
          <w:sz w:val="22"/>
          <w:u w:val="single"/>
        </w:rPr>
        <w:t>Facebook</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497F"/>
          <w:sz w:val="22"/>
          <w:u w:val="single"/>
        </w:rPr>
        <w:t>LinkedIn</w:t>
      </w:r>
      <w:r>
        <w:rPr>
          <w:rFonts w:ascii="Times New Roman;serif" w:hAnsi="Times New Roman;serif"/>
          <w:b w:val="false"/>
          <w:color w:val="000000"/>
          <w:sz w:val="22"/>
        </w:rPr>
        <w:t>.</w:t>
      </w:r>
    </w:p>
    <w:p>
      <w:pPr>
        <w:pStyle w:val="TextBody"/>
        <w:bidi w:val="0"/>
        <w:spacing w:lineRule="auto" w:line="288" w:before="120" w:after="120"/>
        <w:jc w:val="both"/>
        <w:rPr/>
      </w:pPr>
      <w:r>
        <w:rPr>
          <w:color w:val="000000"/>
        </w:rPr>
        <w:t>•</w:t>
      </w:r>
      <w:r>
        <w:rPr>
          <w:rFonts w:ascii="Times New Roman;serif" w:hAnsi="Times New Roman;serif"/>
          <w:b w:val="false"/>
          <w:color w:val="000000"/>
          <w:sz w:val="22"/>
        </w:rPr>
        <w:t xml:space="preserve">Watch Enphase videos on </w:t>
      </w:r>
      <w:r>
        <w:rPr>
          <w:rFonts w:ascii="Times New Roman;serif" w:hAnsi="Times New Roman;serif"/>
          <w:b w:val="false"/>
          <w:color w:val="00497F"/>
          <w:sz w:val="22"/>
          <w:u w:val="single"/>
        </w:rPr>
        <w:t>YouTube</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2"/>
        </w:rPr>
      </w:pPr>
      <w:r>
        <w:rPr>
          <w:rFonts w:ascii="Times New Roman;serif" w:hAnsi="Times New Roman;serif"/>
          <w:b/>
          <w:color w:val="000000"/>
          <w:sz w:val="22"/>
        </w:rPr>
        <w:t>Use of non-GAAP Financial Measures</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Enphase Energy has presented certain non-GAAP financial measures in this press release. Generally, a non-GAAP financial measure is a numerical measure of a company’s performance, financial position, or cash flows that either exclude or include amounts that are not normally excluded or included in the most directly comparable measure calculated and presented in accordance with generally accepted accounting principles in the United States (GAAP). Reconciliation of each non-GAAP financial measure to the most directly comparable GAAP financial measure can be found in the accompanying tables to this press release. Non-GAAP financial measures presented by Enphase Energy include non-GAAP gross profit, gross margin, operating expenses, income from operations, net income, net income per share (basic and diluted), and free cash flow.</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These non-GAAP financial measures do not reflect a comprehensive system of accounting, differ from GAAP measures with the same captions and may differ from non-GAAP financial measures with the same or similar captions that are used by other companies. In addition, these non-GAAP measures have limitations in that they do not reflect all of the amounts associated with Enphase Energy’s results of operations as determined in accordance </w:t>
      </w:r>
    </w:p>
    <w:p>
      <w:pPr>
        <w:pStyle w:val="TextBody"/>
        <w:bidi w:val="0"/>
        <w:spacing w:before="120" w:after="12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with GAAP. As such, these non-GAAP measures should be considered as a supplement to, and not as a substitute for, or superior to, financial measures calculated in accordance with GAAP. Enphase Energy uses these non-GAAP financial measures to analyze its operating performance and future prospects, develop internal budgets and financial goals, and to facilitate period-to-period comparisons. Enphase Energy believes that these non-GAAP financial measures reflect an additional way of viewing aspects of its operations that, when viewed with its GAAP results, provide a more complete understanding of factors and trends affecting its business.</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As presented in the “Reconciliation of Non-GAAP Financial Measures” tables below, each of the non-GAAP financial measures excludes one or more of the following items for purposes of calculating non-GAAP financial measures to facilitate an evaluation of Enphase Energy’s current operating performance and a comparison to its past operating performance:</w:t>
      </w:r>
    </w:p>
    <w:p>
      <w:pPr>
        <w:pStyle w:val="TextBody"/>
        <w:bidi w:val="0"/>
        <w:spacing w:lineRule="auto" w:line="268" w:before="120" w:after="120"/>
        <w:jc w:val="both"/>
        <w:rPr/>
      </w:pPr>
      <w:r>
        <w:rPr>
          <w:rFonts w:ascii="Times New Roman;serif" w:hAnsi="Times New Roman;serif"/>
          <w:b w:val="false"/>
          <w:i/>
          <w:color w:val="000000"/>
          <w:sz w:val="22"/>
        </w:rPr>
        <w:t xml:space="preserve">Tariff refunds. </w:t>
      </w:r>
      <w:r>
        <w:rPr>
          <w:rFonts w:ascii="Times New Roman;serif" w:hAnsi="Times New Roman;serif"/>
          <w:b w:val="false"/>
          <w:color w:val="000000"/>
          <w:sz w:val="22"/>
        </w:rPr>
        <w:t xml:space="preserve">This item represents refunds received for tariffs previously imposed under the International Emergency Economic Powers Act, which were invalidated following the United States Supreme Court ruling in </w:t>
      </w:r>
      <w:r>
        <w:rPr>
          <w:rFonts w:ascii="Times New Roman;serif" w:hAnsi="Times New Roman;serif"/>
          <w:b w:val="false"/>
          <w:i/>
          <w:color w:val="000000"/>
          <w:sz w:val="22"/>
        </w:rPr>
        <w:t>Learning Resources, Inc. v. Trump</w:t>
      </w:r>
      <w:r>
        <w:rPr>
          <w:rFonts w:ascii="Times New Roman;serif" w:hAnsi="Times New Roman;serif"/>
          <w:b w:val="false"/>
          <w:color w:val="000000"/>
          <w:sz w:val="22"/>
        </w:rPr>
        <w:t>. The Company received refunds and associated interest of approximately $41.0 million and $11.0 million in the three months ended June 30, 2026 and in July 2026, respectively, from CBP related to tariffs paid during fiscal 2025 and the first quarter of fiscal 2026, of which $45.4 million was recognized as a reduction to cost of revenues during the three and six months ended June 30, 2026, $1.6 million was recognized as interest income in the three and six months ended June 30, 2026, and $5.0 million was capitalized as a cost of inventory as of June 30, 2026. Of the $45.4 million refunds recognized as a reduction to cost of revenues, $43.4 million of the tariff costs incurred were previously recorded as a cost of revenues in prior periods and are excluded from non</w:t>
        <w:noBreakHyphen/>
        <w:t>GAAP measures, along with the associated $1.6 million interest earned from those payments, as they are related to prior periods and not reflective of the Company’s ongoing financial performance.</w:t>
      </w:r>
    </w:p>
    <w:p>
      <w:pPr>
        <w:pStyle w:val="TextBody"/>
        <w:bidi w:val="0"/>
        <w:spacing w:lineRule="auto" w:line="276" w:before="120" w:after="120"/>
        <w:jc w:val="both"/>
        <w:rPr/>
      </w:pPr>
      <w:r>
        <w:rPr>
          <w:rFonts w:ascii="Times New Roman;serif" w:hAnsi="Times New Roman;serif"/>
          <w:b w:val="false"/>
          <w:i/>
          <w:color w:val="000000"/>
          <w:sz w:val="22"/>
        </w:rPr>
        <w:t xml:space="preserve">AMPTC adjustment. </w:t>
      </w:r>
      <w:r>
        <w:rPr>
          <w:rFonts w:ascii="Times New Roman;serif" w:hAnsi="Times New Roman;serif"/>
          <w:b w:val="false"/>
          <w:color w:val="000000"/>
          <w:sz w:val="22"/>
        </w:rPr>
        <w:t>In the first quarter of 2026, the Company decided to sell its Advanced Manufacturing Production Tax Credit (AMPTC) generated in 2025 and going forward in the tax credit transfer market. The Company sold $235.0 million of AMPTC generated in 2025 at 93% of face value, resulting in a discount of approximately $16.5 million. The Company also incurred approximately $2.5 million in transaction-related fees. Because these amounts relate to AMPTC generated in the prior fiscal year and do not reflect the Company’s ongoing operating performance, the Company excluded them from its non-GAAP financial measures for the first quarter of 2026.</w:t>
      </w:r>
    </w:p>
    <w:p>
      <w:pPr>
        <w:pStyle w:val="TextBody"/>
        <w:bidi w:val="0"/>
        <w:spacing w:lineRule="auto" w:line="288" w:before="120" w:after="120"/>
        <w:jc w:val="both"/>
        <w:rPr/>
      </w:pPr>
      <w:r>
        <w:rPr>
          <w:rFonts w:ascii="Times New Roman;serif" w:hAnsi="Times New Roman;serif"/>
          <w:b w:val="false"/>
          <w:i/>
          <w:color w:val="000000"/>
          <w:sz w:val="22"/>
        </w:rPr>
        <w:t xml:space="preserve">Stock-based compensation expense. </w:t>
      </w:r>
      <w:r>
        <w:rPr>
          <w:rFonts w:ascii="Times New Roman;serif" w:hAnsi="Times New Roman;serif"/>
          <w:b w:val="false"/>
          <w:color w:val="000000"/>
          <w:sz w:val="22"/>
        </w:rPr>
        <w:t>Enphase Energy excludes stock-based compensation expense from its non-GAAP measures primarily because they are non-cash in nature. Moreover, the impact of this expense is significantly affected by Enphase Energy’s stock price at the time of an award over which management has limited to no control.</w:t>
      </w:r>
    </w:p>
    <w:p>
      <w:pPr>
        <w:pStyle w:val="TextBody"/>
        <w:bidi w:val="0"/>
        <w:spacing w:lineRule="auto" w:line="288" w:before="120" w:after="120"/>
        <w:jc w:val="both"/>
        <w:rPr/>
      </w:pPr>
      <w:r>
        <w:rPr>
          <w:rFonts w:ascii="Times New Roman;serif" w:hAnsi="Times New Roman;serif"/>
          <w:b w:val="false"/>
          <w:i/>
          <w:color w:val="000000"/>
          <w:sz w:val="22"/>
        </w:rPr>
        <w:t xml:space="preserve">Acquisition related expenses and amortization. </w:t>
      </w:r>
      <w:r>
        <w:rPr>
          <w:rFonts w:ascii="Times New Roman;serif" w:hAnsi="Times New Roman;serif"/>
          <w:b w:val="false"/>
          <w:color w:val="000000"/>
          <w:sz w:val="22"/>
        </w:rPr>
        <w:t xml:space="preserve">This item represents costs incurred in connection with acquisition-related activities, which are not indicative of normal, recurring operating expenses, and amortization of acquired intangible assets, which is a non-cash expense. Acquisition related expenses and amortization of acquired intangible assets are not reflective of Enphase Energy’s ongoing financial performance. </w:t>
      </w:r>
    </w:p>
    <w:p>
      <w:pPr>
        <w:pStyle w:val="TextBody"/>
        <w:bidi w:val="0"/>
        <w:spacing w:lineRule="auto" w:line="288" w:before="120" w:after="120"/>
        <w:jc w:val="both"/>
        <w:rPr/>
      </w:pPr>
      <w:r>
        <w:rPr>
          <w:rFonts w:ascii="Times New Roman;serif" w:hAnsi="Times New Roman;serif"/>
          <w:b w:val="false"/>
          <w:i/>
          <w:color w:val="000000"/>
          <w:sz w:val="22"/>
        </w:rPr>
        <w:t>Restructuring and asset impairment charges</w:t>
      </w:r>
      <w:r>
        <w:rPr>
          <w:rFonts w:ascii="Times New Roman;serif" w:hAnsi="Times New Roman;serif"/>
          <w:b w:val="false"/>
          <w:color w:val="000000"/>
          <w:sz w:val="22"/>
        </w:rPr>
        <w:t>. Enphase Energy excludes restructuring and asset impairment charges due to the nature of the expenses being unusual and arising outside the ordinary course of continuing operations. These costs primarily consist of fees paid for cash-based severance costs, accelerated stock-based compensation expense and asset write-downs of property and equipment and acquired intangible assets, and other contract termination costs resulting from restructuring initiatives.</w:t>
      </w:r>
    </w:p>
    <w:p>
      <w:pPr>
        <w:pStyle w:val="TextBody"/>
        <w:bidi w:val="0"/>
        <w:spacing w:lineRule="auto" w:line="288" w:before="120" w:after="120"/>
        <w:jc w:val="both"/>
        <w:rPr/>
      </w:pPr>
      <w:r>
        <w:rPr>
          <w:rFonts w:ascii="Times New Roman;serif" w:hAnsi="Times New Roman;serif"/>
          <w:b w:val="false"/>
          <w:i/>
          <w:color w:val="000000"/>
          <w:sz w:val="22"/>
        </w:rPr>
        <w:t xml:space="preserve">Non-cash interest expense. </w:t>
      </w:r>
      <w:r>
        <w:rPr>
          <w:rFonts w:ascii="Times New Roman;serif" w:hAnsi="Times New Roman;serif"/>
          <w:b w:val="false"/>
          <w:color w:val="000000"/>
          <w:sz w:val="22"/>
        </w:rPr>
        <w:t>This item consists primarily of amortization of debt issuance costs and accretion of debt discount because these expenses do not represent a cash outflow for Enphase Energy except in the period the financing was secured and such amortization expense is not reflective of Enphase Energy’s ongoing financial performance.</w:t>
      </w:r>
    </w:p>
    <w:p>
      <w:pPr>
        <w:pStyle w:val="TextBody"/>
        <w:bidi w:val="0"/>
        <w:spacing w:lineRule="auto" w:line="288" w:before="120" w:after="120"/>
        <w:jc w:val="both"/>
        <w:rPr/>
      </w:pPr>
      <w:r>
        <w:rPr>
          <w:rFonts w:ascii="Times New Roman;serif" w:hAnsi="Times New Roman;serif"/>
          <w:b w:val="false"/>
          <w:i/>
          <w:color w:val="000000"/>
          <w:sz w:val="22"/>
        </w:rPr>
        <w:t>Non-GAAP income tax adjustment</w:t>
      </w:r>
      <w:r>
        <w:rPr>
          <w:rFonts w:ascii="Times New Roman;serif" w:hAnsi="Times New Roman;serif"/>
          <w:b w:val="false"/>
          <w:color w:val="000000"/>
          <w:sz w:val="22"/>
        </w:rPr>
        <w:t>. This item represents the amount adjusted to Enphase Energy’s GAAP tax provision or benefit to exclude the income tax effects of GAAP adjustments such as stock-based compensation, amortization of purchased intangibles, and other non-recurring items that are not reflective of Enphase Energy ongoing financial performance.</w:t>
      </w:r>
    </w:p>
    <w:p>
      <w:pPr>
        <w:pStyle w:val="TextBody"/>
        <w:bidi w:val="0"/>
        <w:spacing w:before="120" w:after="12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20" w:after="120"/>
        <w:jc w:val="both"/>
        <w:rPr/>
      </w:pPr>
      <w:r>
        <w:rPr>
          <w:rFonts w:ascii="Times New Roman;serif" w:hAnsi="Times New Roman;serif"/>
          <w:b w:val="false"/>
          <w:i/>
          <w:color w:val="000000"/>
          <w:sz w:val="22"/>
        </w:rPr>
        <w:t xml:space="preserve">Non-GAAP net income per share, diluted. </w:t>
      </w:r>
      <w:r>
        <w:rPr>
          <w:rFonts w:ascii="Times New Roman;serif" w:hAnsi="Times New Roman;serif"/>
          <w:b w:val="false"/>
          <w:color w:val="000000"/>
          <w:sz w:val="22"/>
        </w:rPr>
        <w:t>Enphase Energy excludes the dilutive effect of in-the-money portion of convertible senior notes as they are covered by convertible note hedge transactions that reduce potential dilution to our common stock upon conversion of the Notes due 2028, and includes the dilutive effect of employee’s stock-based awards and the dilutive effect of warrants. Enphase Energy believes these adjustments provide useful supplemental information to the ongoing financial performance.</w:t>
      </w:r>
    </w:p>
    <w:p>
      <w:pPr>
        <w:pStyle w:val="TextBody"/>
        <w:bidi w:val="0"/>
        <w:spacing w:lineRule="auto" w:line="288" w:before="120" w:after="120"/>
        <w:jc w:val="both"/>
        <w:rPr/>
      </w:pPr>
      <w:r>
        <w:rPr>
          <w:rFonts w:ascii="Times New Roman;serif" w:hAnsi="Times New Roman;serif"/>
          <w:b w:val="false"/>
          <w:i/>
          <w:color w:val="000000"/>
          <w:sz w:val="22"/>
        </w:rPr>
        <w:t>Free cash flow</w:t>
      </w:r>
      <w:r>
        <w:rPr>
          <w:rFonts w:ascii="Times New Roman;serif" w:hAnsi="Times New Roman;serif"/>
          <w:b w:val="false"/>
          <w:color w:val="000000"/>
          <w:sz w:val="22"/>
        </w:rPr>
        <w:t>. This item represents net cash flows from operating activities less purchases of property and equipment.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color w:val="000000"/>
          <w:sz w:val="22"/>
        </w:rPr>
      </w:pPr>
      <w:r>
        <w:rPr>
          <w:rFonts w:ascii="Times New Roman;serif" w:hAnsi="Times New Roman;serif"/>
          <w:b/>
          <w:color w:val="000000"/>
          <w:sz w:val="22"/>
        </w:rPr>
        <w:t>Conference Call Information</w:t>
      </w:r>
    </w:p>
    <w:p>
      <w:pPr>
        <w:pStyle w:val="TextBody"/>
        <w:bidi w:val="0"/>
        <w:spacing w:lineRule="auto" w:line="288" w:before="120" w:after="120"/>
        <w:jc w:val="both"/>
        <w:rPr/>
      </w:pPr>
      <w:r>
        <w:rPr>
          <w:rFonts w:ascii="Times New Roman;serif" w:hAnsi="Times New Roman;serif"/>
          <w:b w:val="false"/>
          <w:color w:val="000000"/>
          <w:sz w:val="22"/>
        </w:rPr>
        <w:t xml:space="preserve">Enphase Energy will host a conference call for analysts and investors to discuss its second quarter 2026 results and third quarter 2026 business outlook today at 4:30 p.m. Eastern Time (1:30 p.m. Pacific Time). The call is open to the public by dialing (833) 634-5018. A live webcast of the conference call will also be accessible from the “Investor Relations” section of Enphase Energy’s website at </w:t>
      </w:r>
      <w:r>
        <w:rPr>
          <w:rFonts w:ascii="Times New Roman;serif" w:hAnsi="Times New Roman;serif"/>
          <w:b w:val="false"/>
          <w:color w:val="0000CC"/>
          <w:sz w:val="22"/>
          <w:u w:val="single"/>
        </w:rPr>
        <w:t>https://investor.enphase.com</w:t>
      </w:r>
      <w:r>
        <w:rPr>
          <w:rFonts w:ascii="Times New Roman;serif" w:hAnsi="Times New Roman;serif"/>
          <w:b w:val="false"/>
          <w:color w:val="000000"/>
          <w:sz w:val="22"/>
        </w:rPr>
        <w:t>. Following the webcast, an archived version will be available on the website for approximately one year. In addition, an audio replay of the conference call will be available by calling (855) 669-9658; replay access code 8131398, beginning approximately one hour after the call.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lineRule="auto" w:line="268" w:before="0" w:after="0"/>
        <w:jc w:val="both"/>
        <w:rPr/>
      </w:pPr>
      <w:r>
        <w:rPr>
          <w:rFonts w:ascii="Times New Roman;serif" w:hAnsi="Times New Roman;serif"/>
          <w:b w:val="false"/>
          <w:color w:val="000000"/>
          <w:sz w:val="22"/>
        </w:rPr>
        <w:t>This press release contains forward-looking statements, including statements related to Enphase Energy’s expectations as to its third quarter of 2026 financial performance and outlook, including revenue, shipments of IQ Batteries by MWh, gross margin, and operating expenses; anticipated demand for Enphase Energy’s microinverter, battery, energy management, and commercial products; expectations regarding the commercial microinverter market opportunity in the United States, including the IQ9S-3P Commercial Microinverter; the expected availability of the IQ Battery G5 and IQ Bidirectional EV Charger in Europe; expectations regarding the expansion of the IQ Energy Management platform to additional markets; expectations regarding the expected impact of tax credit expirations, tariff structures, and incentive programs; expectations regarding safe harbor agreements and the timing and variability of related revenue recognition; the capabilities, advantages, features, and performance of Enphase Energy’s technology and products, including GaN-based microinverters and PowerMatch battery software; and Enphase Energy’s expectations regarding the timing and development of its IQ SST product for data centers. These forward-looking statements are based on Enphase Energy’s current expectations and assumptions and inherently involve significant risks and uncertainties. Actual results may differ materially from those expressed or implied by these forward</w:t>
        <w:noBreakHyphen/>
        <w:t>looking statements. Such risks include, but are not limited to, fluctuations in market demand; changes in installer and customer purchasing behavior; changes in tax credits, tariffs, incentive programs, and regulatory policies, including the expiration of existing tariffs and potential imposition of replacement tariffs; energy pricing volatility; supply chain and manufacturing constraints; safe harbor agreement execution and the timing of related revenue recognition and cash flows; product performance and reliability; successful expansion into commercial solar and international markets; and other factors discussed in Enphase Energy’s filings with the Securities and Exchange Commission, including those risks described in more detail in Enphase Energy’s most recently filed Annual Report on Form 10</w:t>
        <w:noBreakHyphen/>
        <w:t xml:space="preserve">K, and other documents on file with the SEC from time to time and available on the SEC’s website at </w:t>
      </w:r>
      <w:r>
        <w:rPr>
          <w:rFonts w:ascii="Times New Roman;serif" w:hAnsi="Times New Roman;serif"/>
          <w:b w:val="false"/>
          <w:color w:val="0000CC"/>
          <w:sz w:val="22"/>
          <w:u w:val="single"/>
        </w:rPr>
        <w:t>www.sec.gov</w:t>
      </w:r>
      <w:r>
        <w:rPr>
          <w:rFonts w:ascii="Times New Roman;serif" w:hAnsi="Times New Roman;serif"/>
          <w:b w:val="false"/>
          <w:color w:val="000000"/>
          <w:sz w:val="22"/>
        </w:rPr>
        <w:t>. Enphase Energy undertakes no duty or obligation to update any forward-looking statements contained in this release as a result of new information, future events or changes in its expectations, except as required by law.</w:t>
      </w:r>
    </w:p>
    <w:p>
      <w:pPr>
        <w:pStyle w:val="TextBody"/>
        <w:bidi w:val="0"/>
        <w:spacing w:lineRule="auto" w:line="288" w:before="120" w:after="120"/>
        <w:jc w:val="both"/>
        <w:rPr/>
      </w:pPr>
      <w:r>
        <w:rPr>
          <w:rFonts w:ascii="Times New Roman;serif" w:hAnsi="Times New Roman;serif"/>
          <w:b w:val="false"/>
          <w:color w:val="000000"/>
          <w:sz w:val="22"/>
        </w:rPr>
        <w:t xml:space="preserve">A copy of this press release can be found on the investor relations page of Enphase Energy’s website at </w:t>
      </w:r>
      <w:r>
        <w:rPr>
          <w:rFonts w:ascii="Times New Roman;serif" w:hAnsi="Times New Roman;serif"/>
          <w:b w:val="false"/>
          <w:color w:val="0000CC"/>
          <w:sz w:val="22"/>
          <w:u w:val="single"/>
        </w:rPr>
        <w:t>https://investor.enphase.com</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2"/>
        </w:rPr>
      </w:pPr>
      <w:r>
        <w:rPr>
          <w:rFonts w:ascii="Times New Roman;serif" w:hAnsi="Times New Roman;serif"/>
          <w:b/>
          <w:color w:val="000000"/>
          <w:sz w:val="22"/>
        </w:rPr>
        <w:t>About Enphase Energy, Inc.</w:t>
      </w:r>
    </w:p>
    <w:p>
      <w:pPr>
        <w:pStyle w:val="TextBody"/>
        <w:bidi w:val="0"/>
        <w:spacing w:lineRule="auto" w:line="288" w:before="120" w:after="120"/>
        <w:jc w:val="both"/>
        <w:rPr/>
      </w:pPr>
      <w:r>
        <w:rPr>
          <w:rFonts w:ascii="Times New Roman;serif" w:hAnsi="Times New Roman;serif"/>
          <w:b w:val="false"/>
          <w:color w:val="000000"/>
          <w:sz w:val="22"/>
        </w:rPr>
        <w:t xml:space="preserve">Enphase Energy, a global energy technology company based in Fremont, CA, is the world's leading supplier of microinverter-based solar and battery systems, EV chargers, home energy management systems, and virtual power plant (VPP) solutions. Enphase products enable people to harness the sun to make, use, save, and sell their own power, all controlled through the Enphase App. The company revolutionized the solar industry with its microinverter-based technology and has shipped approximately 89.4 million microinverters, with approximately 5.3 million Enphase-based systems deployed in over 165 countries. For more information, visit </w:t>
      </w:r>
      <w:r>
        <w:rPr>
          <w:rFonts w:ascii="Times New Roman;serif" w:hAnsi="Times New Roman;serif"/>
          <w:b w:val="false"/>
          <w:color w:val="0000CC"/>
          <w:sz w:val="22"/>
          <w:u w:val="single"/>
        </w:rPr>
        <w:t>https://enphase.com</w:t>
      </w:r>
      <w:r>
        <w:rPr>
          <w:rFonts w:ascii="Times New Roman;serif" w:hAnsi="Times New Roman;serif"/>
          <w:b w:val="false"/>
          <w:color w:val="000000"/>
          <w:sz w:val="22"/>
        </w:rPr>
        <w:t>.</w:t>
      </w:r>
    </w:p>
    <w:p>
      <w:pPr>
        <w:pStyle w:val="TextBody"/>
        <w:bidi w:val="0"/>
        <w:spacing w:before="120" w:after="12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20" w:after="120"/>
        <w:jc w:val="both"/>
        <w:rPr/>
      </w:pPr>
      <w:r>
        <w:rPr>
          <w:rFonts w:ascii="Times New Roman;serif" w:hAnsi="Times New Roman;serif"/>
          <w:b w:val="false"/>
          <w:color w:val="000000"/>
          <w:sz w:val="22"/>
        </w:rPr>
        <w:t>© 2026 Enphase Energy, Inc. All rights reserved. Enphase Energy, Enphase, the “e” logo, IQ, and certain other marks listed at</w:t>
      </w:r>
      <w:r>
        <w:rPr>
          <w:color w:val="3051F2"/>
        </w:rPr>
        <w:t xml:space="preserve"> </w:t>
      </w:r>
      <w:r>
        <w:rPr>
          <w:rFonts w:ascii="Times New Roman;serif" w:hAnsi="Times New Roman;serif"/>
          <w:b w:val="false"/>
          <w:color w:val="0000CC"/>
          <w:sz w:val="22"/>
          <w:u w:val="single"/>
        </w:rPr>
        <w:t>https://enphase.com/trademark-usage-guidelines</w:t>
      </w:r>
      <w:r>
        <w:rPr>
          <w:color w:val="0E32E1"/>
        </w:rPr>
        <w:t xml:space="preserve"> </w:t>
      </w:r>
      <w:r>
        <w:rPr>
          <w:rFonts w:ascii="Times New Roman;serif" w:hAnsi="Times New Roman;serif"/>
          <w:b w:val="false"/>
          <w:color w:val="000000"/>
          <w:sz w:val="22"/>
        </w:rPr>
        <w:t>are trademarks or service marks of Enphase Energy, Inc. Other names are for informational purposes and may be trademarks of their respective owners.</w:t>
      </w:r>
    </w:p>
    <w:p>
      <w:pPr>
        <w:pStyle w:val="TextBody"/>
        <w:bidi w:val="0"/>
        <w:spacing w:before="0" w:after="0"/>
        <w:jc w:val="left"/>
        <w:rPr/>
      </w:pPr>
      <w:r>
        <w:rPr/>
      </w:r>
    </w:p>
    <w:p>
      <w:pPr>
        <w:pStyle w:val="TextBody"/>
        <w:bidi w:val="0"/>
        <w:spacing w:lineRule="auto" w:line="288" w:before="150" w:after="283"/>
        <w:jc w:val="both"/>
        <w:rPr>
          <w:rFonts w:ascii="Times New Roman;serif" w:hAnsi="Times New Roman;serif"/>
          <w:b/>
          <w:color w:val="000000"/>
          <w:sz w:val="22"/>
        </w:rPr>
      </w:pPr>
      <w:r>
        <w:rPr>
          <w:rFonts w:ascii="Times New Roman;serif" w:hAnsi="Times New Roman;serif"/>
          <w:b/>
          <w:color w:val="000000"/>
          <w:sz w:val="22"/>
        </w:rPr>
        <w:t>Contact: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Zach Freedman</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Enphase Energy, Inc.</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Investor Relations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ir@enphaseenergy.com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ENPHASE ENERGY,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753" w:type="dxa"/>
        <w:jc w:val="center"/>
        <w:tblInd w:w="0" w:type="dxa"/>
        <w:tblLayout w:type="fixed"/>
        <w:tblCellMar>
          <w:top w:w="28" w:type="dxa"/>
          <w:left w:w="28" w:type="dxa"/>
          <w:bottom w:w="28" w:type="dxa"/>
          <w:right w:w="28" w:type="dxa"/>
        </w:tblCellMar>
      </w:tblPr>
      <w:tblGrid>
        <w:gridCol w:w="1158"/>
        <w:gridCol w:w="1018"/>
        <w:gridCol w:w="101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115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291,854 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282,900 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363,153 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574,754 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719,237 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380,503 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170,493 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275,407 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338,734 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asset impairment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133,486 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253,531 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269,805 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(29,643)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68,929 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net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20,169 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(13,860)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89,098 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(provision)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66,782 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per share:</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used in per share calculation:</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131,447 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3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135,122 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131,337 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135,219 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132,788 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135,719 </w:t>
            </w:r>
          </w:p>
        </w:tc>
        <w:tc>
          <w:tcPr>
            <w:tcW w:w="15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ind w:left="0" w:right="0" w:hanging="540"/>
        <w:jc w:val="both"/>
        <w:rPr/>
      </w:pPr>
      <w:r>
        <w:rPr/>
      </w:r>
    </w:p>
    <w:p>
      <w:pPr>
        <w:pStyle w:val="TextBody"/>
        <w:bidi w:val="0"/>
        <w:spacing w:before="60" w:after="60"/>
        <w:ind w:left="0" w:right="0" w:hanging="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ENPHASE ENERGY,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6818" w:type="dxa"/>
        <w:jc w:val="center"/>
        <w:tblInd w:w="0" w:type="dxa"/>
        <w:tblLayout w:type="fixed"/>
        <w:tblCellMar>
          <w:top w:w="28" w:type="dxa"/>
          <w:left w:w="28" w:type="dxa"/>
          <w:bottom w:w="28" w:type="dxa"/>
          <w:right w:w="28" w:type="dxa"/>
        </w:tblCellMar>
      </w:tblPr>
      <w:tblGrid>
        <w:gridCol w:w="1484"/>
        <w:gridCol w:w="1302"/>
        <w:gridCol w:w="1308"/>
        <w:gridCol w:w="196"/>
        <w:gridCol w:w="871"/>
        <w:gridCol w:w="109"/>
        <w:gridCol w:w="109"/>
        <w:gridCol w:w="109"/>
        <w:gridCol w:w="109"/>
        <w:gridCol w:w="196"/>
        <w:gridCol w:w="871"/>
        <w:gridCol w:w="154"/>
      </w:tblGrid>
      <w:tr>
        <w:trPr/>
        <w:tc>
          <w:tcPr>
            <w:tcW w:w="1484"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8" w:type="dxa"/>
            <w:gridSpan w:val="6"/>
            <w:tcBorders/>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474,318 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1,038,536 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229,881 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576,078 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1,950,537 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2,606,860 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214,760 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222,677 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306,403 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2,919,259 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3,509,792 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203,039 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revenues, 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180,524 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Warranty obligations, 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565,163 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1,262,150 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revenues, non-current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337,923 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Warranty obligations,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1,737,423 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2,422,769 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1,181,836 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1,087,023 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2,919,259 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3,509,792 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center"/>
        <w:rPr/>
      </w:pPr>
      <w:r>
        <w:rPr/>
      </w:r>
    </w:p>
    <w:p>
      <w:pPr>
        <w:pStyle w:val="TextBody"/>
        <w:bidi w:val="0"/>
        <w:spacing w:before="120" w:after="12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ENPHASE ENERGY,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560"/>
        <w:gridCol w:w="1282"/>
        <w:gridCol w:w="1292"/>
        <w:gridCol w:w="196"/>
        <w:gridCol w:w="646"/>
        <w:gridCol w:w="109"/>
        <w:gridCol w:w="109"/>
        <w:gridCol w:w="109"/>
        <w:gridCol w:w="109"/>
        <w:gridCol w:w="196"/>
        <w:gridCol w:w="60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7"/>
      </w:tblGrid>
      <w:tr>
        <w:trPr/>
        <w:tc>
          <w:tcPr>
            <w:tcW w:w="1560"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66,782 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provided by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Discount from sale of AMPTC generated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(accretion) of investments purchased at a premium (discount)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impairment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41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debt securities and tax equity fund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109,529 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(139,814)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and other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91,444 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Warranty obligations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(133,170)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75,043 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(22,867)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secured revolving credit facility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loan receivable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 tax equity fund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Receipts of loan receivables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marketable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(284,306)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(485,132)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Maturities and sales of marketable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578,218 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41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41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41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576,383 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(51,185)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566,847 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61,875 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of Notes due 2026</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41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41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41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41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41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41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41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41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41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383"/>
        <w:gridCol w:w="1127"/>
        <w:gridCol w:w="1135"/>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6"/>
      </w:tblGrid>
      <w:tr>
        <w:trPr/>
        <w:tc>
          <w:tcPr>
            <w:tcW w:w="138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of Notes due 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(102,168)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(129,957)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issuances of common stock under employee equity plans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withholding taxes related to net share settlement of equity awards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(651,186)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(27,555)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(649,555)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(241,730)</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cash equivalents and restricted cash</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cash equivalents and restricted cash</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(44,554)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(93,580)</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464,116 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 End of period</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529,344 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497,546 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370,536 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529,344 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370,536 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ENPHASE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NON-GAAP FINANCIAL MEASURES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 and percentages)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119"/>
        <w:gridCol w:w="898"/>
        <w:gridCol w:w="893"/>
        <w:gridCol w:w="196"/>
        <w:gridCol w:w="736"/>
        <w:gridCol w:w="256"/>
        <w:gridCol w:w="109"/>
        <w:gridCol w:w="109"/>
        <w:gridCol w:w="109"/>
        <w:gridCol w:w="196"/>
        <w:gridCol w:w="736"/>
        <w:gridCol w:w="256"/>
        <w:gridCol w:w="109"/>
        <w:gridCol w:w="109"/>
        <w:gridCol w:w="109"/>
        <w:gridCol w:w="196"/>
        <w:gridCol w:w="736"/>
        <w:gridCol w:w="256"/>
        <w:gridCol w:w="109"/>
        <w:gridCol w:w="109"/>
        <w:gridCol w:w="109"/>
        <w:gridCol w:w="196"/>
        <w:gridCol w:w="736"/>
        <w:gridCol w:w="256"/>
        <w:gridCol w:w="109"/>
        <w:gridCol w:w="109"/>
        <w:gridCol w:w="109"/>
        <w:gridCol w:w="196"/>
        <w:gridCol w:w="736"/>
        <w:gridCol w:w="303"/>
      </w:tblGrid>
      <w:tr>
        <w:trPr/>
        <w:tc>
          <w:tcPr>
            <w:tcW w:w="111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Gross profit (GAAP)</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175,014 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100,393 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170,493 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275,407 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338,734 </w:t>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Tariff refunds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AMPTC adjustment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8,550 </w:t>
            </w:r>
          </w:p>
        </w:tc>
        <w:tc>
          <w:tcPr>
            <w:tcW w:w="303"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related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3,170 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Gross profit (Non-GAAP)</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136,517 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124,224 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176,394 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260,741 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350,454 </w:t>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before="0" w:after="0"/>
              <w:ind w:left="0" w:right="0" w:hanging="180"/>
              <w:jc w:val="left"/>
              <w:rPr/>
            </w:pPr>
            <w:r>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Gross margin (GAAP)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Tariff refunds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AMPTC adjustment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03"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related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Gross margin (Non-GAAP)</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before="0" w:after="0"/>
              <w:ind w:left="0" w:right="0" w:hanging="180"/>
              <w:jc w:val="left"/>
              <w:rPr/>
            </w:pPr>
            <w:r>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 (GAAP)</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123,495 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130,036 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133,486 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253,531 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269,805 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0"/>
              <w:jc w:val="left"/>
              <w:rPr/>
            </w:pPr>
            <w:r>
              <w:rPr>
                <w:rFonts w:ascii="Times New Roman;serif" w:hAnsi="Times New Roman;serif"/>
                <w:b w:val="false"/>
                <w:color w:val="000000"/>
                <w:sz w:val="18"/>
              </w:rPr>
              <w:t>Stock-based compensation</w:t>
            </w:r>
            <w:r>
              <w:rPr>
                <w:color w:val="000000"/>
              </w:rPr>
              <w:t xml:space="preserve"> </w:t>
            </w:r>
            <w:r>
              <w:rPr>
                <w:rFonts w:ascii="Times New Roman;serif" w:hAnsi="Times New Roman;serif"/>
                <w:b w:val="false"/>
                <w:color w:val="000000"/>
                <w:sz w:val="12"/>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(49,506)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(85,143)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(100,391)</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related expenses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(5,726)</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0"/>
              <w:jc w:val="left"/>
              <w:rPr/>
            </w:pPr>
            <w:r>
              <w:rPr>
                <w:rFonts w:ascii="Times New Roman;serif" w:hAnsi="Times New Roman;serif"/>
                <w:b w:val="false"/>
                <w:color w:val="000000"/>
                <w:sz w:val="18"/>
              </w:rPr>
              <w:t xml:space="preserve">Restructuring and asset impairment charges </w:t>
            </w:r>
            <w:r>
              <w:rPr>
                <w:rFonts w:ascii="Times New Roman;serif" w:hAnsi="Times New Roman;serif"/>
                <w:b w:val="false"/>
                <w:color w:val="000000"/>
                <w:sz w:val="12"/>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(6,484)</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 (Non-GAAP)</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79,820 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76,954 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77,781 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156,774 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157,204 </w:t>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0"/>
              <w:ind w:left="0" w:right="0" w:hanging="180"/>
              <w:jc w:val="left"/>
              <w:rPr/>
            </w:pPr>
            <w:r>
              <w:rPr/>
            </w:r>
          </w:p>
        </w:tc>
        <w:tc>
          <w:tcPr>
            <w:tcW w:w="11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40"/>
              <w:ind w:left="0" w:right="0" w:hanging="18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Includes stock-based compensation as follows:</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20,481 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42,128 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27,080 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33,053 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21,660 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25,210 </w:t>
            </w:r>
          </w:p>
        </w:tc>
        <w:tc>
          <w:tcPr>
            <w:tcW w:w="30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asset impairment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39,888 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45,407 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49,585 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85,295 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100,979 </w:t>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before="0" w:after="0"/>
              <w:ind w:left="0" w:right="0" w:hanging="180"/>
              <w:jc w:val="left"/>
              <w:rPr/>
            </w:pPr>
            <w:r>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(loss) from operations (GAAP)</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51,519 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(29,643)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21,876 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68,929 </w:t>
            </w:r>
          </w:p>
        </w:tc>
        <w:tc>
          <w:tcPr>
            <w:tcW w:w="303"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Tariff refunds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(43,411)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(43,411)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AMPTC adjustment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43,380 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53,817 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108,941 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related expenses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8,896 </w:t>
            </w:r>
          </w:p>
        </w:tc>
        <w:tc>
          <w:tcPr>
            <w:tcW w:w="303"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asset impairment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6,484 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from operations (Non-GAAP)</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56,697 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47,270 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98,613 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103,967 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193,250 </w:t>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0"/>
              <w:ind w:left="0" w:right="0" w:hanging="180"/>
              <w:jc w:val="left"/>
              <w:rPr/>
            </w:pPr>
            <w:r>
              <w:rPr/>
            </w:r>
          </w:p>
        </w:tc>
        <w:tc>
          <w:tcPr>
            <w:tcW w:w="11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(GAAP)</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36,079 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37,052 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28,673 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66,782 </w:t>
            </w:r>
          </w:p>
        </w:tc>
        <w:tc>
          <w:tcPr>
            <w:tcW w:w="303"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Tariff refunds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AMPTC adjustment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92,393 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108,941 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related expenses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8,896 </w:t>
            </w:r>
          </w:p>
        </w:tc>
        <w:tc>
          <w:tcPr>
            <w:tcW w:w="303"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asset impairment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6,484 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2,507 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400"/>
        <w:gridCol w:w="1210"/>
        <w:gridCol w:w="1216"/>
        <w:gridCol w:w="196"/>
        <w:gridCol w:w="646"/>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55"/>
      </w:tblGrid>
      <w:tr>
        <w:trPr/>
        <w:tc>
          <w:tcPr>
            <w:tcW w:w="140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3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income tax adjustment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(Non-GAAP)</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179,112 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6" w:type="dxa"/>
            <w:gridSpan w:val="3"/>
            <w:tcBorders/>
            <w:tcMar>
              <w:top w:w="0" w:type="dxa"/>
              <w:left w:w="0" w:type="dxa"/>
              <w:bottom w:w="0" w:type="dxa"/>
              <w:right w:w="0" w:type="dxa"/>
            </w:tcMar>
            <w:vAlign w:val="center"/>
          </w:tcPr>
          <w:p>
            <w:pPr>
              <w:pStyle w:val="TableContents"/>
              <w:bidi w:val="0"/>
              <w:spacing w:before="0" w:after="0"/>
              <w:ind w:left="0" w:right="0" w:hanging="180"/>
              <w:jc w:val="left"/>
              <w:rPr/>
            </w:pPr>
            <w:r>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per share, basic (GAAP)</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Tariff refunds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AMPTC adjustment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8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8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3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related expenses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asset impairment charges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3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8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8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3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income tax adjustment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per share, basic (Non-GAAP)</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used in basic per share calculation GAAP and Non-GAAP</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131,447 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per share, diluted (GAAP)</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Tariff refunds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AMPTC adjustment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8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8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3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related expenses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asset impairment charges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3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8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8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3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income tax adjustment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Net income per share, diluted (Non-GAAP)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8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8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8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8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used in diluted per share calculation GAAP</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Shares used in diluted per share calculation Non-GAAP</w:t>
            </w:r>
            <w:r>
              <w:rPr>
                <w:color w:val="000000"/>
              </w:rPr>
              <w:t xml:space="preserve">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8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8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8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 (GAAP)</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75,043 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(22,867)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Free cash flow (Non-GAAP)</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25,929 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82,973 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18,370 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108,902 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52,176 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8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8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60" w:after="60"/>
        <w:ind w:left="0" w:right="0" w:hanging="54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5206</Words>
  <Characters>29919</Characters>
  <CharactersWithSpaces>34561</CharactersWithSpaces>
  <Paragraphs>1230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